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BAFA57">
      <w:pPr>
        <w:adjustRightInd w:val="0"/>
        <w:snapToGrid w:val="0"/>
        <w:jc w:val="center"/>
        <w:outlineLvl w:val="9"/>
        <w:rPr>
          <w:rFonts w:hint="eastAsia" w:ascii="宋体" w:hAnsi="宋体" w:eastAsia="宋体" w:cs="宋体"/>
          <w:bCs/>
          <w:color w:val="auto"/>
          <w:sz w:val="72"/>
          <w:szCs w:val="72"/>
          <w:highlight w:val="none"/>
        </w:rPr>
      </w:pPr>
      <w:bookmarkStart w:id="0" w:name="_Hlk57883707"/>
    </w:p>
    <w:p w14:paraId="5F830DB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eastAsia" w:ascii="宋体" w:hAnsi="宋体" w:eastAsia="宋体" w:cs="宋体"/>
          <w:bCs/>
          <w:color w:val="auto"/>
          <w:sz w:val="72"/>
          <w:szCs w:val="72"/>
          <w:highlight w:val="none"/>
        </w:rPr>
      </w:pPr>
      <w:r>
        <w:rPr>
          <w:rFonts w:hint="eastAsia" w:ascii="宋体" w:hAnsi="宋体" w:eastAsia="宋体" w:cs="宋体"/>
          <w:bCs/>
          <w:color w:val="auto"/>
          <w:sz w:val="72"/>
          <w:szCs w:val="72"/>
          <w:highlight w:val="none"/>
        </w:rPr>
        <w:t>建设项目环境影响报告表</w:t>
      </w:r>
    </w:p>
    <w:p w14:paraId="3044D4F9">
      <w:pPr>
        <w:keepNext w:val="0"/>
        <w:keepLines w:val="0"/>
        <w:pageBreakBefore w:val="0"/>
        <w:widowControl w:val="0"/>
        <w:kinsoku/>
        <w:wordWrap/>
        <w:overflowPunct/>
        <w:topLinePunct w:val="0"/>
        <w:autoSpaceDE/>
        <w:autoSpaceDN/>
        <w:bidi w:val="0"/>
        <w:adjustRightInd w:val="0"/>
        <w:snapToGrid w:val="0"/>
        <w:spacing w:before="192" w:beforeLines="80"/>
        <w:ind w:firstLine="0" w:firstLineChars="0"/>
        <w:jc w:val="center"/>
        <w:textAlignment w:val="auto"/>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（生态影响类）</w:t>
      </w:r>
    </w:p>
    <w:p w14:paraId="040F0AB6">
      <w:pPr>
        <w:adjustRightInd w:val="0"/>
        <w:snapToGrid w:val="0"/>
        <w:spacing w:line="288" w:lineRule="auto"/>
        <w:jc w:val="center"/>
        <w:outlineLvl w:val="9"/>
        <w:rPr>
          <w:rFonts w:hint="eastAsia" w:ascii="宋体" w:hAnsi="宋体" w:eastAsia="宋体" w:cs="宋体"/>
          <w:color w:val="auto"/>
          <w:kern w:val="44"/>
          <w:sz w:val="44"/>
          <w:szCs w:val="44"/>
          <w:highlight w:val="none"/>
        </w:rPr>
      </w:pPr>
    </w:p>
    <w:p w14:paraId="623F4448">
      <w:pPr>
        <w:ind w:left="0" w:leftChars="0" w:firstLine="0" w:firstLineChars="0"/>
        <w:rPr>
          <w:rFonts w:hint="eastAsia" w:ascii="宋体" w:hAnsi="宋体" w:eastAsia="宋体" w:cs="宋体"/>
          <w:color w:val="auto"/>
          <w:sz w:val="44"/>
          <w:szCs w:val="44"/>
          <w:highlight w:val="none"/>
        </w:rPr>
      </w:pPr>
    </w:p>
    <w:p w14:paraId="1D6BAF22">
      <w:pPr>
        <w:ind w:left="0" w:leftChars="0" w:firstLine="0" w:firstLineChars="0"/>
        <w:rPr>
          <w:rFonts w:hint="eastAsia" w:ascii="宋体" w:hAnsi="宋体" w:eastAsia="宋体" w:cs="宋体"/>
          <w:color w:val="auto"/>
          <w:sz w:val="44"/>
          <w:szCs w:val="44"/>
          <w:highlight w:val="none"/>
        </w:rPr>
      </w:pPr>
    </w:p>
    <w:p w14:paraId="50A1060F">
      <w:pPr>
        <w:ind w:firstLine="1040"/>
        <w:rPr>
          <w:rFonts w:hint="eastAsia" w:ascii="宋体" w:hAnsi="宋体" w:eastAsia="宋体" w:cs="宋体"/>
          <w:color w:val="auto"/>
          <w:sz w:val="44"/>
          <w:szCs w:val="44"/>
          <w:highlight w:val="none"/>
        </w:rPr>
      </w:pPr>
    </w:p>
    <w:p w14:paraId="4E465DDE">
      <w:pPr>
        <w:ind w:firstLine="1040"/>
        <w:rPr>
          <w:rFonts w:hint="eastAsia" w:ascii="宋体" w:hAnsi="宋体" w:eastAsia="宋体" w:cs="宋体"/>
          <w:color w:val="auto"/>
          <w:sz w:val="44"/>
          <w:szCs w:val="44"/>
          <w:highlight w:val="none"/>
        </w:rPr>
      </w:pPr>
    </w:p>
    <w:p w14:paraId="2E233A24">
      <w:pPr>
        <w:keepNext w:val="0"/>
        <w:keepLines w:val="0"/>
        <w:pageBreakBefore w:val="0"/>
        <w:widowControl w:val="0"/>
        <w:kinsoku/>
        <w:wordWrap/>
        <w:overflowPunct/>
        <w:topLinePunct w:val="0"/>
        <w:autoSpaceDE/>
        <w:autoSpaceDN/>
        <w:bidi w:val="0"/>
        <w:adjustRightInd w:val="0"/>
        <w:snapToGrid w:val="0"/>
        <w:spacing w:line="288" w:lineRule="auto"/>
        <w:ind w:firstLine="1280" w:firstLineChars="400"/>
        <w:textAlignment w:val="auto"/>
        <w:rPr>
          <w:rFonts w:hint="eastAsia" w:ascii="宋体" w:hAnsi="宋体" w:eastAsia="宋体" w:cs="宋体"/>
          <w:color w:val="auto"/>
          <w:sz w:val="32"/>
          <w:szCs w:val="36"/>
          <w:highlight w:val="none"/>
          <w:lang w:eastAsia="zh-CN"/>
        </w:rPr>
      </w:pPr>
      <w:r>
        <w:rPr>
          <w:rFonts w:hint="eastAsia" w:ascii="宋体" w:hAnsi="宋体" w:eastAsia="宋体" w:cs="宋体"/>
          <w:color w:val="auto"/>
          <w:sz w:val="32"/>
          <w:szCs w:val="36"/>
          <w:highlight w:val="none"/>
        </w:rPr>
        <w:t>项目名称：</w:t>
      </w:r>
      <w:r>
        <w:rPr>
          <w:rFonts w:hint="eastAsia" w:ascii="宋体" w:hAnsi="宋体" w:eastAsia="宋体" w:cs="宋体"/>
          <w:color w:val="auto"/>
          <w:sz w:val="32"/>
          <w:szCs w:val="36"/>
          <w:highlight w:val="none"/>
          <w:u w:val="single"/>
          <w:lang w:eastAsia="zh-CN"/>
        </w:rPr>
        <w:t>双鸭山至时代公路提质改造工程</w:t>
      </w:r>
    </w:p>
    <w:p w14:paraId="740FFDD6">
      <w:pPr>
        <w:keepNext w:val="0"/>
        <w:keepLines w:val="0"/>
        <w:pageBreakBefore w:val="0"/>
        <w:widowControl w:val="0"/>
        <w:kinsoku/>
        <w:wordWrap/>
        <w:overflowPunct/>
        <w:topLinePunct w:val="0"/>
        <w:autoSpaceDE/>
        <w:autoSpaceDN/>
        <w:bidi w:val="0"/>
        <w:adjustRightInd w:val="0"/>
        <w:snapToGrid w:val="0"/>
        <w:spacing w:line="288" w:lineRule="auto"/>
        <w:ind w:firstLine="1280" w:firstLineChars="400"/>
        <w:textAlignment w:val="auto"/>
        <w:rPr>
          <w:rFonts w:hint="eastAsia" w:ascii="宋体" w:hAnsi="宋体" w:eastAsia="宋体" w:cs="宋体"/>
          <w:color w:val="auto"/>
          <w:sz w:val="32"/>
          <w:szCs w:val="36"/>
          <w:highlight w:val="none"/>
        </w:rPr>
      </w:pPr>
      <w:r>
        <w:rPr>
          <w:rFonts w:hint="eastAsia" w:ascii="宋体" w:hAnsi="宋体" w:eastAsia="宋体" w:cs="宋体"/>
          <w:color w:val="auto"/>
          <w:sz w:val="32"/>
          <w:szCs w:val="36"/>
          <w:highlight w:val="none"/>
        </w:rPr>
        <w:t>建设单位</w:t>
      </w:r>
      <w:r>
        <w:rPr>
          <w:rFonts w:hint="eastAsia" w:ascii="宋体" w:hAnsi="宋体" w:eastAsia="宋体" w:cs="宋体"/>
          <w:color w:val="auto"/>
          <w:sz w:val="32"/>
          <w:szCs w:val="36"/>
          <w:highlight w:val="none"/>
          <w:lang w:eastAsia="zh-CN"/>
        </w:rPr>
        <w:t>（</w:t>
      </w:r>
      <w:r>
        <w:rPr>
          <w:rFonts w:hint="eastAsia" w:ascii="宋体" w:hAnsi="宋体" w:eastAsia="宋体" w:cs="宋体"/>
          <w:color w:val="auto"/>
          <w:sz w:val="32"/>
          <w:szCs w:val="36"/>
          <w:highlight w:val="none"/>
        </w:rPr>
        <w:t>盖章</w:t>
      </w:r>
      <w:r>
        <w:rPr>
          <w:rFonts w:hint="eastAsia" w:ascii="宋体" w:hAnsi="宋体" w:eastAsia="宋体" w:cs="宋体"/>
          <w:color w:val="auto"/>
          <w:sz w:val="32"/>
          <w:szCs w:val="36"/>
          <w:highlight w:val="none"/>
          <w:lang w:eastAsia="zh-CN"/>
        </w:rPr>
        <w:t>）</w:t>
      </w:r>
      <w:r>
        <w:rPr>
          <w:rFonts w:hint="eastAsia" w:ascii="宋体" w:hAnsi="宋体" w:eastAsia="宋体" w:cs="宋体"/>
          <w:color w:val="auto"/>
          <w:sz w:val="32"/>
          <w:szCs w:val="36"/>
          <w:highlight w:val="none"/>
          <w:lang w:val="en-US" w:eastAsia="zh-CN"/>
        </w:rPr>
        <w:t>：</w:t>
      </w:r>
      <w:r>
        <w:rPr>
          <w:rFonts w:hint="eastAsia" w:ascii="宋体" w:hAnsi="宋体" w:eastAsia="宋体" w:cs="宋体"/>
          <w:color w:val="auto"/>
          <w:sz w:val="32"/>
          <w:szCs w:val="36"/>
          <w:highlight w:val="none"/>
          <w:u w:val="single"/>
          <w:lang w:eastAsia="zh-CN"/>
        </w:rPr>
        <w:t>双鸭山市岭东区住房和城乡建设局</w:t>
      </w:r>
    </w:p>
    <w:p w14:paraId="2CC83948">
      <w:pPr>
        <w:keepNext w:val="0"/>
        <w:keepLines w:val="0"/>
        <w:pageBreakBefore w:val="0"/>
        <w:widowControl w:val="0"/>
        <w:kinsoku/>
        <w:wordWrap/>
        <w:overflowPunct/>
        <w:topLinePunct w:val="0"/>
        <w:autoSpaceDE/>
        <w:autoSpaceDN/>
        <w:bidi w:val="0"/>
        <w:adjustRightInd w:val="0"/>
        <w:snapToGrid w:val="0"/>
        <w:spacing w:line="288" w:lineRule="auto"/>
        <w:ind w:firstLine="1280" w:firstLineChars="400"/>
        <w:textAlignment w:val="auto"/>
        <w:rPr>
          <w:rFonts w:hint="eastAsia" w:ascii="宋体" w:hAnsi="宋体" w:eastAsia="宋体" w:cs="宋体"/>
          <w:color w:val="auto"/>
          <w:sz w:val="36"/>
          <w:szCs w:val="36"/>
          <w:highlight w:val="none"/>
          <w:u w:val="single"/>
        </w:rPr>
      </w:pPr>
      <w:r>
        <w:rPr>
          <w:rFonts w:hint="eastAsia" w:ascii="宋体" w:hAnsi="宋体" w:eastAsia="宋体" w:cs="宋体"/>
          <w:color w:val="auto"/>
          <w:sz w:val="32"/>
          <w:szCs w:val="36"/>
          <w:highlight w:val="none"/>
        </w:rPr>
        <w:t xml:space="preserve">编制日期：          </w:t>
      </w:r>
      <w:r>
        <w:rPr>
          <w:rFonts w:hint="eastAsia" w:ascii="宋体" w:hAnsi="宋体" w:eastAsia="宋体" w:cs="宋体"/>
          <w:color w:val="auto"/>
          <w:sz w:val="32"/>
          <w:szCs w:val="36"/>
          <w:highlight w:val="none"/>
          <w:u w:val="single"/>
        </w:rPr>
        <w:t>202</w:t>
      </w:r>
      <w:r>
        <w:rPr>
          <w:rFonts w:hint="eastAsia" w:ascii="宋体" w:hAnsi="宋体" w:eastAsia="宋体" w:cs="宋体"/>
          <w:color w:val="auto"/>
          <w:sz w:val="32"/>
          <w:szCs w:val="36"/>
          <w:highlight w:val="none"/>
          <w:u w:val="single"/>
          <w:lang w:val="en-US" w:eastAsia="zh-CN"/>
        </w:rPr>
        <w:t>5</w:t>
      </w:r>
      <w:r>
        <w:rPr>
          <w:rFonts w:hint="eastAsia" w:ascii="宋体" w:hAnsi="宋体" w:eastAsia="宋体" w:cs="宋体"/>
          <w:color w:val="auto"/>
          <w:sz w:val="32"/>
          <w:szCs w:val="36"/>
          <w:highlight w:val="none"/>
          <w:u w:val="single"/>
        </w:rPr>
        <w:t>年</w:t>
      </w:r>
      <w:r>
        <w:rPr>
          <w:rFonts w:hint="eastAsia" w:ascii="宋体" w:hAnsi="宋体" w:eastAsia="宋体" w:cs="宋体"/>
          <w:color w:val="auto"/>
          <w:sz w:val="32"/>
          <w:szCs w:val="36"/>
          <w:highlight w:val="none"/>
          <w:u w:val="single"/>
          <w:lang w:val="en-US" w:eastAsia="zh-CN"/>
        </w:rPr>
        <w:t>2</w:t>
      </w:r>
      <w:r>
        <w:rPr>
          <w:rFonts w:hint="eastAsia" w:ascii="宋体" w:hAnsi="宋体" w:eastAsia="宋体" w:cs="宋体"/>
          <w:color w:val="auto"/>
          <w:sz w:val="32"/>
          <w:szCs w:val="36"/>
          <w:highlight w:val="none"/>
          <w:u w:val="single"/>
        </w:rPr>
        <w:t>月</w:t>
      </w:r>
      <w:r>
        <w:rPr>
          <w:rFonts w:hint="eastAsia" w:ascii="宋体" w:hAnsi="宋体" w:eastAsia="宋体" w:cs="宋体"/>
          <w:color w:val="auto"/>
          <w:sz w:val="32"/>
          <w:szCs w:val="36"/>
          <w:highlight w:val="none"/>
        </w:rPr>
        <w:t xml:space="preserve">           </w:t>
      </w:r>
    </w:p>
    <w:p w14:paraId="65BE0115">
      <w:pPr>
        <w:adjustRightInd w:val="0"/>
        <w:snapToGrid w:val="0"/>
        <w:spacing w:line="288" w:lineRule="auto"/>
        <w:ind w:firstLine="1040"/>
        <w:rPr>
          <w:rFonts w:hint="eastAsia" w:ascii="宋体" w:hAnsi="宋体" w:eastAsia="宋体" w:cs="宋体"/>
          <w:color w:val="auto"/>
          <w:szCs w:val="21"/>
          <w:highlight w:val="none"/>
          <w:u w:val="single"/>
        </w:rPr>
      </w:pPr>
      <w:bookmarkStart w:id="1" w:name="_Hlk57884087"/>
    </w:p>
    <w:p w14:paraId="1B7F0247">
      <w:pPr>
        <w:adjustRightInd w:val="0"/>
        <w:snapToGrid w:val="0"/>
        <w:spacing w:line="288" w:lineRule="auto"/>
        <w:ind w:firstLine="1040"/>
        <w:rPr>
          <w:rFonts w:hint="eastAsia" w:ascii="宋体" w:hAnsi="宋体" w:eastAsia="宋体" w:cs="宋体"/>
          <w:color w:val="auto"/>
          <w:sz w:val="36"/>
          <w:szCs w:val="36"/>
          <w:highlight w:val="none"/>
        </w:rPr>
      </w:pPr>
    </w:p>
    <w:p w14:paraId="6DE65FBC">
      <w:pPr>
        <w:adjustRightInd w:val="0"/>
        <w:snapToGrid w:val="0"/>
        <w:spacing w:line="288" w:lineRule="auto"/>
        <w:ind w:firstLine="1040"/>
        <w:rPr>
          <w:rFonts w:hint="eastAsia" w:ascii="宋体" w:hAnsi="宋体" w:eastAsia="宋体" w:cs="宋体"/>
          <w:color w:val="auto"/>
          <w:sz w:val="36"/>
          <w:szCs w:val="36"/>
          <w:highlight w:val="none"/>
        </w:rPr>
      </w:pPr>
    </w:p>
    <w:p w14:paraId="4A521E75">
      <w:pPr>
        <w:adjustRightInd w:val="0"/>
        <w:snapToGrid w:val="0"/>
        <w:spacing w:line="288" w:lineRule="auto"/>
        <w:ind w:firstLine="1040"/>
        <w:rPr>
          <w:rFonts w:hint="eastAsia" w:ascii="宋体" w:hAnsi="宋体" w:eastAsia="宋体" w:cs="宋体"/>
          <w:color w:val="auto"/>
          <w:sz w:val="36"/>
          <w:szCs w:val="36"/>
          <w:highlight w:val="none"/>
        </w:rPr>
      </w:pPr>
    </w:p>
    <w:bookmarkEnd w:id="1"/>
    <w:p w14:paraId="5D5ADC92">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rPr>
          <w:rFonts w:hint="eastAsia" w:ascii="宋体" w:hAnsi="宋体" w:eastAsia="宋体" w:cs="宋体"/>
          <w:color w:val="auto"/>
          <w:sz w:val="36"/>
          <w:szCs w:val="36"/>
          <w:highlight w:val="none"/>
        </w:rPr>
      </w:pPr>
      <w:r>
        <w:rPr>
          <w:rFonts w:hint="eastAsia" w:ascii="宋体" w:hAnsi="宋体" w:eastAsia="宋体" w:cs="宋体"/>
          <w:color w:val="auto"/>
          <w:sz w:val="36"/>
          <w:szCs w:val="36"/>
          <w:highlight w:val="none"/>
        </w:rPr>
        <w:t>中华人民共和国生态环境部制</w:t>
      </w:r>
    </w:p>
    <w:p w14:paraId="3D552A1A">
      <w:pPr>
        <w:ind w:left="0" w:leftChars="0" w:firstLine="0" w:firstLineChars="0"/>
        <w:jc w:val="center"/>
        <w:rPr>
          <w:rFonts w:hint="eastAsia" w:ascii="宋体" w:hAnsi="宋体" w:eastAsia="宋体" w:cs="宋体"/>
          <w:smallCaps w:val="0"/>
          <w:color w:val="auto"/>
          <w:sz w:val="36"/>
          <w:szCs w:val="36"/>
          <w:highlight w:val="none"/>
          <w:lang w:eastAsia="zh-CN"/>
        </w:rPr>
      </w:pPr>
      <w:r>
        <w:rPr>
          <w:rFonts w:hint="eastAsia" w:ascii="宋体" w:hAnsi="宋体" w:eastAsia="宋体" w:cs="宋体"/>
          <w:smallCaps w:val="0"/>
          <w:color w:val="auto"/>
          <w:sz w:val="36"/>
          <w:szCs w:val="36"/>
          <w:highlight w:val="none"/>
          <w:lang w:eastAsia="zh-CN"/>
        </w:rPr>
        <w:drawing>
          <wp:inline distT="0" distB="0" distL="114300" distR="114300">
            <wp:extent cx="6643370" cy="9399905"/>
            <wp:effectExtent l="0" t="0" r="5080" b="10795"/>
            <wp:docPr id="37" name="图片 480" descr="双鸭山至时代公路提质改造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80" descr="双鸭山至时代公路提质改造工程_00"/>
                    <pic:cNvPicPr>
                      <a:picLocks noChangeAspect="1"/>
                    </pic:cNvPicPr>
                  </pic:nvPicPr>
                  <pic:blipFill>
                    <a:blip r:embed="rId21"/>
                    <a:stretch>
                      <a:fillRect/>
                    </a:stretch>
                  </pic:blipFill>
                  <pic:spPr>
                    <a:xfrm>
                      <a:off x="0" y="0"/>
                      <a:ext cx="6643370" cy="9399905"/>
                    </a:xfrm>
                    <a:prstGeom prst="rect">
                      <a:avLst/>
                    </a:prstGeom>
                    <a:noFill/>
                    <a:ln>
                      <a:noFill/>
                    </a:ln>
                  </pic:spPr>
                </pic:pic>
              </a:graphicData>
            </a:graphic>
          </wp:inline>
        </w:drawing>
      </w:r>
    </w:p>
    <w:p w14:paraId="71525B76">
      <w:pPr>
        <w:pStyle w:val="30"/>
        <w:jc w:val="both"/>
        <w:rPr>
          <w:rFonts w:hint="eastAsia" w:ascii="宋体" w:hAnsi="宋体" w:eastAsia="宋体" w:cs="宋体"/>
          <w:smallCaps w:val="0"/>
          <w:color w:val="auto"/>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720" w:right="720" w:bottom="720" w:left="720" w:header="851" w:footer="1077" w:gutter="0"/>
          <w:pgBorders>
            <w:top w:val="none" w:sz="0" w:space="0"/>
            <w:left w:val="none" w:sz="0" w:space="0"/>
            <w:bottom w:val="none" w:sz="0" w:space="0"/>
            <w:right w:val="none" w:sz="0" w:space="0"/>
          </w:pgBorders>
          <w:pgNumType w:start="1"/>
          <w:cols w:space="720" w:num="1"/>
          <w:docGrid w:linePitch="312" w:charSpace="0"/>
        </w:sectPr>
      </w:pPr>
    </w:p>
    <w:bookmarkEnd w:id="0"/>
    <w:p w14:paraId="54FEDA24">
      <w:pPr>
        <w:pStyle w:val="4"/>
        <w:rPr>
          <w:rFonts w:hint="eastAsia" w:ascii="宋体" w:hAnsi="宋体" w:eastAsia="宋体" w:cs="宋体"/>
          <w:smallCaps w:val="0"/>
          <w:color w:val="auto"/>
          <w:highlight w:val="none"/>
        </w:rPr>
      </w:pPr>
      <w:bookmarkStart w:id="2" w:name="_Toc68880307"/>
      <w:r>
        <w:rPr>
          <w:rFonts w:hint="eastAsia" w:ascii="宋体" w:hAnsi="宋体" w:eastAsia="宋体" w:cs="宋体"/>
          <w:smallCaps w:val="0"/>
          <w:color w:val="auto"/>
          <w:highlight w:val="none"/>
        </w:rPr>
        <w:t>一、建设项目基本情况</w:t>
      </w:r>
      <w:bookmarkEnd w:id="2"/>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542"/>
        <w:gridCol w:w="652"/>
        <w:gridCol w:w="1029"/>
        <w:gridCol w:w="2041"/>
        <w:gridCol w:w="2057"/>
        <w:gridCol w:w="2636"/>
      </w:tblGrid>
      <w:tr w14:paraId="12B081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223" w:type="dxa"/>
            <w:gridSpan w:val="3"/>
            <w:noWrap w:val="0"/>
            <w:tcMar>
              <w:top w:w="16" w:type="dxa"/>
              <w:left w:w="16" w:type="dxa"/>
              <w:right w:w="16" w:type="dxa"/>
            </w:tcMar>
            <w:vAlign w:val="center"/>
          </w:tcPr>
          <w:p w14:paraId="655AD2FD">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建设项目名称</w:t>
            </w:r>
          </w:p>
        </w:tc>
        <w:tc>
          <w:tcPr>
            <w:tcW w:w="6734" w:type="dxa"/>
            <w:gridSpan w:val="3"/>
            <w:noWrap w:val="0"/>
            <w:vAlign w:val="center"/>
          </w:tcPr>
          <w:p w14:paraId="250964F0">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eastAsia="zh-CN"/>
              </w:rPr>
              <w:t>双鸭山至时代公路提质改造工程</w:t>
            </w:r>
          </w:p>
        </w:tc>
      </w:tr>
      <w:tr w14:paraId="60EE41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223" w:type="dxa"/>
            <w:gridSpan w:val="3"/>
            <w:noWrap w:val="0"/>
            <w:tcMar>
              <w:top w:w="16" w:type="dxa"/>
              <w:left w:w="16" w:type="dxa"/>
              <w:right w:w="16" w:type="dxa"/>
            </w:tcMar>
            <w:vAlign w:val="center"/>
          </w:tcPr>
          <w:p w14:paraId="321FB955">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项目代码</w:t>
            </w:r>
          </w:p>
        </w:tc>
        <w:tc>
          <w:tcPr>
            <w:tcW w:w="6734" w:type="dxa"/>
            <w:gridSpan w:val="3"/>
            <w:noWrap w:val="0"/>
            <w:vAlign w:val="center"/>
          </w:tcPr>
          <w:p w14:paraId="7F01CDD9">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w:t>
            </w:r>
          </w:p>
        </w:tc>
      </w:tr>
      <w:tr w14:paraId="43BDF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223" w:type="dxa"/>
            <w:gridSpan w:val="3"/>
            <w:noWrap w:val="0"/>
            <w:tcMar>
              <w:top w:w="16" w:type="dxa"/>
              <w:left w:w="16" w:type="dxa"/>
              <w:right w:w="16" w:type="dxa"/>
            </w:tcMar>
            <w:vAlign w:val="center"/>
          </w:tcPr>
          <w:p w14:paraId="44F3284A">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建设单位联系人</w:t>
            </w:r>
          </w:p>
        </w:tc>
        <w:tc>
          <w:tcPr>
            <w:tcW w:w="2041" w:type="dxa"/>
            <w:noWrap w:val="0"/>
            <w:vAlign w:val="center"/>
          </w:tcPr>
          <w:p w14:paraId="03840170">
            <w:pPr>
              <w:pStyle w:val="73"/>
              <w:rPr>
                <w:rFonts w:hint="eastAsia" w:ascii="宋体" w:hAnsi="宋体" w:eastAsia="宋体" w:cs="宋体"/>
                <w:b/>
                <w:bCs/>
                <w:smallCaps w:val="0"/>
                <w:color w:val="auto"/>
                <w:sz w:val="24"/>
                <w:szCs w:val="24"/>
                <w:highlight w:val="none"/>
                <w:lang w:val="en-US"/>
              </w:rPr>
            </w:pPr>
            <w:r>
              <w:rPr>
                <w:rFonts w:hint="eastAsia" w:ascii="宋体" w:hAnsi="宋体" w:eastAsia="宋体" w:cs="宋体"/>
                <w:color w:val="auto"/>
                <w:sz w:val="24"/>
                <w:szCs w:val="24"/>
                <w:highlight w:val="none"/>
                <w:lang w:eastAsia="zh-CN"/>
              </w:rPr>
              <w:t>王国栋</w:t>
            </w:r>
          </w:p>
        </w:tc>
        <w:tc>
          <w:tcPr>
            <w:tcW w:w="2057" w:type="dxa"/>
            <w:noWrap w:val="0"/>
            <w:vAlign w:val="center"/>
          </w:tcPr>
          <w:p w14:paraId="3613B5A4">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联系方式</w:t>
            </w:r>
          </w:p>
        </w:tc>
        <w:tc>
          <w:tcPr>
            <w:tcW w:w="2636" w:type="dxa"/>
            <w:noWrap w:val="0"/>
            <w:vAlign w:val="center"/>
          </w:tcPr>
          <w:p w14:paraId="10CFCA36">
            <w:pPr>
              <w:pStyle w:val="73"/>
              <w:rPr>
                <w:rFonts w:hint="eastAsia" w:ascii="宋体" w:hAnsi="宋体" w:eastAsia="宋体" w:cs="宋体"/>
                <w:smallCaps w:val="0"/>
                <w:color w:val="auto"/>
                <w:sz w:val="24"/>
                <w:szCs w:val="24"/>
                <w:highlight w:val="none"/>
                <w:lang w:val="en-US"/>
              </w:rPr>
            </w:pPr>
            <w:r>
              <w:rPr>
                <w:rFonts w:hint="eastAsia" w:ascii="宋体" w:hAnsi="宋体" w:eastAsia="宋体" w:cs="宋体"/>
                <w:color w:val="auto"/>
                <w:sz w:val="24"/>
                <w:szCs w:val="24"/>
                <w:highlight w:val="none"/>
                <w:lang w:val="en-US" w:eastAsia="zh-CN"/>
              </w:rPr>
              <w:t>18646920000</w:t>
            </w:r>
          </w:p>
        </w:tc>
      </w:tr>
      <w:tr w14:paraId="12A671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2223" w:type="dxa"/>
            <w:gridSpan w:val="3"/>
            <w:noWrap w:val="0"/>
            <w:tcMar>
              <w:top w:w="16" w:type="dxa"/>
              <w:left w:w="16" w:type="dxa"/>
              <w:right w:w="16" w:type="dxa"/>
            </w:tcMar>
            <w:vAlign w:val="center"/>
          </w:tcPr>
          <w:p w14:paraId="3301D0E8">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建设地点</w:t>
            </w:r>
          </w:p>
        </w:tc>
        <w:tc>
          <w:tcPr>
            <w:tcW w:w="6734" w:type="dxa"/>
            <w:gridSpan w:val="3"/>
            <w:noWrap w:val="0"/>
            <w:vAlign w:val="center"/>
          </w:tcPr>
          <w:p w14:paraId="41CD30EC">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本项目拟建于岭东区，工程起点为双鸭山至时代公路钢铁桥桥尾，终点与水泥厂水泥混凝土硬化路相接</w:t>
            </w:r>
          </w:p>
        </w:tc>
      </w:tr>
      <w:tr w14:paraId="0F9862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2223" w:type="dxa"/>
            <w:gridSpan w:val="3"/>
            <w:noWrap w:val="0"/>
            <w:tcMar>
              <w:top w:w="16" w:type="dxa"/>
              <w:left w:w="16" w:type="dxa"/>
              <w:right w:w="16" w:type="dxa"/>
            </w:tcMar>
            <w:vAlign w:val="center"/>
          </w:tcPr>
          <w:p w14:paraId="1C3FAB95">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地理坐标</w:t>
            </w:r>
          </w:p>
        </w:tc>
        <w:tc>
          <w:tcPr>
            <w:tcW w:w="6734" w:type="dxa"/>
            <w:gridSpan w:val="3"/>
            <w:noWrap w:val="0"/>
            <w:vAlign w:val="center"/>
          </w:tcPr>
          <w:p w14:paraId="337E3CA8">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本项目工程起点为双鸭山至时代公路钢铁桥桥尾，终点与水泥厂水泥混凝土硬化路相接。建设起点、终点坐标见下表</w:t>
            </w:r>
          </w:p>
          <w:tbl>
            <w:tblPr>
              <w:tblStyle w:val="34"/>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316"/>
              <w:gridCol w:w="1316"/>
              <w:gridCol w:w="1474"/>
              <w:gridCol w:w="1475"/>
              <w:gridCol w:w="501"/>
            </w:tblGrid>
            <w:tr w14:paraId="1BA8D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3" w:type="dxa"/>
                  <w:vMerge w:val="restart"/>
                  <w:tcBorders>
                    <w:top w:val="single" w:color="auto" w:sz="12" w:space="0"/>
                    <w:left w:val="nil"/>
                  </w:tcBorders>
                  <w:noWrap w:val="0"/>
                  <w:vAlign w:val="center"/>
                </w:tcPr>
                <w:p w14:paraId="6A9A24F6">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序号</w:t>
                  </w:r>
                </w:p>
              </w:tc>
              <w:tc>
                <w:tcPr>
                  <w:tcW w:w="2636" w:type="dxa"/>
                  <w:gridSpan w:val="2"/>
                  <w:tcBorders>
                    <w:top w:val="single" w:color="auto" w:sz="12" w:space="0"/>
                  </w:tcBorders>
                  <w:noWrap w:val="0"/>
                  <w:vAlign w:val="center"/>
                </w:tcPr>
                <w:p w14:paraId="47D645D6">
                  <w:pPr>
                    <w:pStyle w:val="73"/>
                    <w:jc w:val="center"/>
                    <w:rPr>
                      <w:rFonts w:hint="eastAsia" w:ascii="宋体" w:hAnsi="宋体" w:eastAsia="宋体" w:cs="宋体"/>
                      <w:b/>
                      <w:bCs/>
                      <w:smallCaps w:val="0"/>
                      <w:color w:val="auto"/>
                      <w:sz w:val="21"/>
                      <w:szCs w:val="21"/>
                      <w:highlight w:val="none"/>
                      <w:vertAlign w:val="baseline"/>
                      <w:lang w:val="en-US" w:eastAsia="zh-CN"/>
                    </w:rPr>
                  </w:pPr>
                  <w:r>
                    <w:rPr>
                      <w:rFonts w:hint="eastAsia" w:ascii="宋体" w:hAnsi="宋体" w:eastAsia="宋体" w:cs="宋体"/>
                      <w:b/>
                      <w:bCs/>
                      <w:smallCaps w:val="0"/>
                      <w:color w:val="auto"/>
                      <w:sz w:val="21"/>
                      <w:szCs w:val="21"/>
                      <w:highlight w:val="none"/>
                      <w:vertAlign w:val="baseline"/>
                      <w:lang w:val="en-US" w:eastAsia="zh-CN"/>
                    </w:rPr>
                    <w:t>起点</w:t>
                  </w:r>
                </w:p>
              </w:tc>
              <w:tc>
                <w:tcPr>
                  <w:tcW w:w="2953" w:type="dxa"/>
                  <w:gridSpan w:val="2"/>
                  <w:tcBorders>
                    <w:top w:val="single" w:color="auto" w:sz="12" w:space="0"/>
                  </w:tcBorders>
                  <w:noWrap w:val="0"/>
                  <w:vAlign w:val="center"/>
                </w:tcPr>
                <w:p w14:paraId="174408FB">
                  <w:pPr>
                    <w:pStyle w:val="73"/>
                    <w:jc w:val="center"/>
                    <w:rPr>
                      <w:rFonts w:hint="eastAsia" w:ascii="宋体" w:hAnsi="宋体" w:eastAsia="宋体" w:cs="宋体"/>
                      <w:b/>
                      <w:bCs/>
                      <w:smallCaps w:val="0"/>
                      <w:color w:val="auto"/>
                      <w:sz w:val="21"/>
                      <w:szCs w:val="21"/>
                      <w:highlight w:val="none"/>
                      <w:vertAlign w:val="baseline"/>
                      <w:lang w:val="en-US" w:eastAsia="zh-CN"/>
                    </w:rPr>
                  </w:pPr>
                  <w:r>
                    <w:rPr>
                      <w:rFonts w:hint="eastAsia" w:ascii="宋体" w:hAnsi="宋体" w:eastAsia="宋体" w:cs="宋体"/>
                      <w:b/>
                      <w:bCs/>
                      <w:smallCaps w:val="0"/>
                      <w:color w:val="auto"/>
                      <w:sz w:val="21"/>
                      <w:szCs w:val="21"/>
                      <w:highlight w:val="none"/>
                      <w:vertAlign w:val="baseline"/>
                      <w:lang w:val="en-US" w:eastAsia="zh-CN"/>
                    </w:rPr>
                    <w:t>终点</w:t>
                  </w:r>
                </w:p>
              </w:tc>
              <w:tc>
                <w:tcPr>
                  <w:tcW w:w="502" w:type="dxa"/>
                  <w:vMerge w:val="restart"/>
                  <w:tcBorders>
                    <w:top w:val="single" w:color="auto" w:sz="12" w:space="0"/>
                    <w:right w:val="nil"/>
                  </w:tcBorders>
                  <w:noWrap w:val="0"/>
                  <w:vAlign w:val="center"/>
                </w:tcPr>
                <w:p w14:paraId="53C812D5">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走向</w:t>
                  </w:r>
                </w:p>
              </w:tc>
            </w:tr>
            <w:tr w14:paraId="75A02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3" w:type="dxa"/>
                  <w:vMerge w:val="continue"/>
                  <w:tcBorders>
                    <w:left w:val="nil"/>
                  </w:tcBorders>
                  <w:noWrap w:val="0"/>
                  <w:vAlign w:val="center"/>
                </w:tcPr>
                <w:p w14:paraId="7C6CA2A0">
                  <w:pPr>
                    <w:pStyle w:val="73"/>
                    <w:jc w:val="center"/>
                    <w:rPr>
                      <w:rFonts w:hint="eastAsia" w:ascii="宋体" w:hAnsi="宋体" w:eastAsia="宋体" w:cs="宋体"/>
                      <w:smallCaps w:val="0"/>
                      <w:color w:val="auto"/>
                      <w:sz w:val="21"/>
                      <w:szCs w:val="21"/>
                      <w:highlight w:val="none"/>
                      <w:vertAlign w:val="baseline"/>
                    </w:rPr>
                  </w:pPr>
                </w:p>
              </w:tc>
              <w:tc>
                <w:tcPr>
                  <w:tcW w:w="1318" w:type="dxa"/>
                  <w:noWrap w:val="0"/>
                  <w:vAlign w:val="center"/>
                </w:tcPr>
                <w:p w14:paraId="783FB91A">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经度</w:t>
                  </w:r>
                </w:p>
              </w:tc>
              <w:tc>
                <w:tcPr>
                  <w:tcW w:w="1318" w:type="dxa"/>
                  <w:noWrap w:val="0"/>
                  <w:vAlign w:val="center"/>
                </w:tcPr>
                <w:p w14:paraId="17F53ECD">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纬度</w:t>
                  </w:r>
                </w:p>
              </w:tc>
              <w:tc>
                <w:tcPr>
                  <w:tcW w:w="1476" w:type="dxa"/>
                  <w:noWrap w:val="0"/>
                  <w:vAlign w:val="center"/>
                </w:tcPr>
                <w:p w14:paraId="5FEA2EA1">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经度</w:t>
                  </w:r>
                </w:p>
              </w:tc>
              <w:tc>
                <w:tcPr>
                  <w:tcW w:w="1477" w:type="dxa"/>
                  <w:noWrap w:val="0"/>
                  <w:vAlign w:val="center"/>
                </w:tcPr>
                <w:p w14:paraId="0F6D6A66">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纬度</w:t>
                  </w:r>
                </w:p>
              </w:tc>
              <w:tc>
                <w:tcPr>
                  <w:tcW w:w="502" w:type="dxa"/>
                  <w:vMerge w:val="continue"/>
                  <w:tcBorders>
                    <w:right w:val="nil"/>
                  </w:tcBorders>
                  <w:noWrap w:val="0"/>
                  <w:vAlign w:val="center"/>
                </w:tcPr>
                <w:p w14:paraId="0CF38400">
                  <w:pPr>
                    <w:pStyle w:val="73"/>
                    <w:jc w:val="center"/>
                    <w:rPr>
                      <w:rFonts w:hint="eastAsia" w:ascii="宋体" w:hAnsi="宋体" w:eastAsia="宋体" w:cs="宋体"/>
                      <w:smallCaps w:val="0"/>
                      <w:color w:val="auto"/>
                      <w:sz w:val="21"/>
                      <w:szCs w:val="21"/>
                      <w:highlight w:val="none"/>
                      <w:vertAlign w:val="baseline"/>
                    </w:rPr>
                  </w:pPr>
                </w:p>
              </w:tc>
            </w:tr>
            <w:tr w14:paraId="199AA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463" w:type="dxa"/>
                  <w:tcBorders>
                    <w:left w:val="nil"/>
                    <w:bottom w:val="single" w:color="auto" w:sz="12" w:space="0"/>
                  </w:tcBorders>
                  <w:noWrap w:val="0"/>
                  <w:vAlign w:val="center"/>
                </w:tcPr>
                <w:p w14:paraId="3D64A818">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1</w:t>
                  </w:r>
                </w:p>
              </w:tc>
              <w:tc>
                <w:tcPr>
                  <w:tcW w:w="1318" w:type="dxa"/>
                  <w:tcBorders>
                    <w:bottom w:val="single" w:color="auto" w:sz="12" w:space="0"/>
                  </w:tcBorders>
                  <w:noWrap w:val="0"/>
                  <w:vAlign w:val="center"/>
                </w:tcPr>
                <w:p w14:paraId="2A9D9803">
                  <w:pPr>
                    <w:pStyle w:val="73"/>
                    <w:jc w:val="center"/>
                    <w:rPr>
                      <w:rFonts w:hint="eastAsia" w:ascii="宋体" w:hAnsi="宋体" w:eastAsia="宋体" w:cs="宋体"/>
                      <w:smallCaps w:val="0"/>
                      <w:color w:val="auto"/>
                      <w:sz w:val="21"/>
                      <w:szCs w:val="21"/>
                      <w:highlight w:val="yellow"/>
                      <w:vertAlign w:val="baseline"/>
                    </w:rPr>
                  </w:pPr>
                  <w:r>
                    <w:rPr>
                      <w:rFonts w:hint="eastAsia" w:ascii="宋体" w:hAnsi="宋体" w:eastAsia="宋体" w:cs="宋体"/>
                      <w:smallCaps w:val="0"/>
                      <w:color w:val="auto"/>
                      <w:sz w:val="21"/>
                      <w:szCs w:val="21"/>
                      <w:highlight w:val="yellow"/>
                      <w:vertAlign w:val="baseline"/>
                    </w:rPr>
                    <w:t>131°4′12.093</w:t>
                  </w:r>
                </w:p>
              </w:tc>
              <w:tc>
                <w:tcPr>
                  <w:tcW w:w="1318" w:type="dxa"/>
                  <w:tcBorders>
                    <w:bottom w:val="single" w:color="auto" w:sz="12" w:space="0"/>
                  </w:tcBorders>
                  <w:noWrap w:val="0"/>
                  <w:vAlign w:val="center"/>
                </w:tcPr>
                <w:p w14:paraId="286B4A62">
                  <w:pPr>
                    <w:pStyle w:val="73"/>
                    <w:jc w:val="center"/>
                    <w:rPr>
                      <w:rFonts w:hint="eastAsia" w:ascii="宋体" w:hAnsi="宋体" w:eastAsia="宋体" w:cs="宋体"/>
                      <w:smallCaps w:val="0"/>
                      <w:color w:val="auto"/>
                      <w:sz w:val="21"/>
                      <w:szCs w:val="21"/>
                      <w:highlight w:val="yellow"/>
                      <w:vertAlign w:val="baseline"/>
                    </w:rPr>
                  </w:pPr>
                  <w:r>
                    <w:rPr>
                      <w:rFonts w:hint="eastAsia" w:ascii="宋体" w:hAnsi="宋体" w:eastAsia="宋体" w:cs="宋体"/>
                      <w:smallCaps w:val="0"/>
                      <w:color w:val="auto"/>
                      <w:sz w:val="21"/>
                      <w:szCs w:val="21"/>
                      <w:highlight w:val="yellow"/>
                      <w:vertAlign w:val="baseline"/>
                    </w:rPr>
                    <w:t>46°35′43.706</w:t>
                  </w:r>
                </w:p>
              </w:tc>
              <w:tc>
                <w:tcPr>
                  <w:tcW w:w="1476" w:type="dxa"/>
                  <w:tcBorders>
                    <w:bottom w:val="single" w:color="auto" w:sz="12" w:space="0"/>
                  </w:tcBorders>
                  <w:noWrap w:val="0"/>
                  <w:vAlign w:val="center"/>
                </w:tcPr>
                <w:p w14:paraId="555E66FF">
                  <w:pPr>
                    <w:pStyle w:val="73"/>
                    <w:jc w:val="center"/>
                    <w:rPr>
                      <w:rFonts w:hint="eastAsia" w:ascii="宋体" w:hAnsi="宋体" w:eastAsia="宋体" w:cs="宋体"/>
                      <w:smallCaps w:val="0"/>
                      <w:color w:val="auto"/>
                      <w:sz w:val="21"/>
                      <w:szCs w:val="21"/>
                      <w:highlight w:val="yellow"/>
                      <w:vertAlign w:val="baseline"/>
                    </w:rPr>
                  </w:pPr>
                  <w:r>
                    <w:rPr>
                      <w:rFonts w:hint="eastAsia" w:ascii="宋体" w:hAnsi="宋体" w:eastAsia="宋体" w:cs="宋体"/>
                      <w:smallCaps w:val="0"/>
                      <w:color w:val="auto"/>
                      <w:sz w:val="21"/>
                      <w:szCs w:val="21"/>
                      <w:highlight w:val="yellow"/>
                      <w:vertAlign w:val="baseline"/>
                    </w:rPr>
                    <w:t>131°2′55.093</w:t>
                  </w:r>
                </w:p>
              </w:tc>
              <w:tc>
                <w:tcPr>
                  <w:tcW w:w="1477" w:type="dxa"/>
                  <w:tcBorders>
                    <w:bottom w:val="single" w:color="auto" w:sz="12" w:space="0"/>
                  </w:tcBorders>
                  <w:noWrap w:val="0"/>
                  <w:vAlign w:val="center"/>
                </w:tcPr>
                <w:p w14:paraId="4237C015">
                  <w:pPr>
                    <w:pStyle w:val="73"/>
                    <w:jc w:val="center"/>
                    <w:rPr>
                      <w:rFonts w:hint="eastAsia" w:ascii="宋体" w:hAnsi="宋体" w:eastAsia="宋体" w:cs="宋体"/>
                      <w:smallCaps w:val="0"/>
                      <w:color w:val="auto"/>
                      <w:sz w:val="21"/>
                      <w:szCs w:val="21"/>
                      <w:highlight w:val="yellow"/>
                      <w:vertAlign w:val="baseline"/>
                    </w:rPr>
                  </w:pPr>
                  <w:r>
                    <w:rPr>
                      <w:rFonts w:hint="eastAsia" w:ascii="宋体" w:hAnsi="宋体" w:eastAsia="宋体" w:cs="宋体"/>
                      <w:smallCaps w:val="0"/>
                      <w:color w:val="auto"/>
                      <w:sz w:val="21"/>
                      <w:szCs w:val="21"/>
                      <w:highlight w:val="yellow"/>
                      <w:vertAlign w:val="baseline"/>
                    </w:rPr>
                    <w:t>46°35′55.552</w:t>
                  </w:r>
                </w:p>
              </w:tc>
              <w:tc>
                <w:tcPr>
                  <w:tcW w:w="502" w:type="dxa"/>
                  <w:tcBorders>
                    <w:bottom w:val="single" w:color="auto" w:sz="12" w:space="0"/>
                    <w:right w:val="nil"/>
                  </w:tcBorders>
                  <w:noWrap w:val="0"/>
                  <w:vAlign w:val="center"/>
                </w:tcPr>
                <w:p w14:paraId="0898C176">
                  <w:pPr>
                    <w:pStyle w:val="73"/>
                    <w:jc w:val="center"/>
                    <w:rPr>
                      <w:rFonts w:hint="eastAsia" w:ascii="宋体" w:hAnsi="宋体" w:eastAsia="宋体" w:cs="宋体"/>
                      <w:smallCaps w:val="0"/>
                      <w:color w:val="auto"/>
                      <w:sz w:val="21"/>
                      <w:szCs w:val="21"/>
                      <w:highlight w:val="none"/>
                      <w:vertAlign w:val="baseline"/>
                      <w:lang w:val="en-US" w:eastAsia="zh-CN"/>
                    </w:rPr>
                  </w:pPr>
                  <w:r>
                    <w:rPr>
                      <w:rFonts w:hint="eastAsia" w:ascii="宋体" w:hAnsi="宋体" w:eastAsia="宋体" w:cs="宋体"/>
                      <w:smallCaps w:val="0"/>
                      <w:color w:val="auto"/>
                      <w:sz w:val="21"/>
                      <w:szCs w:val="21"/>
                      <w:highlight w:val="none"/>
                      <w:vertAlign w:val="baseline"/>
                      <w:lang w:val="en-US" w:eastAsia="zh-CN"/>
                    </w:rPr>
                    <w:t>东西</w:t>
                  </w:r>
                </w:p>
              </w:tc>
            </w:tr>
          </w:tbl>
          <w:p w14:paraId="30D2E7DB">
            <w:pPr>
              <w:pStyle w:val="73"/>
              <w:rPr>
                <w:rFonts w:hint="eastAsia" w:ascii="宋体" w:hAnsi="宋体" w:eastAsia="宋体" w:cs="宋体"/>
                <w:smallCaps w:val="0"/>
                <w:color w:val="auto"/>
                <w:sz w:val="24"/>
                <w:szCs w:val="24"/>
                <w:highlight w:val="none"/>
              </w:rPr>
            </w:pPr>
          </w:p>
        </w:tc>
      </w:tr>
      <w:tr w14:paraId="6B65A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15" w:hRule="atLeast"/>
          <w:jc w:val="center"/>
        </w:trPr>
        <w:tc>
          <w:tcPr>
            <w:tcW w:w="2223" w:type="dxa"/>
            <w:gridSpan w:val="3"/>
            <w:noWrap w:val="0"/>
            <w:tcMar>
              <w:top w:w="16" w:type="dxa"/>
              <w:left w:w="16" w:type="dxa"/>
              <w:right w:w="16" w:type="dxa"/>
            </w:tcMar>
            <w:vAlign w:val="center"/>
          </w:tcPr>
          <w:p w14:paraId="0D571A87">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建设项目</w:t>
            </w:r>
          </w:p>
          <w:p w14:paraId="555F6C5D">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行业类别</w:t>
            </w:r>
          </w:p>
        </w:tc>
        <w:tc>
          <w:tcPr>
            <w:tcW w:w="2041" w:type="dxa"/>
            <w:noWrap w:val="0"/>
            <w:vAlign w:val="center"/>
          </w:tcPr>
          <w:p w14:paraId="776F66E5">
            <w:pPr>
              <w:keepNext w:val="0"/>
              <w:keepLines w:val="0"/>
              <w:widowControl/>
              <w:suppressLineNumbers w:val="0"/>
              <w:spacing w:line="240" w:lineRule="auto"/>
              <w:jc w:val="left"/>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rPr>
              <w:t>五十二、交通运输业、管道运输业</w:t>
            </w:r>
            <w:r>
              <w:rPr>
                <w:rFonts w:hint="eastAsia" w:ascii="宋体" w:hAnsi="宋体" w:eastAsia="宋体" w:cs="宋体"/>
                <w:smallCaps w:val="0"/>
                <w:color w:val="auto"/>
                <w:sz w:val="24"/>
                <w:szCs w:val="24"/>
                <w:highlight w:val="none"/>
                <w:lang w:val="en-US" w:eastAsia="zh-CN"/>
              </w:rPr>
              <w:t>-130</w:t>
            </w:r>
            <w:r>
              <w:rPr>
                <w:rFonts w:hint="eastAsia" w:ascii="宋体" w:hAnsi="宋体" w:eastAsia="宋体" w:cs="宋体"/>
                <w:smallCaps w:val="0"/>
                <w:color w:val="auto"/>
                <w:sz w:val="24"/>
                <w:szCs w:val="24"/>
                <w:highlight w:val="none"/>
                <w:lang w:val="en-US"/>
              </w:rPr>
              <w:t>等级公路</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不含维护</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不含生命救援、应急保通工程以及国防交通保障项目</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不含改扩建四级公路</w:t>
            </w:r>
            <w:r>
              <w:rPr>
                <w:rFonts w:hint="eastAsia" w:ascii="宋体" w:hAnsi="宋体" w:eastAsia="宋体" w:cs="宋体"/>
                <w:smallCaps w:val="0"/>
                <w:color w:val="auto"/>
                <w:sz w:val="24"/>
                <w:szCs w:val="24"/>
                <w:highlight w:val="none"/>
                <w:lang w:val="en-US" w:eastAsia="zh-CN"/>
              </w:rPr>
              <w:t>）－其他</w:t>
            </w:r>
          </w:p>
        </w:tc>
        <w:tc>
          <w:tcPr>
            <w:tcW w:w="2057" w:type="dxa"/>
            <w:noWrap w:val="0"/>
            <w:vAlign w:val="center"/>
          </w:tcPr>
          <w:p w14:paraId="07F570BE">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用地（用海）面积（m</w:t>
            </w:r>
            <w:r>
              <w:rPr>
                <w:rFonts w:hint="eastAsia" w:ascii="宋体" w:hAnsi="宋体" w:eastAsia="宋体" w:cs="宋体"/>
                <w:smallCaps w:val="0"/>
                <w:color w:val="auto"/>
                <w:sz w:val="24"/>
                <w:szCs w:val="24"/>
                <w:highlight w:val="none"/>
                <w:vertAlign w:val="superscript"/>
              </w:rPr>
              <w:t>2</w:t>
            </w:r>
            <w:r>
              <w:rPr>
                <w:rFonts w:hint="eastAsia" w:ascii="宋体" w:hAnsi="宋体" w:eastAsia="宋体" w:cs="宋体"/>
                <w:smallCaps w:val="0"/>
                <w:color w:val="auto"/>
                <w:sz w:val="24"/>
                <w:szCs w:val="24"/>
                <w:highlight w:val="none"/>
              </w:rPr>
              <w:t>）</w:t>
            </w:r>
          </w:p>
        </w:tc>
        <w:tc>
          <w:tcPr>
            <w:tcW w:w="2636" w:type="dxa"/>
            <w:noWrap w:val="0"/>
            <w:vAlign w:val="center"/>
          </w:tcPr>
          <w:p w14:paraId="4D3A1190">
            <w:pPr>
              <w:pStyle w:val="73"/>
              <w:rPr>
                <w:rFonts w:hint="eastAsia" w:ascii="宋体" w:hAnsi="宋体" w:eastAsia="宋体" w:cs="宋体"/>
                <w:smallCaps w:val="0"/>
                <w:color w:val="auto"/>
                <w:sz w:val="24"/>
                <w:szCs w:val="24"/>
                <w:highlight w:val="none"/>
                <w:vertAlign w:val="baseline"/>
                <w:lang w:val="en-US" w:eastAsia="zh-CN"/>
              </w:rPr>
            </w:pPr>
            <w:r>
              <w:rPr>
                <w:rFonts w:hint="eastAsia" w:ascii="宋体" w:hAnsi="宋体" w:eastAsia="宋体" w:cs="宋体"/>
                <w:smallCaps w:val="0"/>
                <w:color w:val="auto"/>
                <w:sz w:val="24"/>
                <w:szCs w:val="24"/>
                <w:highlight w:val="yellow"/>
                <w:vertAlign w:val="baseline"/>
                <w:lang w:val="en-US" w:eastAsia="zh-CN"/>
              </w:rPr>
              <w:t>37864m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（永久占地32055.8m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，临时占地5808.2m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w:t>
            </w:r>
          </w:p>
        </w:tc>
      </w:tr>
      <w:tr w14:paraId="35CBA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4" w:hRule="atLeast"/>
          <w:jc w:val="center"/>
        </w:trPr>
        <w:tc>
          <w:tcPr>
            <w:tcW w:w="2223" w:type="dxa"/>
            <w:gridSpan w:val="3"/>
            <w:noWrap w:val="0"/>
            <w:tcMar>
              <w:top w:w="16" w:type="dxa"/>
              <w:left w:w="16" w:type="dxa"/>
              <w:right w:w="16" w:type="dxa"/>
            </w:tcMar>
            <w:vAlign w:val="center"/>
          </w:tcPr>
          <w:p w14:paraId="4451A091">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建设性质</w:t>
            </w:r>
          </w:p>
        </w:tc>
        <w:tc>
          <w:tcPr>
            <w:tcW w:w="2041" w:type="dxa"/>
            <w:noWrap w:val="0"/>
            <w:vAlign w:val="center"/>
          </w:tcPr>
          <w:p w14:paraId="779AEF84">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sym w:font="Wingdings 2" w:char="00A3"/>
            </w:r>
            <w:r>
              <w:rPr>
                <w:rFonts w:hint="eastAsia" w:ascii="宋体" w:hAnsi="宋体" w:eastAsia="宋体" w:cs="宋体"/>
                <w:smallCaps w:val="0"/>
                <w:color w:val="auto"/>
                <w:sz w:val="24"/>
                <w:szCs w:val="24"/>
                <w:highlight w:val="none"/>
              </w:rPr>
              <w:t>新建（迁建）</w:t>
            </w:r>
          </w:p>
          <w:p w14:paraId="44A39C95">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lang w:eastAsia="zh-CN"/>
              </w:rPr>
              <w:t>☑</w:t>
            </w:r>
            <w:r>
              <w:rPr>
                <w:rFonts w:hint="eastAsia" w:ascii="宋体" w:hAnsi="宋体" w:eastAsia="宋体" w:cs="宋体"/>
                <w:smallCaps w:val="0"/>
                <w:color w:val="auto"/>
                <w:sz w:val="24"/>
                <w:szCs w:val="24"/>
                <w:highlight w:val="none"/>
              </w:rPr>
              <w:t>改建</w:t>
            </w:r>
          </w:p>
          <w:p w14:paraId="43CACDBB">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lang w:eastAsia="zh-CN"/>
              </w:rPr>
              <w:t>□</w:t>
            </w:r>
            <w:r>
              <w:rPr>
                <w:rFonts w:hint="eastAsia" w:ascii="宋体" w:hAnsi="宋体" w:eastAsia="宋体" w:cs="宋体"/>
                <w:smallCaps w:val="0"/>
                <w:color w:val="auto"/>
                <w:sz w:val="24"/>
                <w:szCs w:val="24"/>
                <w:highlight w:val="none"/>
              </w:rPr>
              <w:t>扩建</w:t>
            </w:r>
          </w:p>
          <w:p w14:paraId="0F867FA0">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□技术改造</w:t>
            </w:r>
          </w:p>
        </w:tc>
        <w:tc>
          <w:tcPr>
            <w:tcW w:w="2057" w:type="dxa"/>
            <w:noWrap w:val="0"/>
            <w:vAlign w:val="center"/>
          </w:tcPr>
          <w:p w14:paraId="7FFCA733">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建设项目</w:t>
            </w:r>
          </w:p>
          <w:p w14:paraId="2E8ADE02">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申报情形</w:t>
            </w:r>
          </w:p>
        </w:tc>
        <w:tc>
          <w:tcPr>
            <w:tcW w:w="2636" w:type="dxa"/>
            <w:noWrap w:val="0"/>
            <w:vAlign w:val="center"/>
          </w:tcPr>
          <w:p w14:paraId="5081697E">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sym w:font="Wingdings 2" w:char="0052"/>
            </w:r>
            <w:r>
              <w:rPr>
                <w:rFonts w:hint="eastAsia" w:ascii="宋体" w:hAnsi="宋体" w:eastAsia="宋体" w:cs="宋体"/>
                <w:smallCaps w:val="0"/>
                <w:color w:val="auto"/>
                <w:sz w:val="24"/>
                <w:szCs w:val="24"/>
                <w:highlight w:val="none"/>
              </w:rPr>
              <w:t>首次申报项目</w:t>
            </w:r>
          </w:p>
          <w:p w14:paraId="1E3A1F8E">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□不予批准后再次申报项目</w:t>
            </w:r>
          </w:p>
          <w:p w14:paraId="5941F135">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□超五年重新审核项目</w:t>
            </w:r>
          </w:p>
          <w:p w14:paraId="00B530D6">
            <w:pPr>
              <w:pStyle w:val="73"/>
              <w:jc w:val="both"/>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□重大变动重新报批项目</w:t>
            </w:r>
          </w:p>
        </w:tc>
      </w:tr>
      <w:tr w14:paraId="74B819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2223" w:type="dxa"/>
            <w:gridSpan w:val="3"/>
            <w:noWrap w:val="0"/>
            <w:tcMar>
              <w:top w:w="16" w:type="dxa"/>
              <w:left w:w="16" w:type="dxa"/>
              <w:right w:w="16" w:type="dxa"/>
            </w:tcMar>
            <w:vAlign w:val="center"/>
          </w:tcPr>
          <w:p w14:paraId="73599CE7">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项目审批（核准/</w:t>
            </w:r>
          </w:p>
          <w:p w14:paraId="47F22756">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备案）部门（选填）</w:t>
            </w:r>
          </w:p>
        </w:tc>
        <w:tc>
          <w:tcPr>
            <w:tcW w:w="2041" w:type="dxa"/>
            <w:noWrap w:val="0"/>
            <w:vAlign w:val="center"/>
          </w:tcPr>
          <w:p w14:paraId="1F2FE91D">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无</w:t>
            </w:r>
          </w:p>
        </w:tc>
        <w:tc>
          <w:tcPr>
            <w:tcW w:w="2057" w:type="dxa"/>
            <w:noWrap w:val="0"/>
            <w:vAlign w:val="center"/>
          </w:tcPr>
          <w:p w14:paraId="1AC1DE09">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项目审批（核准/</w:t>
            </w:r>
          </w:p>
          <w:p w14:paraId="35D57428">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备案）文号（选填）</w:t>
            </w:r>
          </w:p>
        </w:tc>
        <w:tc>
          <w:tcPr>
            <w:tcW w:w="2636" w:type="dxa"/>
            <w:noWrap w:val="0"/>
            <w:vAlign w:val="center"/>
          </w:tcPr>
          <w:p w14:paraId="13300442">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无</w:t>
            </w:r>
          </w:p>
        </w:tc>
      </w:tr>
      <w:tr w14:paraId="05AFC6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223" w:type="dxa"/>
            <w:gridSpan w:val="3"/>
            <w:noWrap w:val="0"/>
            <w:tcMar>
              <w:top w:w="16" w:type="dxa"/>
              <w:left w:w="16" w:type="dxa"/>
              <w:right w:w="16" w:type="dxa"/>
            </w:tcMar>
            <w:vAlign w:val="center"/>
          </w:tcPr>
          <w:p w14:paraId="2CEBC41B">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总投资（万元）</w:t>
            </w:r>
          </w:p>
        </w:tc>
        <w:tc>
          <w:tcPr>
            <w:tcW w:w="2041" w:type="dxa"/>
            <w:noWrap w:val="0"/>
            <w:vAlign w:val="center"/>
          </w:tcPr>
          <w:p w14:paraId="143968D3">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1400.00</w:t>
            </w:r>
          </w:p>
        </w:tc>
        <w:tc>
          <w:tcPr>
            <w:tcW w:w="2057" w:type="dxa"/>
            <w:noWrap w:val="0"/>
            <w:tcMar>
              <w:top w:w="16" w:type="dxa"/>
              <w:left w:w="16" w:type="dxa"/>
              <w:right w:w="16" w:type="dxa"/>
            </w:tcMar>
            <w:vAlign w:val="center"/>
          </w:tcPr>
          <w:p w14:paraId="0A9BB662">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环保投资（万元）</w:t>
            </w:r>
          </w:p>
        </w:tc>
        <w:tc>
          <w:tcPr>
            <w:tcW w:w="2636" w:type="dxa"/>
            <w:noWrap w:val="0"/>
            <w:vAlign w:val="center"/>
          </w:tcPr>
          <w:p w14:paraId="1AD26FBA">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45</w:t>
            </w:r>
          </w:p>
        </w:tc>
      </w:tr>
      <w:tr w14:paraId="6EA77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2223" w:type="dxa"/>
            <w:gridSpan w:val="3"/>
            <w:noWrap w:val="0"/>
            <w:tcMar>
              <w:top w:w="16" w:type="dxa"/>
              <w:left w:w="16" w:type="dxa"/>
              <w:right w:w="16" w:type="dxa"/>
            </w:tcMar>
            <w:vAlign w:val="center"/>
          </w:tcPr>
          <w:p w14:paraId="767F2B76">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环保投资占比（%）</w:t>
            </w:r>
          </w:p>
        </w:tc>
        <w:tc>
          <w:tcPr>
            <w:tcW w:w="2041" w:type="dxa"/>
            <w:noWrap w:val="0"/>
            <w:vAlign w:val="center"/>
          </w:tcPr>
          <w:p w14:paraId="1371FB5A">
            <w:pPr>
              <w:pStyle w:val="73"/>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3.2</w:t>
            </w:r>
          </w:p>
        </w:tc>
        <w:tc>
          <w:tcPr>
            <w:tcW w:w="2057" w:type="dxa"/>
            <w:noWrap w:val="0"/>
            <w:tcMar>
              <w:top w:w="16" w:type="dxa"/>
              <w:left w:w="16" w:type="dxa"/>
              <w:right w:w="16" w:type="dxa"/>
            </w:tcMar>
            <w:vAlign w:val="center"/>
          </w:tcPr>
          <w:p w14:paraId="6872BBDD">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施工工期</w:t>
            </w:r>
          </w:p>
        </w:tc>
        <w:tc>
          <w:tcPr>
            <w:tcW w:w="2636" w:type="dxa"/>
            <w:noWrap w:val="0"/>
            <w:vAlign w:val="center"/>
          </w:tcPr>
          <w:p w14:paraId="20F2E691">
            <w:pPr>
              <w:pStyle w:val="73"/>
              <w:rPr>
                <w:rFonts w:hint="eastAsia" w:ascii="宋体" w:hAnsi="宋体" w:eastAsia="宋体" w:cs="宋体"/>
                <w:smallCaps w:val="0"/>
                <w:color w:val="auto"/>
                <w:sz w:val="24"/>
                <w:szCs w:val="24"/>
                <w:highlight w:val="none"/>
                <w:lang w:val="en-US"/>
              </w:rPr>
            </w:pPr>
            <w:r>
              <w:rPr>
                <w:rFonts w:hint="eastAsia" w:ascii="宋体" w:hAnsi="宋体" w:eastAsia="宋体" w:cs="宋体"/>
                <w:smallCaps w:val="0"/>
                <w:color w:val="auto"/>
                <w:sz w:val="24"/>
                <w:szCs w:val="24"/>
                <w:highlight w:val="none"/>
                <w:lang w:val="en-US" w:eastAsia="zh-CN"/>
              </w:rPr>
              <w:t>2025年6月开工，2025年9月竣工</w:t>
            </w:r>
          </w:p>
        </w:tc>
      </w:tr>
      <w:tr w14:paraId="4D8086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2223" w:type="dxa"/>
            <w:gridSpan w:val="3"/>
            <w:noWrap w:val="0"/>
            <w:tcMar>
              <w:top w:w="16" w:type="dxa"/>
              <w:left w:w="16" w:type="dxa"/>
              <w:right w:w="16" w:type="dxa"/>
            </w:tcMar>
            <w:vAlign w:val="center"/>
          </w:tcPr>
          <w:p w14:paraId="244DDBC1">
            <w:pPr>
              <w:pStyle w:val="73"/>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是否开工建设</w:t>
            </w:r>
          </w:p>
        </w:tc>
        <w:tc>
          <w:tcPr>
            <w:tcW w:w="6734" w:type="dxa"/>
            <w:gridSpan w:val="3"/>
            <w:noWrap w:val="0"/>
            <w:vAlign w:val="center"/>
          </w:tcPr>
          <w:p w14:paraId="4068DED7">
            <w:pPr>
              <w:pStyle w:val="73"/>
              <w:jc w:val="left"/>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sym w:font="Wingdings 2" w:char="0052"/>
            </w:r>
            <w:r>
              <w:rPr>
                <w:rFonts w:hint="eastAsia" w:ascii="宋体" w:hAnsi="宋体" w:eastAsia="宋体" w:cs="宋体"/>
                <w:smallCaps w:val="0"/>
                <w:color w:val="auto"/>
                <w:sz w:val="24"/>
                <w:szCs w:val="24"/>
                <w:highlight w:val="none"/>
              </w:rPr>
              <w:t>否</w:t>
            </w:r>
          </w:p>
          <w:p w14:paraId="540B72F8">
            <w:pPr>
              <w:pStyle w:val="73"/>
              <w:jc w:val="left"/>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sym w:font="Wingdings 2" w:char="00A3"/>
            </w:r>
            <w:r>
              <w:rPr>
                <w:rFonts w:hint="eastAsia" w:ascii="宋体" w:hAnsi="宋体" w:eastAsia="宋体" w:cs="宋体"/>
                <w:smallCaps w:val="0"/>
                <w:color w:val="auto"/>
                <w:sz w:val="24"/>
                <w:szCs w:val="24"/>
                <w:highlight w:val="none"/>
              </w:rPr>
              <w:t>是：</w:t>
            </w:r>
            <w:r>
              <w:rPr>
                <w:rFonts w:hint="eastAsia" w:ascii="宋体" w:hAnsi="宋体" w:eastAsia="宋体" w:cs="宋体"/>
                <w:smallCaps w:val="0"/>
                <w:color w:val="auto"/>
                <w:sz w:val="24"/>
                <w:szCs w:val="24"/>
                <w:highlight w:val="none"/>
                <w:u w:val="single"/>
              </w:rPr>
              <w:t xml:space="preserve">                             </w:t>
            </w:r>
          </w:p>
        </w:tc>
      </w:tr>
      <w:tr w14:paraId="18CE73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955" w:hRule="atLeast"/>
          <w:jc w:val="center"/>
        </w:trPr>
        <w:tc>
          <w:tcPr>
            <w:tcW w:w="1194" w:type="dxa"/>
            <w:gridSpan w:val="2"/>
            <w:noWrap w:val="0"/>
            <w:tcMar>
              <w:top w:w="16" w:type="dxa"/>
              <w:left w:w="16" w:type="dxa"/>
              <w:right w:w="16" w:type="dxa"/>
            </w:tcMar>
            <w:vAlign w:val="center"/>
          </w:tcPr>
          <w:p w14:paraId="36AC9A62">
            <w:pPr>
              <w:pStyle w:val="73"/>
              <w:rPr>
                <w:rFonts w:hint="eastAsia" w:ascii="宋体" w:hAnsi="宋体" w:eastAsia="宋体" w:cs="宋体"/>
                <w:smallCaps w:val="0"/>
                <w:color w:val="auto"/>
                <w:kern w:val="0"/>
                <w:sz w:val="24"/>
                <w:szCs w:val="24"/>
                <w:highlight w:val="none"/>
              </w:rPr>
            </w:pPr>
            <w:r>
              <w:rPr>
                <w:rFonts w:hint="eastAsia" w:ascii="宋体" w:hAnsi="宋体" w:eastAsia="宋体" w:cs="宋体"/>
                <w:smallCaps w:val="0"/>
                <w:color w:val="auto"/>
                <w:kern w:val="0"/>
                <w:sz w:val="24"/>
                <w:szCs w:val="24"/>
                <w:highlight w:val="none"/>
              </w:rPr>
              <w:t>专项评价设置情况</w:t>
            </w:r>
          </w:p>
        </w:tc>
        <w:tc>
          <w:tcPr>
            <w:tcW w:w="7763" w:type="dxa"/>
            <w:gridSpan w:val="4"/>
            <w:noWrap w:val="0"/>
            <w:tcMar>
              <w:top w:w="16" w:type="dxa"/>
              <w:left w:w="16" w:type="dxa"/>
              <w:right w:w="16" w:type="dxa"/>
            </w:tcMar>
            <w:vAlign w:val="center"/>
          </w:tcPr>
          <w:tbl>
            <w:tblPr>
              <w:tblStyle w:val="33"/>
              <w:tblW w:w="495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13"/>
              <w:gridCol w:w="3119"/>
              <w:gridCol w:w="2773"/>
              <w:gridCol w:w="1049"/>
            </w:tblGrid>
            <w:tr w14:paraId="7DF2B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3" w:hRule="atLeast"/>
                <w:jc w:val="center"/>
              </w:trPr>
              <w:tc>
                <w:tcPr>
                  <w:tcW w:w="466" w:type="pct"/>
                  <w:tcBorders>
                    <w:top w:val="single" w:color="000000" w:sz="12" w:space="0"/>
                    <w:left w:val="nil"/>
                    <w:bottom w:val="single" w:color="000000" w:sz="4" w:space="0"/>
                    <w:right w:val="single" w:color="000000" w:sz="4" w:space="0"/>
                  </w:tcBorders>
                  <w:noWrap w:val="0"/>
                  <w:vAlign w:val="center"/>
                </w:tcPr>
                <w:p w14:paraId="658A00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0"/>
                      <w:rFonts w:hint="eastAsia" w:ascii="宋体" w:hAnsi="宋体" w:eastAsia="宋体" w:cs="宋体"/>
                      <w:color w:val="auto"/>
                      <w:sz w:val="21"/>
                      <w:szCs w:val="21"/>
                      <w:highlight w:val="none"/>
                      <w:lang w:val="en-US" w:eastAsia="zh-CN" w:bidi="ar"/>
                    </w:rPr>
                    <w:t>专项评价的类别</w:t>
                  </w:r>
                </w:p>
              </w:tc>
              <w:tc>
                <w:tcPr>
                  <w:tcW w:w="2036" w:type="pct"/>
                  <w:tcBorders>
                    <w:top w:val="single" w:color="000000" w:sz="12" w:space="0"/>
                    <w:left w:val="single" w:color="000000" w:sz="4" w:space="0"/>
                    <w:bottom w:val="single" w:color="000000" w:sz="4" w:space="0"/>
                    <w:right w:val="single" w:color="000000" w:sz="4" w:space="0"/>
                  </w:tcBorders>
                  <w:noWrap w:val="0"/>
                  <w:vAlign w:val="center"/>
                </w:tcPr>
                <w:p w14:paraId="29A110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
                      <w:bCs/>
                      <w:i w:val="0"/>
                      <w:iCs w:val="0"/>
                      <w:caps w:val="0"/>
                      <w:smallCaps w:val="0"/>
                      <w:color w:val="auto"/>
                      <w:kern w:val="0"/>
                      <w:sz w:val="21"/>
                      <w:szCs w:val="21"/>
                      <w:highlight w:val="none"/>
                      <w:u w:val="none"/>
                      <w:lang w:val="en-US" w:eastAsia="zh-CN" w:bidi="ar"/>
                    </w:rPr>
                    <w:t>设置原则</w:t>
                  </w:r>
                </w:p>
              </w:tc>
              <w:tc>
                <w:tcPr>
                  <w:tcW w:w="1810" w:type="pct"/>
                  <w:tcBorders>
                    <w:top w:val="single" w:color="000000" w:sz="12" w:space="0"/>
                    <w:left w:val="single" w:color="000000" w:sz="4" w:space="0"/>
                    <w:bottom w:val="single" w:color="000000" w:sz="4" w:space="0"/>
                    <w:right w:val="single" w:color="000000" w:sz="4" w:space="0"/>
                  </w:tcBorders>
                  <w:noWrap w:val="0"/>
                  <w:vAlign w:val="center"/>
                </w:tcPr>
                <w:p w14:paraId="77A84D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0"/>
                      <w:rFonts w:hint="eastAsia" w:ascii="宋体" w:hAnsi="宋体" w:eastAsia="宋体" w:cs="宋体"/>
                      <w:color w:val="auto"/>
                      <w:sz w:val="21"/>
                      <w:szCs w:val="21"/>
                      <w:highlight w:val="none"/>
                      <w:lang w:val="en-US" w:eastAsia="zh-CN" w:bidi="ar"/>
                    </w:rPr>
                  </w:pPr>
                  <w:r>
                    <w:rPr>
                      <w:rStyle w:val="100"/>
                      <w:rFonts w:hint="eastAsia" w:ascii="宋体" w:hAnsi="宋体" w:eastAsia="宋体" w:cs="宋体"/>
                      <w:color w:val="auto"/>
                      <w:sz w:val="21"/>
                      <w:szCs w:val="21"/>
                      <w:highlight w:val="none"/>
                      <w:lang w:val="en-US" w:eastAsia="zh-CN" w:bidi="ar"/>
                    </w:rPr>
                    <w:t>本项目情况</w:t>
                  </w:r>
                </w:p>
              </w:tc>
              <w:tc>
                <w:tcPr>
                  <w:tcW w:w="685" w:type="pct"/>
                  <w:tcBorders>
                    <w:top w:val="single" w:color="000000" w:sz="12" w:space="0"/>
                    <w:left w:val="single" w:color="000000" w:sz="4" w:space="0"/>
                    <w:bottom w:val="single" w:color="000000" w:sz="4" w:space="0"/>
                    <w:right w:val="nil"/>
                  </w:tcBorders>
                  <w:noWrap w:val="0"/>
                  <w:vAlign w:val="center"/>
                </w:tcPr>
                <w:p w14:paraId="26A197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0"/>
                      <w:rFonts w:hint="eastAsia" w:ascii="宋体" w:hAnsi="宋体" w:eastAsia="宋体" w:cs="宋体"/>
                      <w:color w:val="auto"/>
                      <w:sz w:val="21"/>
                      <w:szCs w:val="21"/>
                      <w:highlight w:val="none"/>
                      <w:lang w:val="en-US" w:eastAsia="zh-CN" w:bidi="ar"/>
                    </w:rPr>
                  </w:pPr>
                  <w:r>
                    <w:rPr>
                      <w:rStyle w:val="100"/>
                      <w:rFonts w:hint="eastAsia" w:ascii="宋体" w:hAnsi="宋体" w:eastAsia="宋体" w:cs="宋体"/>
                      <w:color w:val="auto"/>
                      <w:sz w:val="21"/>
                      <w:szCs w:val="21"/>
                      <w:highlight w:val="none"/>
                      <w:lang w:val="en-US" w:eastAsia="zh-CN" w:bidi="ar"/>
                    </w:rPr>
                    <w:t>判定结果</w:t>
                  </w:r>
                </w:p>
              </w:tc>
            </w:tr>
            <w:tr w14:paraId="629D2C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5" w:hRule="atLeast"/>
                <w:jc w:val="center"/>
              </w:trPr>
              <w:tc>
                <w:tcPr>
                  <w:tcW w:w="466" w:type="pct"/>
                  <w:tcBorders>
                    <w:top w:val="single" w:color="000000" w:sz="4" w:space="0"/>
                    <w:left w:val="nil"/>
                    <w:bottom w:val="single" w:color="000000" w:sz="4" w:space="0"/>
                    <w:right w:val="single" w:color="000000" w:sz="4" w:space="0"/>
                  </w:tcBorders>
                  <w:noWrap w:val="0"/>
                  <w:vAlign w:val="center"/>
                </w:tcPr>
                <w:p w14:paraId="390376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地表水</w:t>
                  </w:r>
                </w:p>
              </w:tc>
              <w:tc>
                <w:tcPr>
                  <w:tcW w:w="2036" w:type="pct"/>
                  <w:tcBorders>
                    <w:top w:val="single" w:color="000000" w:sz="4" w:space="0"/>
                    <w:left w:val="single" w:color="000000" w:sz="4" w:space="0"/>
                    <w:bottom w:val="single" w:color="000000" w:sz="4" w:space="0"/>
                    <w:right w:val="single" w:color="000000" w:sz="4" w:space="0"/>
                  </w:tcBorders>
                  <w:noWrap w:val="0"/>
                  <w:vAlign w:val="center"/>
                </w:tcPr>
                <w:p w14:paraId="0F0AF9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水力发电：引水式发电、涉及调峰发电的项目；人工湖、人工湿地：全部；水库：全部；引水工程：全部（配套的管线工程等除外）；防洪除涝工程：包含水库的项目；河湖整治：涉及清淤且底泥存在重金属污染的项目</w:t>
                  </w:r>
                </w:p>
              </w:tc>
              <w:tc>
                <w:tcPr>
                  <w:tcW w:w="1810" w:type="pct"/>
                  <w:tcBorders>
                    <w:top w:val="single" w:color="000000" w:sz="4" w:space="0"/>
                    <w:left w:val="single" w:color="000000" w:sz="4" w:space="0"/>
                    <w:bottom w:val="single" w:color="000000" w:sz="4" w:space="0"/>
                    <w:right w:val="single" w:color="000000" w:sz="4" w:space="0"/>
                  </w:tcBorders>
                  <w:noWrap w:val="0"/>
                  <w:vAlign w:val="center"/>
                </w:tcPr>
                <w:p w14:paraId="6772DF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本项目不属于水力发电；不属于人工湖、人工湿地项目；不属于防洪除涝工程；不属于河湖整治。</w:t>
                  </w:r>
                </w:p>
              </w:tc>
              <w:tc>
                <w:tcPr>
                  <w:tcW w:w="685" w:type="pct"/>
                  <w:tcBorders>
                    <w:top w:val="single" w:color="000000" w:sz="4" w:space="0"/>
                    <w:left w:val="single" w:color="000000" w:sz="4" w:space="0"/>
                    <w:bottom w:val="single" w:color="000000" w:sz="4" w:space="0"/>
                    <w:right w:val="nil"/>
                  </w:tcBorders>
                  <w:noWrap w:val="0"/>
                  <w:vAlign w:val="center"/>
                </w:tcPr>
                <w:p w14:paraId="308C1D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不需设置</w:t>
                  </w:r>
                </w:p>
              </w:tc>
            </w:tr>
            <w:tr w14:paraId="5A42F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7" w:hRule="atLeast"/>
                <w:jc w:val="center"/>
              </w:trPr>
              <w:tc>
                <w:tcPr>
                  <w:tcW w:w="466" w:type="pct"/>
                  <w:tcBorders>
                    <w:top w:val="single" w:color="000000" w:sz="4" w:space="0"/>
                    <w:left w:val="nil"/>
                    <w:bottom w:val="single" w:color="000000" w:sz="4" w:space="0"/>
                    <w:right w:val="single" w:color="000000" w:sz="4" w:space="0"/>
                  </w:tcBorders>
                  <w:noWrap w:val="0"/>
                  <w:vAlign w:val="center"/>
                </w:tcPr>
                <w:p w14:paraId="0F9A03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地下水</w:t>
                  </w:r>
                </w:p>
              </w:tc>
              <w:tc>
                <w:tcPr>
                  <w:tcW w:w="2036" w:type="pct"/>
                  <w:tcBorders>
                    <w:top w:val="single" w:color="000000" w:sz="4" w:space="0"/>
                    <w:left w:val="single" w:color="000000" w:sz="4" w:space="0"/>
                    <w:bottom w:val="single" w:color="000000" w:sz="4" w:space="0"/>
                    <w:right w:val="single" w:color="000000" w:sz="4" w:space="0"/>
                  </w:tcBorders>
                  <w:noWrap w:val="0"/>
                  <w:vAlign w:val="center"/>
                </w:tcPr>
                <w:p w14:paraId="2ED08B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陆地石油和天然气开采：全部；地下水（含矿泉水）开采：全部；水利、水电、交通等：含穿越可溶岩地层隧道的项目</w:t>
                  </w:r>
                </w:p>
              </w:tc>
              <w:tc>
                <w:tcPr>
                  <w:tcW w:w="1810" w:type="pct"/>
                  <w:tcBorders>
                    <w:top w:val="single" w:color="000000" w:sz="4" w:space="0"/>
                    <w:left w:val="single" w:color="000000" w:sz="4" w:space="0"/>
                    <w:bottom w:val="single" w:color="000000" w:sz="4" w:space="0"/>
                    <w:right w:val="single" w:color="000000" w:sz="4" w:space="0"/>
                  </w:tcBorders>
                  <w:noWrap w:val="0"/>
                  <w:vAlign w:val="center"/>
                </w:tcPr>
                <w:p w14:paraId="4E4C9B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本项目不属于石油和天然气开采。不开采地下水；</w:t>
                  </w:r>
                </w:p>
              </w:tc>
              <w:tc>
                <w:tcPr>
                  <w:tcW w:w="685" w:type="pct"/>
                  <w:tcBorders>
                    <w:top w:val="single" w:color="000000" w:sz="4" w:space="0"/>
                    <w:left w:val="single" w:color="000000" w:sz="4" w:space="0"/>
                    <w:bottom w:val="single" w:color="000000" w:sz="4" w:space="0"/>
                    <w:right w:val="nil"/>
                  </w:tcBorders>
                  <w:noWrap w:val="0"/>
                  <w:vAlign w:val="center"/>
                </w:tcPr>
                <w:p w14:paraId="7E08F7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不需设置</w:t>
                  </w:r>
                </w:p>
              </w:tc>
            </w:tr>
            <w:tr w14:paraId="32752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8" w:hRule="atLeast"/>
                <w:jc w:val="center"/>
              </w:trPr>
              <w:tc>
                <w:tcPr>
                  <w:tcW w:w="466" w:type="pct"/>
                  <w:tcBorders>
                    <w:top w:val="single" w:color="000000" w:sz="4" w:space="0"/>
                    <w:left w:val="nil"/>
                    <w:bottom w:val="single" w:color="000000" w:sz="4" w:space="0"/>
                    <w:right w:val="single" w:color="000000" w:sz="4" w:space="0"/>
                  </w:tcBorders>
                  <w:noWrap w:val="0"/>
                  <w:vAlign w:val="center"/>
                </w:tcPr>
                <w:p w14:paraId="28E8D0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生态</w:t>
                  </w:r>
                </w:p>
              </w:tc>
              <w:tc>
                <w:tcPr>
                  <w:tcW w:w="2036" w:type="pct"/>
                  <w:tcBorders>
                    <w:top w:val="single" w:color="000000" w:sz="4" w:space="0"/>
                    <w:left w:val="single" w:color="000000" w:sz="4" w:space="0"/>
                    <w:bottom w:val="single" w:color="000000" w:sz="4" w:space="0"/>
                    <w:right w:val="single" w:color="000000" w:sz="4" w:space="0"/>
                  </w:tcBorders>
                  <w:noWrap w:val="0"/>
                  <w:vAlign w:val="center"/>
                </w:tcPr>
                <w:p w14:paraId="190C34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涉及环境敏感区（不包括饮用水水源保护区，以居住、医疗卫生、文化教育、科研、行政办公为主要功能的区域，以及文物保护单位）的项目</w:t>
                  </w:r>
                </w:p>
              </w:tc>
              <w:tc>
                <w:tcPr>
                  <w:tcW w:w="1810" w:type="pct"/>
                  <w:tcBorders>
                    <w:top w:val="single" w:color="000000" w:sz="4" w:space="0"/>
                    <w:left w:val="single" w:color="000000" w:sz="4" w:space="0"/>
                    <w:bottom w:val="single" w:color="000000" w:sz="4" w:space="0"/>
                    <w:right w:val="single" w:color="000000" w:sz="4" w:space="0"/>
                  </w:tcBorders>
                  <w:noWrap w:val="0"/>
                  <w:vAlign w:val="center"/>
                </w:tcPr>
                <w:p w14:paraId="777157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本项目为公路项目，涉及水土流失重点预防区和治理区，应设置生态专项评价</w:t>
                  </w:r>
                </w:p>
              </w:tc>
              <w:tc>
                <w:tcPr>
                  <w:tcW w:w="685" w:type="pct"/>
                  <w:tcBorders>
                    <w:top w:val="single" w:color="000000" w:sz="4" w:space="0"/>
                    <w:left w:val="single" w:color="000000" w:sz="4" w:space="0"/>
                    <w:bottom w:val="single" w:color="000000" w:sz="4" w:space="0"/>
                    <w:right w:val="nil"/>
                  </w:tcBorders>
                  <w:noWrap w:val="0"/>
                  <w:vAlign w:val="center"/>
                </w:tcPr>
                <w:p w14:paraId="177450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设置</w:t>
                  </w:r>
                </w:p>
              </w:tc>
            </w:tr>
            <w:tr w14:paraId="7C013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2" w:hRule="atLeast"/>
                <w:jc w:val="center"/>
              </w:trPr>
              <w:tc>
                <w:tcPr>
                  <w:tcW w:w="466" w:type="pct"/>
                  <w:tcBorders>
                    <w:top w:val="single" w:color="000000" w:sz="4" w:space="0"/>
                    <w:left w:val="nil"/>
                    <w:bottom w:val="single" w:color="000000" w:sz="4" w:space="0"/>
                    <w:right w:val="single" w:color="000000" w:sz="4" w:space="0"/>
                  </w:tcBorders>
                  <w:noWrap w:val="0"/>
                  <w:vAlign w:val="center"/>
                </w:tcPr>
                <w:p w14:paraId="419E44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大气</w:t>
                  </w:r>
                </w:p>
              </w:tc>
              <w:tc>
                <w:tcPr>
                  <w:tcW w:w="2036" w:type="pct"/>
                  <w:tcBorders>
                    <w:top w:val="single" w:color="000000" w:sz="4" w:space="0"/>
                    <w:left w:val="single" w:color="000000" w:sz="4" w:space="0"/>
                    <w:bottom w:val="single" w:color="000000" w:sz="4" w:space="0"/>
                    <w:right w:val="single" w:color="000000" w:sz="4" w:space="0"/>
                  </w:tcBorders>
                  <w:noWrap w:val="0"/>
                  <w:vAlign w:val="center"/>
                </w:tcPr>
                <w:p w14:paraId="2029F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油气、液体化工码头：全部；干散货（含煤炭、矿石）、件杂、多用途、通用码头：涉及粉尘、挥发性有机物排放的项目</w:t>
                  </w:r>
                </w:p>
              </w:tc>
              <w:tc>
                <w:tcPr>
                  <w:tcW w:w="1810" w:type="pct"/>
                  <w:tcBorders>
                    <w:top w:val="single" w:color="000000" w:sz="4" w:space="0"/>
                    <w:left w:val="single" w:color="000000" w:sz="4" w:space="0"/>
                    <w:bottom w:val="single" w:color="000000" w:sz="4" w:space="0"/>
                    <w:right w:val="single" w:color="000000" w:sz="4" w:space="0"/>
                  </w:tcBorders>
                  <w:noWrap w:val="0"/>
                  <w:vAlign w:val="center"/>
                </w:tcPr>
                <w:p w14:paraId="215FF1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本项目不属于油气、液体化工码头项目。不属于干散货（含煤炭、矿石）、件杂、多用途、通用码头</w:t>
                  </w:r>
                </w:p>
              </w:tc>
              <w:tc>
                <w:tcPr>
                  <w:tcW w:w="685" w:type="pct"/>
                  <w:tcBorders>
                    <w:top w:val="single" w:color="000000" w:sz="4" w:space="0"/>
                    <w:left w:val="single" w:color="000000" w:sz="4" w:space="0"/>
                    <w:bottom w:val="single" w:color="000000" w:sz="4" w:space="0"/>
                    <w:right w:val="nil"/>
                  </w:tcBorders>
                  <w:noWrap w:val="0"/>
                  <w:vAlign w:val="center"/>
                </w:tcPr>
                <w:p w14:paraId="22BCA6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不需设置</w:t>
                  </w:r>
                </w:p>
              </w:tc>
            </w:tr>
            <w:tr w14:paraId="290BB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4" w:hRule="atLeast"/>
                <w:jc w:val="center"/>
              </w:trPr>
              <w:tc>
                <w:tcPr>
                  <w:tcW w:w="466" w:type="pct"/>
                  <w:tcBorders>
                    <w:top w:val="single" w:color="000000" w:sz="4" w:space="0"/>
                    <w:left w:val="nil"/>
                    <w:bottom w:val="single" w:color="000000" w:sz="4" w:space="0"/>
                    <w:right w:val="single" w:color="000000" w:sz="4" w:space="0"/>
                  </w:tcBorders>
                  <w:noWrap w:val="0"/>
                  <w:vAlign w:val="center"/>
                </w:tcPr>
                <w:p w14:paraId="49FB50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噪声</w:t>
                  </w:r>
                </w:p>
              </w:tc>
              <w:tc>
                <w:tcPr>
                  <w:tcW w:w="2036" w:type="pct"/>
                  <w:tcBorders>
                    <w:top w:val="single" w:color="000000" w:sz="4" w:space="0"/>
                    <w:left w:val="single" w:color="000000" w:sz="4" w:space="0"/>
                    <w:bottom w:val="single" w:color="000000" w:sz="4" w:space="0"/>
                    <w:right w:val="single" w:color="000000" w:sz="4" w:space="0"/>
                  </w:tcBorders>
                  <w:noWrap w:val="0"/>
                  <w:vAlign w:val="center"/>
                </w:tcPr>
                <w:p w14:paraId="00FE75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公路、铁路、机场等交通运输业涉及环境敏感区（以居住、医疗卫生、文化教育、科研、行政办公为主要功能的区域）的项目；城市道路（不含维护，不含支路、人行天桥、人行地道）：全部</w:t>
                  </w:r>
                </w:p>
              </w:tc>
              <w:tc>
                <w:tcPr>
                  <w:tcW w:w="1810" w:type="pct"/>
                  <w:tcBorders>
                    <w:top w:val="single" w:color="000000" w:sz="4" w:space="0"/>
                    <w:left w:val="single" w:color="000000" w:sz="4" w:space="0"/>
                    <w:bottom w:val="single" w:color="000000" w:sz="4" w:space="0"/>
                    <w:right w:val="single" w:color="000000" w:sz="4" w:space="0"/>
                  </w:tcBorders>
                  <w:noWrap w:val="0"/>
                  <w:vAlign w:val="center"/>
                </w:tcPr>
                <w:p w14:paraId="08FF5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本项目为“公路、铁路、机场等交通运输业，南侧为平房居民，属于涉及环境敏感区（以居住、医疗卫生、文化教育、科研、行政办公为主要功能的区域）”的项目</w:t>
                  </w:r>
                </w:p>
              </w:tc>
              <w:tc>
                <w:tcPr>
                  <w:tcW w:w="685" w:type="pct"/>
                  <w:tcBorders>
                    <w:top w:val="single" w:color="000000" w:sz="4" w:space="0"/>
                    <w:left w:val="single" w:color="000000" w:sz="4" w:space="0"/>
                    <w:bottom w:val="single" w:color="000000" w:sz="4" w:space="0"/>
                    <w:right w:val="nil"/>
                  </w:tcBorders>
                  <w:noWrap w:val="0"/>
                  <w:vAlign w:val="center"/>
                </w:tcPr>
                <w:p w14:paraId="4C4D54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设置</w:t>
                  </w:r>
                </w:p>
              </w:tc>
            </w:tr>
            <w:tr w14:paraId="3F97C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8" w:hRule="atLeast"/>
                <w:jc w:val="center"/>
              </w:trPr>
              <w:tc>
                <w:tcPr>
                  <w:tcW w:w="466" w:type="pct"/>
                  <w:tcBorders>
                    <w:top w:val="single" w:color="000000" w:sz="4" w:space="0"/>
                    <w:left w:val="nil"/>
                    <w:bottom w:val="single" w:color="000000" w:sz="12" w:space="0"/>
                    <w:right w:val="single" w:color="000000" w:sz="4" w:space="0"/>
                  </w:tcBorders>
                  <w:noWrap w:val="0"/>
                  <w:vAlign w:val="center"/>
                </w:tcPr>
                <w:p w14:paraId="5D59A5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环境风险</w:t>
                  </w:r>
                </w:p>
              </w:tc>
              <w:tc>
                <w:tcPr>
                  <w:tcW w:w="2036" w:type="pct"/>
                  <w:tcBorders>
                    <w:top w:val="single" w:color="000000" w:sz="4" w:space="0"/>
                    <w:left w:val="single" w:color="000000" w:sz="4" w:space="0"/>
                    <w:bottom w:val="single" w:color="000000" w:sz="12" w:space="0"/>
                    <w:right w:val="single" w:color="000000" w:sz="4" w:space="0"/>
                  </w:tcBorders>
                  <w:noWrap w:val="0"/>
                  <w:vAlign w:val="center"/>
                </w:tcPr>
                <w:p w14:paraId="2B480E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Style w:val="101"/>
                      <w:rFonts w:hint="eastAsia" w:ascii="宋体" w:hAnsi="宋体" w:eastAsia="宋体" w:cs="宋体"/>
                      <w:color w:val="auto"/>
                      <w:sz w:val="21"/>
                      <w:szCs w:val="21"/>
                      <w:highlight w:val="none"/>
                      <w:lang w:val="en-US" w:eastAsia="zh-CN" w:bidi="ar"/>
                    </w:rPr>
                    <w:t>石油和天然气开采：全部；油气、液体化工码头：全部；原油、成品油、天然气管线（不含城镇天然气管线、企业厂区内管线），危险化学品输送管线（不含企业厂区内管线）：全部</w:t>
                  </w:r>
                </w:p>
              </w:tc>
              <w:tc>
                <w:tcPr>
                  <w:tcW w:w="1810" w:type="pct"/>
                  <w:tcBorders>
                    <w:top w:val="single" w:color="000000" w:sz="4" w:space="0"/>
                    <w:left w:val="single" w:color="000000" w:sz="4" w:space="0"/>
                    <w:bottom w:val="single" w:color="000000" w:sz="12" w:space="0"/>
                    <w:right w:val="single" w:color="000000" w:sz="4" w:space="0"/>
                  </w:tcBorders>
                  <w:noWrap w:val="0"/>
                  <w:vAlign w:val="center"/>
                </w:tcPr>
                <w:p w14:paraId="52B1DB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本项目不属于石油开采项目，不属于油气、液体化工码头项目，不属于原油、成品油、天然气管线项目</w:t>
                  </w:r>
                </w:p>
              </w:tc>
              <w:tc>
                <w:tcPr>
                  <w:tcW w:w="685" w:type="pct"/>
                  <w:tcBorders>
                    <w:top w:val="single" w:color="000000" w:sz="4" w:space="0"/>
                    <w:left w:val="single" w:color="000000" w:sz="4" w:space="0"/>
                    <w:bottom w:val="single" w:color="000000" w:sz="12" w:space="0"/>
                    <w:right w:val="nil"/>
                  </w:tcBorders>
                  <w:noWrap w:val="0"/>
                  <w:vAlign w:val="center"/>
                </w:tcPr>
                <w:p w14:paraId="1EB4F8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01"/>
                      <w:rFonts w:hint="eastAsia" w:ascii="宋体" w:hAnsi="宋体" w:eastAsia="宋体" w:cs="宋体"/>
                      <w:color w:val="auto"/>
                      <w:sz w:val="21"/>
                      <w:szCs w:val="21"/>
                      <w:highlight w:val="none"/>
                      <w:lang w:val="en-US" w:eastAsia="zh-CN" w:bidi="ar"/>
                    </w:rPr>
                  </w:pPr>
                  <w:r>
                    <w:rPr>
                      <w:rStyle w:val="101"/>
                      <w:rFonts w:hint="eastAsia" w:ascii="宋体" w:hAnsi="宋体" w:eastAsia="宋体" w:cs="宋体"/>
                      <w:color w:val="auto"/>
                      <w:sz w:val="21"/>
                      <w:szCs w:val="21"/>
                      <w:highlight w:val="none"/>
                      <w:lang w:val="en-US" w:eastAsia="zh-CN" w:bidi="ar"/>
                    </w:rPr>
                    <w:t>不需设置</w:t>
                  </w:r>
                </w:p>
              </w:tc>
            </w:tr>
          </w:tbl>
          <w:p w14:paraId="51EFFACE">
            <w:pPr>
              <w:pStyle w:val="73"/>
              <w:rPr>
                <w:rFonts w:hint="eastAsia" w:ascii="宋体" w:hAnsi="宋体" w:eastAsia="宋体" w:cs="宋体"/>
                <w:smallCaps w:val="0"/>
                <w:color w:val="auto"/>
                <w:kern w:val="0"/>
                <w:sz w:val="24"/>
                <w:szCs w:val="24"/>
                <w:highlight w:val="none"/>
              </w:rPr>
            </w:pPr>
          </w:p>
        </w:tc>
      </w:tr>
      <w:tr w14:paraId="05183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1194" w:type="dxa"/>
            <w:gridSpan w:val="2"/>
            <w:noWrap w:val="0"/>
            <w:tcMar>
              <w:top w:w="16" w:type="dxa"/>
              <w:left w:w="16" w:type="dxa"/>
              <w:right w:w="16" w:type="dxa"/>
            </w:tcMar>
            <w:vAlign w:val="center"/>
          </w:tcPr>
          <w:p w14:paraId="567B8F79">
            <w:pPr>
              <w:pStyle w:val="73"/>
              <w:rPr>
                <w:rFonts w:hint="eastAsia" w:ascii="宋体" w:hAnsi="宋体" w:eastAsia="宋体" w:cs="宋体"/>
                <w:smallCaps w:val="0"/>
                <w:color w:val="auto"/>
                <w:kern w:val="0"/>
                <w:sz w:val="24"/>
                <w:szCs w:val="24"/>
                <w:highlight w:val="none"/>
              </w:rPr>
            </w:pPr>
            <w:r>
              <w:rPr>
                <w:rFonts w:hint="eastAsia" w:ascii="宋体" w:hAnsi="宋体" w:eastAsia="宋体" w:cs="宋体"/>
                <w:smallCaps w:val="0"/>
                <w:color w:val="auto"/>
                <w:sz w:val="24"/>
                <w:szCs w:val="24"/>
                <w:highlight w:val="none"/>
              </w:rPr>
              <w:t>规划情况</w:t>
            </w:r>
          </w:p>
        </w:tc>
        <w:tc>
          <w:tcPr>
            <w:tcW w:w="7763" w:type="dxa"/>
            <w:gridSpan w:val="4"/>
            <w:noWrap w:val="0"/>
            <w:tcMar>
              <w:top w:w="16" w:type="dxa"/>
              <w:left w:w="16" w:type="dxa"/>
              <w:right w:w="16" w:type="dxa"/>
            </w:tcMar>
            <w:vAlign w:val="center"/>
          </w:tcPr>
          <w:p w14:paraId="3060239F">
            <w:pPr>
              <w:pStyle w:val="73"/>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smallCaps w:val="0"/>
                <w:color w:val="auto"/>
                <w:kern w:val="0"/>
                <w:sz w:val="24"/>
                <w:szCs w:val="24"/>
                <w:highlight w:val="none"/>
                <w:lang w:val="en-US" w:eastAsia="zh-CN"/>
              </w:rPr>
            </w:pPr>
            <w:r>
              <w:rPr>
                <w:rFonts w:hint="eastAsia" w:ascii="宋体" w:hAnsi="宋体" w:eastAsia="宋体" w:cs="宋体"/>
                <w:smallCaps w:val="0"/>
                <w:color w:val="auto"/>
                <w:kern w:val="0"/>
                <w:sz w:val="24"/>
                <w:szCs w:val="24"/>
                <w:highlight w:val="none"/>
                <w:lang w:val="en-US" w:eastAsia="zh-CN"/>
              </w:rPr>
              <w:t>无</w:t>
            </w:r>
          </w:p>
        </w:tc>
      </w:tr>
      <w:tr w14:paraId="1587D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1194" w:type="dxa"/>
            <w:gridSpan w:val="2"/>
            <w:noWrap w:val="0"/>
            <w:tcMar>
              <w:top w:w="16" w:type="dxa"/>
              <w:left w:w="16" w:type="dxa"/>
              <w:right w:w="16" w:type="dxa"/>
            </w:tcMar>
            <w:vAlign w:val="center"/>
          </w:tcPr>
          <w:p w14:paraId="1942250C">
            <w:pPr>
              <w:pStyle w:val="73"/>
              <w:rPr>
                <w:rFonts w:hint="eastAsia" w:ascii="宋体" w:hAnsi="宋体" w:eastAsia="宋体" w:cs="宋体"/>
                <w:smallCaps w:val="0"/>
                <w:color w:val="auto"/>
                <w:kern w:val="0"/>
                <w:sz w:val="24"/>
                <w:szCs w:val="24"/>
                <w:highlight w:val="none"/>
              </w:rPr>
            </w:pPr>
            <w:r>
              <w:rPr>
                <w:rFonts w:hint="eastAsia" w:ascii="宋体" w:hAnsi="宋体" w:eastAsia="宋体" w:cs="宋体"/>
                <w:smallCaps w:val="0"/>
                <w:color w:val="auto"/>
                <w:sz w:val="24"/>
                <w:szCs w:val="24"/>
                <w:highlight w:val="none"/>
              </w:rPr>
              <w:t>规划环境影响评价情况</w:t>
            </w:r>
          </w:p>
        </w:tc>
        <w:tc>
          <w:tcPr>
            <w:tcW w:w="7763" w:type="dxa"/>
            <w:gridSpan w:val="4"/>
            <w:noWrap w:val="0"/>
            <w:tcMar>
              <w:top w:w="16" w:type="dxa"/>
              <w:left w:w="16" w:type="dxa"/>
              <w:right w:w="16" w:type="dxa"/>
            </w:tcMar>
            <w:vAlign w:val="center"/>
          </w:tcPr>
          <w:p w14:paraId="4E8408BD">
            <w:pPr>
              <w:pStyle w:val="73"/>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smallCaps w:val="0"/>
                <w:color w:val="auto"/>
                <w:kern w:val="0"/>
                <w:sz w:val="24"/>
                <w:szCs w:val="24"/>
                <w:highlight w:val="none"/>
                <w:lang w:val="en-US" w:eastAsia="zh-CN"/>
              </w:rPr>
            </w:pPr>
            <w:r>
              <w:rPr>
                <w:rFonts w:hint="eastAsia" w:ascii="宋体" w:hAnsi="宋体" w:eastAsia="宋体" w:cs="宋体"/>
                <w:smallCaps w:val="0"/>
                <w:color w:val="auto"/>
                <w:kern w:val="0"/>
                <w:sz w:val="24"/>
                <w:szCs w:val="24"/>
                <w:highlight w:val="none"/>
                <w:lang w:val="en-US" w:eastAsia="zh-CN"/>
              </w:rPr>
              <w:t>无</w:t>
            </w:r>
          </w:p>
        </w:tc>
      </w:tr>
      <w:tr w14:paraId="29213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0" w:hRule="atLeast"/>
          <w:jc w:val="center"/>
        </w:trPr>
        <w:tc>
          <w:tcPr>
            <w:tcW w:w="1194" w:type="dxa"/>
            <w:gridSpan w:val="2"/>
            <w:noWrap w:val="0"/>
            <w:tcMar>
              <w:top w:w="16" w:type="dxa"/>
              <w:left w:w="16" w:type="dxa"/>
              <w:right w:w="16" w:type="dxa"/>
            </w:tcMar>
            <w:vAlign w:val="center"/>
          </w:tcPr>
          <w:p w14:paraId="05E83D23">
            <w:pPr>
              <w:pStyle w:val="73"/>
              <w:rPr>
                <w:rFonts w:hint="eastAsia" w:ascii="宋体" w:hAnsi="宋体" w:eastAsia="宋体" w:cs="宋体"/>
                <w:smallCaps w:val="0"/>
                <w:color w:val="auto"/>
                <w:kern w:val="0"/>
                <w:sz w:val="24"/>
                <w:szCs w:val="24"/>
                <w:highlight w:val="none"/>
              </w:rPr>
            </w:pPr>
            <w:r>
              <w:rPr>
                <w:rFonts w:hint="eastAsia" w:ascii="宋体" w:hAnsi="宋体" w:eastAsia="宋体" w:cs="宋体"/>
                <w:smallCaps w:val="0"/>
                <w:color w:val="auto"/>
                <w:sz w:val="24"/>
                <w:szCs w:val="24"/>
                <w:highlight w:val="none"/>
              </w:rPr>
              <w:t>规划及规划环境影响评价符合性分析</w:t>
            </w:r>
          </w:p>
        </w:tc>
        <w:tc>
          <w:tcPr>
            <w:tcW w:w="7763" w:type="dxa"/>
            <w:gridSpan w:val="4"/>
            <w:noWrap w:val="0"/>
            <w:tcMar>
              <w:top w:w="16" w:type="dxa"/>
              <w:left w:w="16" w:type="dxa"/>
              <w:right w:w="16" w:type="dxa"/>
            </w:tcMar>
            <w:vAlign w:val="center"/>
          </w:tcPr>
          <w:p w14:paraId="22AB99F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mallCaps w:val="0"/>
                <w:color w:val="auto"/>
                <w:kern w:val="0"/>
                <w:sz w:val="24"/>
                <w:szCs w:val="24"/>
                <w:highlight w:val="none"/>
                <w:lang w:val="en-US" w:eastAsia="zh-CN"/>
              </w:rPr>
            </w:pPr>
            <w:r>
              <w:rPr>
                <w:rFonts w:hint="eastAsia" w:ascii="宋体" w:hAnsi="宋体" w:eastAsia="宋体" w:cs="宋体"/>
                <w:smallCaps w:val="0"/>
                <w:color w:val="auto"/>
                <w:kern w:val="0"/>
                <w:sz w:val="24"/>
                <w:szCs w:val="24"/>
                <w:highlight w:val="none"/>
                <w:lang w:val="en-US" w:eastAsia="zh-CN"/>
              </w:rPr>
              <w:t>无</w:t>
            </w:r>
          </w:p>
        </w:tc>
      </w:tr>
      <w:tr w14:paraId="5046B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431" w:hRule="atLeast"/>
          <w:jc w:val="center"/>
        </w:trPr>
        <w:tc>
          <w:tcPr>
            <w:tcW w:w="542" w:type="dxa"/>
            <w:noWrap w:val="0"/>
            <w:tcMar>
              <w:top w:w="16" w:type="dxa"/>
              <w:left w:w="16" w:type="dxa"/>
              <w:right w:w="16" w:type="dxa"/>
            </w:tcMar>
            <w:vAlign w:val="center"/>
          </w:tcPr>
          <w:p w14:paraId="00556658">
            <w:pPr>
              <w:autoSpaceDE w:val="0"/>
              <w:autoSpaceDN w:val="0"/>
              <w:adjustRightInd w:val="0"/>
              <w:snapToGrid w:val="0"/>
              <w:ind w:firstLine="0" w:firstLineChars="0"/>
              <w:jc w:val="center"/>
              <w:rPr>
                <w:rFonts w:hint="eastAsia" w:ascii="宋体" w:hAnsi="宋体" w:eastAsia="宋体" w:cs="宋体"/>
                <w:smallCaps w:val="0"/>
                <w:color w:val="auto"/>
                <w:kern w:val="0"/>
                <w:szCs w:val="24"/>
                <w:highlight w:val="none"/>
              </w:rPr>
            </w:pPr>
            <w:bookmarkStart w:id="3" w:name="_Hlk56690880"/>
            <w:r>
              <w:rPr>
                <w:rFonts w:hint="eastAsia" w:ascii="宋体" w:hAnsi="宋体" w:eastAsia="宋体" w:cs="宋体"/>
                <w:smallCaps w:val="0"/>
                <w:color w:val="auto"/>
                <w:kern w:val="0"/>
                <w:sz w:val="21"/>
                <w:szCs w:val="21"/>
                <w:highlight w:val="none"/>
              </w:rPr>
              <w:t>其他符合性分析</w:t>
            </w:r>
            <w:bookmarkEnd w:id="3"/>
          </w:p>
        </w:tc>
        <w:tc>
          <w:tcPr>
            <w:tcW w:w="8415" w:type="dxa"/>
            <w:gridSpan w:val="5"/>
            <w:noWrap w:val="0"/>
            <w:tcMar>
              <w:top w:w="16" w:type="dxa"/>
              <w:left w:w="16" w:type="dxa"/>
              <w:right w:w="16" w:type="dxa"/>
            </w:tcMar>
            <w:vAlign w:val="center"/>
          </w:tcPr>
          <w:p w14:paraId="794C4004">
            <w:pPr>
              <w:numPr>
                <w:ilvl w:val="0"/>
                <w:numId w:val="0"/>
              </w:numPr>
              <w:ind w:firstLine="482" w:firstLineChars="200"/>
              <w:rPr>
                <w:rFonts w:hint="eastAsia" w:ascii="宋体" w:hAnsi="宋体" w:eastAsia="宋体" w:cs="宋体"/>
                <w:b/>
                <w:bCs/>
                <w:smallCaps w:val="0"/>
                <w:color w:val="auto"/>
                <w:highlight w:val="none"/>
              </w:rPr>
            </w:pPr>
            <w:r>
              <w:rPr>
                <w:rFonts w:hint="eastAsia" w:ascii="宋体" w:hAnsi="宋体" w:eastAsia="宋体" w:cs="宋体"/>
                <w:b/>
                <w:bCs/>
                <w:smallCaps w:val="0"/>
                <w:color w:val="auto"/>
                <w:kern w:val="2"/>
                <w:sz w:val="24"/>
                <w:highlight w:val="none"/>
                <w:lang w:val="en-US" w:eastAsia="zh-CN" w:bidi="ar-SA"/>
              </w:rPr>
              <w:t>1、</w:t>
            </w:r>
            <w:r>
              <w:rPr>
                <w:rFonts w:hint="eastAsia" w:ascii="宋体" w:hAnsi="宋体" w:eastAsia="宋体" w:cs="宋体"/>
                <w:b/>
                <w:bCs/>
                <w:smallCaps w:val="0"/>
                <w:color w:val="auto"/>
                <w:highlight w:val="none"/>
              </w:rPr>
              <w:t>“三线一单”符合性分析</w:t>
            </w:r>
          </w:p>
          <w:p w14:paraId="63F29505">
            <w:pPr>
              <w:numPr>
                <w:ilvl w:val="0"/>
                <w:numId w:val="2"/>
              </w:numPr>
              <w:ind w:firstLine="480"/>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与生态保护红线符合性</w:t>
            </w:r>
          </w:p>
          <w:p w14:paraId="0A1C42D6">
            <w:pPr>
              <w:tabs>
                <w:tab w:val="left" w:pos="0"/>
              </w:tabs>
              <w:spacing w:line="360" w:lineRule="auto"/>
              <w:ind w:firstLine="480"/>
              <w:rPr>
                <w:rFonts w:hint="eastAsia" w:ascii="宋体" w:hAnsi="宋体" w:eastAsia="宋体" w:cs="宋体"/>
                <w:smallCaps w:val="0"/>
                <w:color w:val="auto"/>
                <w:highlight w:val="yellow"/>
              </w:rPr>
            </w:pPr>
            <w:r>
              <w:rPr>
                <w:rFonts w:hint="eastAsia" w:ascii="宋体" w:hAnsi="宋体" w:eastAsia="宋体" w:cs="宋体"/>
                <w:color w:val="000000" w:themeColor="text1"/>
                <w:highlight w:val="yellow"/>
                <w14:textFill>
                  <w14:solidFill>
                    <w14:schemeClr w14:val="tx1"/>
                  </w14:solidFill>
                </w14:textFill>
              </w:rPr>
              <w:t>根据《黑龙江省人民政府关于实施“三线一单”生态环境分区管控的意见》（黑政发</w:t>
            </w:r>
            <w:r>
              <w:rPr>
                <w:rFonts w:hint="eastAsia" w:ascii="宋体" w:hAnsi="宋体" w:eastAsia="宋体" w:cs="宋体"/>
                <w:color w:val="000000" w:themeColor="text1"/>
                <w:highlight w:val="yellow"/>
                <w:lang w:eastAsia="zh-CN"/>
                <w14:textFill>
                  <w14:solidFill>
                    <w14:schemeClr w14:val="tx1"/>
                  </w14:solidFill>
                </w14:textFill>
              </w:rPr>
              <w:t>〔2020〕14号</w:t>
            </w:r>
            <w:r>
              <w:rPr>
                <w:rFonts w:hint="eastAsia" w:ascii="宋体" w:hAnsi="宋体" w:eastAsia="宋体" w:cs="宋体"/>
                <w:color w:val="000000" w:themeColor="text1"/>
                <w:highlight w:val="yellow"/>
                <w14:textFill>
                  <w14:solidFill>
                    <w14:schemeClr w14:val="tx1"/>
                  </w14:solidFill>
                </w14:textFill>
              </w:rPr>
              <w:t>）分区管控和《双鸭山市人民政府关于实施“三线一单”生态环境分区管控的意见》（双政规〔2021〕2号）以及《关于发布2023年生态环境分区管控动态更新的通知》中要求</w:t>
            </w:r>
            <w:r>
              <w:rPr>
                <w:rFonts w:hint="eastAsia" w:ascii="宋体" w:hAnsi="宋体" w:eastAsia="宋体" w:cs="宋体"/>
                <w:color w:val="auto"/>
                <w:spacing w:val="0"/>
                <w:highlight w:val="yellow"/>
              </w:rPr>
              <w:t>，本项目不涉及永久基本农田、自然公园</w:t>
            </w:r>
            <w:r>
              <w:rPr>
                <w:rFonts w:hint="eastAsia" w:ascii="宋体" w:hAnsi="宋体" w:eastAsia="宋体" w:cs="宋体"/>
                <w:color w:val="auto"/>
                <w:spacing w:val="0"/>
                <w:highlight w:val="yellow"/>
                <w:lang w:eastAsia="zh-CN"/>
              </w:rPr>
              <w:t>（</w:t>
            </w:r>
            <w:r>
              <w:rPr>
                <w:rFonts w:hint="eastAsia" w:ascii="宋体" w:hAnsi="宋体" w:eastAsia="宋体" w:cs="宋体"/>
                <w:color w:val="auto"/>
                <w:spacing w:val="0"/>
                <w:highlight w:val="yellow"/>
              </w:rPr>
              <w:t>森林公园、地质公园、海洋公园等</w:t>
            </w:r>
            <w:r>
              <w:rPr>
                <w:rFonts w:hint="eastAsia" w:ascii="宋体" w:hAnsi="宋体" w:eastAsia="宋体" w:cs="宋体"/>
                <w:color w:val="auto"/>
                <w:spacing w:val="0"/>
                <w:highlight w:val="yellow"/>
                <w:lang w:eastAsia="zh-CN"/>
              </w:rPr>
              <w:t>）</w:t>
            </w:r>
            <w:r>
              <w:rPr>
                <w:rFonts w:hint="eastAsia" w:ascii="宋体" w:hAnsi="宋体" w:eastAsia="宋体" w:cs="宋体"/>
                <w:color w:val="auto"/>
                <w:spacing w:val="0"/>
                <w:highlight w:val="yellow"/>
              </w:rPr>
              <w:t>、重要湿地、天然林，重点保护野生动物栖息地，重点保护野生植物生长繁殖地，重要水生生物的自然产卵场、索饵场、越冬场和洄游通道天然渔场、沙化土地封禁保护区、封闭及半封闭海域等区域</w:t>
            </w:r>
            <w:r>
              <w:rPr>
                <w:rFonts w:hint="eastAsia" w:ascii="宋体" w:hAnsi="宋体" w:eastAsia="宋体" w:cs="宋体"/>
                <w:color w:val="auto"/>
                <w:spacing w:val="0"/>
                <w:highlight w:val="yellow"/>
                <w:lang w:eastAsia="zh-CN"/>
              </w:rPr>
              <w:t>；</w:t>
            </w:r>
            <w:r>
              <w:rPr>
                <w:rFonts w:hint="eastAsia" w:ascii="宋体" w:hAnsi="宋体" w:eastAsia="宋体" w:cs="宋体"/>
                <w:color w:val="auto"/>
                <w:spacing w:val="0"/>
                <w:highlight w:val="yellow"/>
              </w:rPr>
              <w:t>本项目位于双鸭山市岭东区，属于省级水土流失重点治理区，涉及水土流失重点预防区和重点治理区</w:t>
            </w:r>
            <w:r>
              <w:rPr>
                <w:rFonts w:hint="eastAsia" w:ascii="宋体" w:hAnsi="宋体" w:eastAsia="宋体" w:cs="宋体"/>
                <w:color w:val="auto"/>
                <w:spacing w:val="0"/>
                <w:highlight w:val="yellow"/>
                <w:shd w:val="clear"/>
                <w:lang w:val="en-US" w:eastAsia="zh-CN"/>
              </w:rPr>
              <w:t>，</w:t>
            </w:r>
            <w:r>
              <w:rPr>
                <w:rFonts w:hint="eastAsia" w:ascii="宋体" w:hAnsi="宋体" w:eastAsia="宋体" w:cs="宋体"/>
                <w:color w:val="auto"/>
                <w:spacing w:val="0"/>
                <w:highlight w:val="yellow"/>
              </w:rPr>
              <w:t>本项目与敏感区位置关系见附件</w:t>
            </w:r>
            <w:r>
              <w:rPr>
                <w:rFonts w:hint="eastAsia" w:ascii="宋体" w:hAnsi="宋体" w:eastAsia="宋体" w:cs="宋体"/>
                <w:color w:val="auto"/>
                <w:spacing w:val="0"/>
                <w:highlight w:val="yellow"/>
                <w:lang w:val="en-US" w:eastAsia="zh-CN"/>
              </w:rPr>
              <w:t>3</w:t>
            </w:r>
            <w:r>
              <w:rPr>
                <w:rFonts w:hint="eastAsia" w:ascii="宋体" w:hAnsi="宋体" w:eastAsia="宋体" w:cs="宋体"/>
                <w:color w:val="auto"/>
                <w:spacing w:val="0"/>
                <w:highlight w:val="yellow"/>
              </w:rPr>
              <w:t>生态环境分区管控分析报告中示意图。结合双鸭山至时代公路提质改造工程黑龙江省生态环境分区管控数据应用平台分析报告，本项目不涉及生态保护红线。</w:t>
            </w:r>
          </w:p>
          <w:p w14:paraId="7DF802B4">
            <w:pPr>
              <w:numPr>
                <w:ilvl w:val="0"/>
                <w:numId w:val="2"/>
              </w:numPr>
              <w:spacing w:line="360" w:lineRule="auto"/>
              <w:ind w:left="0" w:leftChars="0" w:firstLine="480" w:firstLineChars="200"/>
              <w:rPr>
                <w:rFonts w:hint="eastAsia" w:ascii="宋体" w:hAnsi="宋体" w:eastAsia="宋体" w:cs="宋体"/>
                <w:smallCaps w:val="0"/>
                <w:color w:val="auto"/>
                <w:szCs w:val="24"/>
                <w:highlight w:val="none"/>
              </w:rPr>
            </w:pPr>
            <w:r>
              <w:rPr>
                <w:rFonts w:hint="eastAsia" w:ascii="宋体" w:hAnsi="宋体" w:eastAsia="宋体" w:cs="宋体"/>
                <w:smallCaps w:val="0"/>
                <w:color w:val="auto"/>
                <w:szCs w:val="24"/>
                <w:highlight w:val="none"/>
              </w:rPr>
              <w:t>与环境质量底线符合性</w:t>
            </w:r>
          </w:p>
          <w:p w14:paraId="46C6CBAF">
            <w:pPr>
              <w:pStyle w:val="25"/>
              <w:numPr>
                <w:ilvl w:val="0"/>
                <w:numId w:val="0"/>
              </w:numPr>
              <w:spacing w:line="360" w:lineRule="auto"/>
              <w:ind w:leftChars="200"/>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①大气</w:t>
            </w:r>
          </w:p>
          <w:p w14:paraId="738EDA9C">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0"/>
                <w:highlight w:val="none"/>
                <w:lang w:val="en-US" w:eastAsia="zh-CN" w:bidi="ar-SA"/>
              </w:rPr>
            </w:pPr>
            <w:r>
              <w:rPr>
                <w:rFonts w:hint="eastAsia" w:ascii="宋体" w:hAnsi="宋体" w:eastAsia="宋体" w:cs="宋体"/>
                <w:smallCaps w:val="0"/>
                <w:color w:val="auto"/>
                <w:kern w:val="2"/>
                <w:sz w:val="24"/>
                <w:szCs w:val="20"/>
                <w:highlight w:val="none"/>
                <w:lang w:val="en-US" w:eastAsia="zh-CN" w:bidi="ar-SA"/>
              </w:rPr>
              <w:t>根据《2023年黑龙江省生态环境质量状况》（黑龙江生态环境监测中心2024年1月）可知，双鸭山市2023年SO</w:t>
            </w:r>
            <w:r>
              <w:rPr>
                <w:rFonts w:hint="eastAsia" w:ascii="宋体" w:hAnsi="宋体" w:eastAsia="宋体" w:cs="宋体"/>
                <w:smallCaps w:val="0"/>
                <w:color w:val="auto"/>
                <w:kern w:val="2"/>
                <w:sz w:val="24"/>
                <w:szCs w:val="20"/>
                <w:highlight w:val="none"/>
                <w:vertAlign w:val="subscript"/>
                <w:lang w:val="en-US" w:eastAsia="zh-CN" w:bidi="ar-SA"/>
              </w:rPr>
              <w:t>2</w:t>
            </w:r>
            <w:r>
              <w:rPr>
                <w:rFonts w:hint="eastAsia" w:ascii="宋体" w:hAnsi="宋体" w:eastAsia="宋体" w:cs="宋体"/>
                <w:smallCaps w:val="0"/>
                <w:color w:val="auto"/>
                <w:kern w:val="2"/>
                <w:sz w:val="24"/>
                <w:szCs w:val="20"/>
                <w:highlight w:val="none"/>
                <w:lang w:val="en-US" w:eastAsia="zh-CN" w:bidi="ar-SA"/>
              </w:rPr>
              <w:t>、NO</w:t>
            </w:r>
            <w:r>
              <w:rPr>
                <w:rFonts w:hint="eastAsia" w:ascii="宋体" w:hAnsi="宋体" w:eastAsia="宋体" w:cs="宋体"/>
                <w:smallCaps w:val="0"/>
                <w:color w:val="auto"/>
                <w:kern w:val="2"/>
                <w:sz w:val="24"/>
                <w:szCs w:val="20"/>
                <w:highlight w:val="none"/>
                <w:vertAlign w:val="subscript"/>
                <w:lang w:val="en-US" w:eastAsia="zh-CN" w:bidi="ar-SA"/>
              </w:rPr>
              <w:t>2</w:t>
            </w:r>
            <w:r>
              <w:rPr>
                <w:rFonts w:hint="eastAsia" w:ascii="宋体" w:hAnsi="宋体" w:eastAsia="宋体" w:cs="宋体"/>
                <w:smallCaps w:val="0"/>
                <w:color w:val="auto"/>
                <w:kern w:val="2"/>
                <w:sz w:val="24"/>
                <w:szCs w:val="20"/>
                <w:highlight w:val="none"/>
                <w:lang w:val="en-US" w:eastAsia="zh-CN" w:bidi="ar-SA"/>
              </w:rPr>
              <w:t>、PM</w:t>
            </w:r>
            <w:r>
              <w:rPr>
                <w:rFonts w:hint="eastAsia" w:ascii="宋体" w:hAnsi="宋体" w:eastAsia="宋体" w:cs="宋体"/>
                <w:smallCaps w:val="0"/>
                <w:color w:val="auto"/>
                <w:kern w:val="2"/>
                <w:sz w:val="24"/>
                <w:szCs w:val="20"/>
                <w:highlight w:val="none"/>
                <w:vertAlign w:val="subscript"/>
                <w:lang w:val="en-US" w:eastAsia="zh-CN" w:bidi="ar-SA"/>
              </w:rPr>
              <w:t>10</w:t>
            </w:r>
            <w:r>
              <w:rPr>
                <w:rFonts w:hint="eastAsia" w:ascii="宋体" w:hAnsi="宋体" w:eastAsia="宋体" w:cs="宋体"/>
                <w:smallCaps w:val="0"/>
                <w:color w:val="auto"/>
                <w:kern w:val="2"/>
                <w:sz w:val="24"/>
                <w:szCs w:val="20"/>
                <w:highlight w:val="none"/>
                <w:lang w:val="en-US" w:eastAsia="zh-CN" w:bidi="ar-SA"/>
              </w:rPr>
              <w:t>、PM</w:t>
            </w:r>
            <w:r>
              <w:rPr>
                <w:rFonts w:hint="eastAsia" w:ascii="宋体" w:hAnsi="宋体" w:eastAsia="宋体" w:cs="宋体"/>
                <w:smallCaps w:val="0"/>
                <w:color w:val="auto"/>
                <w:kern w:val="2"/>
                <w:sz w:val="24"/>
                <w:szCs w:val="20"/>
                <w:highlight w:val="none"/>
                <w:vertAlign w:val="subscript"/>
                <w:lang w:val="en-US" w:eastAsia="zh-CN" w:bidi="ar-SA"/>
              </w:rPr>
              <w:t>2.5</w:t>
            </w:r>
            <w:r>
              <w:rPr>
                <w:rFonts w:hint="eastAsia" w:ascii="宋体" w:hAnsi="宋体" w:eastAsia="宋体" w:cs="宋体"/>
                <w:smallCaps w:val="0"/>
                <w:color w:val="auto"/>
                <w:kern w:val="2"/>
                <w:sz w:val="24"/>
                <w:szCs w:val="20"/>
                <w:highlight w:val="none"/>
                <w:lang w:val="en-US" w:eastAsia="zh-CN" w:bidi="ar-SA"/>
              </w:rPr>
              <w:t>年均浓度，CO 24小时平均第95百分位数，O</w:t>
            </w:r>
            <w:r>
              <w:rPr>
                <w:rFonts w:hint="eastAsia" w:ascii="宋体" w:hAnsi="宋体" w:eastAsia="宋体" w:cs="宋体"/>
                <w:smallCaps w:val="0"/>
                <w:color w:val="auto"/>
                <w:kern w:val="2"/>
                <w:sz w:val="24"/>
                <w:szCs w:val="20"/>
                <w:highlight w:val="none"/>
                <w:vertAlign w:val="subscript"/>
                <w:lang w:val="en-US" w:eastAsia="zh-CN" w:bidi="ar-SA"/>
              </w:rPr>
              <w:t>3</w:t>
            </w:r>
            <w:r>
              <w:rPr>
                <w:rFonts w:hint="eastAsia" w:ascii="宋体" w:hAnsi="宋体" w:eastAsia="宋体" w:cs="宋体"/>
                <w:smallCaps w:val="0"/>
                <w:color w:val="auto"/>
                <w:kern w:val="2"/>
                <w:sz w:val="24"/>
                <w:szCs w:val="20"/>
                <w:highlight w:val="none"/>
                <w:lang w:val="en-US" w:eastAsia="zh-CN" w:bidi="ar-SA"/>
              </w:rPr>
              <w:t>日最大8小时平均第90百分位数均未超过《环境空气质量标准》（GB3095-2012）及其修改单中二级标准限值，因此，双鸭山市为环境空气质量达标区。</w:t>
            </w:r>
          </w:p>
          <w:p w14:paraId="0A632F5B">
            <w:pPr>
              <w:keepNext w:val="0"/>
              <w:keepLines w:val="0"/>
              <w:widowControl/>
              <w:suppressLineNumbers w:val="0"/>
              <w:jc w:val="left"/>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施工期产生的主要大气污染物为施工扬尘、施工机械废气和运输车辆产生的汽车尾气。施工期采用洒水降尘、原料苫盖，制定封闭围挡等措施，能有效降低施工扬尘对周边环境的污染，</w:t>
            </w:r>
            <w:r>
              <w:rPr>
                <w:rFonts w:hint="eastAsia" w:ascii="宋体" w:hAnsi="宋体" w:eastAsia="宋体" w:cs="宋体"/>
                <w:color w:val="auto"/>
                <w:kern w:val="0"/>
                <w:sz w:val="24"/>
                <w:szCs w:val="24"/>
                <w:highlight w:val="none"/>
                <w:lang w:val="en-US" w:eastAsia="zh-CN" w:bidi="ar"/>
              </w:rPr>
              <w:t>本项目对环境空气影响可以接受。</w:t>
            </w:r>
          </w:p>
          <w:p w14:paraId="00CEBCE1">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②水环境</w:t>
            </w:r>
          </w:p>
          <w:p w14:paraId="3DB9B439">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yellow"/>
                <w:lang w:val="en-US" w:eastAsia="zh-CN" w:bidi="ar-SA"/>
              </w:rPr>
            </w:pPr>
            <w:r>
              <w:rPr>
                <w:rFonts w:hint="eastAsia" w:ascii="宋体" w:hAnsi="宋体" w:eastAsia="宋体" w:cs="宋体"/>
                <w:color w:val="auto"/>
                <w:sz w:val="24"/>
                <w:szCs w:val="24"/>
                <w:highlight w:val="yellow"/>
                <w:lang w:val="en-US" w:eastAsia="zh-TW"/>
              </w:rPr>
              <w:t>根据</w:t>
            </w:r>
            <w:r>
              <w:rPr>
                <w:rFonts w:hint="eastAsia" w:ascii="宋体" w:hAnsi="宋体" w:eastAsia="宋体" w:cs="宋体"/>
                <w:color w:val="auto"/>
                <w:sz w:val="24"/>
                <w:szCs w:val="24"/>
                <w:highlight w:val="yellow"/>
                <w:lang w:val="zh-CN"/>
              </w:rPr>
              <w:t>《2023年黑龙江省生态环境质量状况</w:t>
            </w:r>
            <w:r>
              <w:rPr>
                <w:rFonts w:hint="eastAsia" w:ascii="宋体" w:hAnsi="宋体" w:eastAsia="宋体" w:cs="宋体"/>
                <w:color w:val="auto"/>
                <w:sz w:val="24"/>
                <w:szCs w:val="24"/>
                <w:highlight w:val="yellow"/>
                <w:lang w:val="zh-CN" w:eastAsia="zh-CN"/>
              </w:rPr>
              <w:t>》</w:t>
            </w:r>
            <w:r>
              <w:rPr>
                <w:rFonts w:hint="eastAsia" w:ascii="宋体" w:hAnsi="宋体" w:eastAsia="宋体" w:cs="宋体"/>
                <w:color w:val="auto"/>
                <w:sz w:val="24"/>
                <w:szCs w:val="24"/>
                <w:highlight w:val="yellow"/>
                <w:lang w:val="en-US" w:eastAsia="zh-CN"/>
              </w:rPr>
              <w:t>公布数据</w:t>
            </w:r>
            <w:r>
              <w:rPr>
                <w:rFonts w:hint="eastAsia" w:ascii="宋体" w:hAnsi="宋体" w:eastAsia="宋体" w:cs="宋体"/>
                <w:color w:val="auto"/>
                <w:sz w:val="24"/>
                <w:szCs w:val="24"/>
                <w:highlight w:val="yellow"/>
                <w:lang w:val="zh-CN" w:eastAsia="zh-CN"/>
              </w:rPr>
              <w:t>，</w:t>
            </w:r>
            <w:r>
              <w:rPr>
                <w:rFonts w:hint="eastAsia" w:ascii="宋体" w:hAnsi="宋体" w:eastAsia="宋体" w:cs="宋体"/>
                <w:color w:val="auto"/>
                <w:sz w:val="24"/>
                <w:szCs w:val="24"/>
                <w:highlight w:val="yellow"/>
                <w:lang w:val="en-US" w:eastAsia="zh-CN"/>
              </w:rPr>
              <w:t>安邦河双鸭山市区段水质满足Ⅲ类水质</w:t>
            </w:r>
            <w:r>
              <w:rPr>
                <w:rFonts w:hint="eastAsia" w:ascii="宋体" w:hAnsi="宋体" w:eastAsia="宋体" w:cs="宋体"/>
                <w:color w:val="auto"/>
                <w:sz w:val="24"/>
                <w:szCs w:val="24"/>
                <w:highlight w:val="yellow"/>
                <w:lang w:val="en-US" w:eastAsia="zh-TW"/>
              </w:rPr>
              <w:t>。</w:t>
            </w:r>
            <w:r>
              <w:rPr>
                <w:rFonts w:hint="eastAsia" w:ascii="宋体" w:hAnsi="宋体" w:eastAsia="宋体" w:cs="宋体"/>
                <w:color w:val="auto"/>
                <w:sz w:val="24"/>
                <w:szCs w:val="24"/>
                <w:highlight w:val="yellow"/>
                <w:lang w:val="zh-TW" w:eastAsia="zh-TW"/>
              </w:rPr>
              <w:t>因此，本项目所在河段符合《地表水环境质量标准》（GB3838-2002）</w:t>
            </w:r>
            <w:r>
              <w:rPr>
                <w:rFonts w:hint="eastAsia" w:ascii="宋体" w:hAnsi="宋体" w:eastAsia="宋体" w:cs="宋体"/>
                <w:color w:val="auto"/>
                <w:sz w:val="24"/>
                <w:szCs w:val="24"/>
                <w:highlight w:val="yellow"/>
                <w:lang w:val="zh-TW" w:eastAsia="zh-CN"/>
              </w:rPr>
              <w:t>Ⅲ</w:t>
            </w:r>
            <w:r>
              <w:rPr>
                <w:rFonts w:hint="eastAsia" w:ascii="宋体" w:hAnsi="宋体" w:eastAsia="宋体" w:cs="宋体"/>
                <w:color w:val="auto"/>
                <w:sz w:val="24"/>
                <w:szCs w:val="24"/>
                <w:highlight w:val="yellow"/>
                <w:lang w:val="zh-TW" w:eastAsia="zh-TW"/>
              </w:rPr>
              <w:t>类标准。</w:t>
            </w:r>
          </w:p>
          <w:p w14:paraId="5E37C5C7">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本项目施工期施工用水沉淀回用，生活污水利用南侧平房居民防渗旱厕，不外排放。本项目施工期不会对地表水环境造成影响。</w:t>
            </w:r>
          </w:p>
          <w:p w14:paraId="35A776D2">
            <w:pPr>
              <w:pStyle w:val="25"/>
              <w:numPr>
                <w:ilvl w:val="0"/>
                <w:numId w:val="0"/>
              </w:numPr>
              <w:spacing w:line="360" w:lineRule="auto"/>
              <w:ind w:leftChars="200"/>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③声环境</w:t>
            </w:r>
          </w:p>
          <w:p w14:paraId="1BAA037A">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本项目施工期合理控制施工时间，夜间和午休时间严禁施工，在施工处两侧安装隔声屏障，减少噪声对环境影响；对机械设备定期维护保养，减少因设备破坏造成的不必要噪声。</w:t>
            </w:r>
          </w:p>
          <w:p w14:paraId="576E9037">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通过上述措施，施工场地能够满足《建筑施工场界环境噪声排放标准》（GB12523-2011）限值，对环境造成影响较小。</w:t>
            </w:r>
          </w:p>
          <w:p w14:paraId="7A8A0C3F">
            <w:pPr>
              <w:pStyle w:val="25"/>
              <w:numPr>
                <w:ilvl w:val="0"/>
                <w:numId w:val="0"/>
              </w:numPr>
              <w:spacing w:line="360" w:lineRule="auto"/>
              <w:ind w:leftChars="200"/>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④固体废物</w:t>
            </w:r>
          </w:p>
          <w:p w14:paraId="2FD76FDD">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本项目产生的固体废物通过采取相应的处理措施后，可实现固体废物处理的无害化、减量化及资源化的目标。</w:t>
            </w:r>
          </w:p>
          <w:p w14:paraId="3D281EE0">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本项目的建设不会降低项目所在地周边环境的环境功能质量，符合环境质量控制底线要求。</w:t>
            </w:r>
          </w:p>
          <w:p w14:paraId="785F0AEB">
            <w:pPr>
              <w:pStyle w:val="25"/>
              <w:numPr>
                <w:ilvl w:val="0"/>
                <w:numId w:val="0"/>
              </w:numPr>
              <w:spacing w:line="360" w:lineRule="auto"/>
              <w:ind w:leftChars="200"/>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（3）与资源利用上线符合性分析</w:t>
            </w:r>
          </w:p>
          <w:p w14:paraId="460E6184">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为道路建设项目，营运期不消耗水量，在运营中特别注意保持路面雨水的收集和导排能力，并加强道路路面的清洁环卫工作。本项目道路径流污染物通过雨水管网汇入马蹄河后，经过稀释、自净作用，最终排入安邦河，对安邦河水质产生的影响较小。项目资源消耗量相对区域资源利用总量较小，符合资源利用上线要求。</w:t>
            </w:r>
          </w:p>
          <w:p w14:paraId="670B032B">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宋体" w:hAnsi="宋体" w:eastAsia="宋体" w:cs="宋体"/>
                <w:smallCaps w:val="0"/>
                <w:color w:val="auto"/>
                <w:kern w:val="2"/>
                <w:sz w:val="24"/>
                <w:szCs w:val="24"/>
                <w:highlight w:val="yellow"/>
                <w:lang w:val="en-US" w:eastAsia="zh-CN" w:bidi="ar-SA"/>
              </w:rPr>
            </w:pPr>
            <w:r>
              <w:rPr>
                <w:rFonts w:hint="eastAsia" w:ascii="宋体" w:hAnsi="宋体" w:eastAsia="宋体" w:cs="宋体"/>
                <w:smallCaps w:val="0"/>
                <w:color w:val="auto"/>
                <w:kern w:val="2"/>
                <w:sz w:val="24"/>
                <w:szCs w:val="24"/>
                <w:highlight w:val="yellow"/>
                <w:lang w:val="en-US" w:eastAsia="zh-CN" w:bidi="ar-SA"/>
              </w:rPr>
              <w:t>本项目为道路改建项目，利用原有道路改造，旧路利用率为100%，根据</w:t>
            </w:r>
            <w:r>
              <w:rPr>
                <w:rFonts w:hint="eastAsia" w:ascii="宋体" w:hAnsi="宋体" w:eastAsia="宋体" w:cs="宋体"/>
                <w:smallCaps w:val="0"/>
                <w:color w:val="auto"/>
                <w:kern w:val="0"/>
                <w:highlight w:val="yellow"/>
                <w:lang w:val="en-US" w:eastAsia="zh-CN"/>
              </w:rPr>
              <w:t>项目用地预审与选址意见书，本项目永久占地32055.8m</w:t>
            </w:r>
            <w:r>
              <w:rPr>
                <w:rFonts w:hint="eastAsia" w:ascii="宋体" w:hAnsi="宋体" w:eastAsia="宋体" w:cs="宋体"/>
                <w:smallCaps w:val="0"/>
                <w:color w:val="auto"/>
                <w:kern w:val="0"/>
                <w:highlight w:val="yellow"/>
                <w:vertAlign w:val="superscript"/>
                <w:lang w:val="en-US" w:eastAsia="zh-CN"/>
              </w:rPr>
              <w:t>2</w:t>
            </w:r>
            <w:r>
              <w:rPr>
                <w:rFonts w:hint="eastAsia" w:ascii="宋体" w:hAnsi="宋体" w:eastAsia="宋体" w:cs="宋体"/>
                <w:smallCaps w:val="0"/>
                <w:color w:val="auto"/>
                <w:kern w:val="0"/>
                <w:highlight w:val="yellow"/>
                <w:lang w:val="en-US" w:eastAsia="zh-CN"/>
              </w:rPr>
              <w:t>，临时占地5808.2m</w:t>
            </w:r>
            <w:r>
              <w:rPr>
                <w:rFonts w:hint="eastAsia" w:ascii="宋体" w:hAnsi="宋体" w:eastAsia="宋体" w:cs="宋体"/>
                <w:smallCaps w:val="0"/>
                <w:color w:val="auto"/>
                <w:kern w:val="0"/>
                <w:highlight w:val="yellow"/>
                <w:vertAlign w:val="superscript"/>
                <w:lang w:val="en-US" w:eastAsia="zh-CN"/>
              </w:rPr>
              <w:t>2</w:t>
            </w:r>
            <w:r>
              <w:rPr>
                <w:rFonts w:hint="eastAsia" w:ascii="宋体" w:hAnsi="宋体" w:eastAsia="宋体" w:cs="宋体"/>
                <w:smallCaps w:val="0"/>
                <w:color w:val="auto"/>
                <w:kern w:val="0"/>
                <w:highlight w:val="yellow"/>
                <w:lang w:val="en-US" w:eastAsia="zh-CN"/>
              </w:rPr>
              <w:t>。永久占地公路用地3.2012公顷、耕地0.00438公顷。临时用地建设用地0.0618公顷、未利用地0.1331公顷、耕地0.38592公顷。本项目占用耕地为闲置耕地，不占用水田，不占用永久基本农田。本项目建设少部分改变原有土地性质，对占用耕地进行补偿，不影响区域资源土地总量，项目资源消耗量相对区域资源利用总量较小，不会突破土地资源利用上线。</w:t>
            </w:r>
          </w:p>
          <w:p w14:paraId="67EB7BB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（4）负面清单符合性</w:t>
            </w:r>
          </w:p>
          <w:p w14:paraId="4363A362">
            <w:pPr>
              <w:tabs>
                <w:tab w:val="left" w:pos="0"/>
              </w:tabs>
              <w:ind w:firstLine="480"/>
              <w:rPr>
                <w:rFonts w:hint="eastAsia" w:ascii="宋体" w:hAnsi="宋体" w:eastAsia="宋体" w:cs="宋体"/>
                <w:smallCaps w:val="0"/>
                <w:color w:val="auto"/>
                <w:highlight w:val="none"/>
              </w:rPr>
            </w:pPr>
            <w:r>
              <w:rPr>
                <w:rFonts w:hint="eastAsia" w:ascii="宋体" w:hAnsi="宋体" w:eastAsia="宋体" w:cs="宋体"/>
                <w:smallCaps w:val="0"/>
                <w:color w:val="auto"/>
                <w:kern w:val="2"/>
                <w:sz w:val="24"/>
                <w:szCs w:val="24"/>
                <w:highlight w:val="none"/>
                <w:lang w:val="en-US" w:eastAsia="zh-CN" w:bidi="ar"/>
              </w:rPr>
              <w:t>本项目位于</w:t>
            </w:r>
            <w:r>
              <w:rPr>
                <w:rFonts w:hint="eastAsia" w:ascii="宋体" w:hAnsi="宋体" w:eastAsia="宋体" w:cs="宋体"/>
                <w:smallCaps w:val="0"/>
                <w:color w:val="auto"/>
                <w:sz w:val="24"/>
                <w:szCs w:val="24"/>
                <w:highlight w:val="none"/>
                <w:lang w:val="en-US" w:eastAsia="zh-CN"/>
              </w:rPr>
              <w:t>岭东区，工程起点位于双鸭山至时代公路钢铁桥桥尾，终点与水泥厂水泥混凝土硬化路相接</w:t>
            </w:r>
            <w:r>
              <w:rPr>
                <w:rFonts w:hint="eastAsia" w:ascii="宋体" w:hAnsi="宋体" w:eastAsia="宋体" w:cs="宋体"/>
                <w:smallCaps w:val="0"/>
                <w:color w:val="auto"/>
                <w:kern w:val="2"/>
                <w:sz w:val="24"/>
                <w:szCs w:val="24"/>
                <w:highlight w:val="none"/>
                <w:lang w:val="en-US" w:eastAsia="zh-CN" w:bidi="ar"/>
              </w:rPr>
              <w:t>，</w:t>
            </w:r>
            <w:r>
              <w:rPr>
                <w:rFonts w:hint="eastAsia" w:ascii="宋体" w:hAnsi="宋体" w:eastAsia="宋体" w:cs="宋体"/>
                <w:smallCaps w:val="0"/>
                <w:color w:val="auto"/>
                <w:highlight w:val="none"/>
              </w:rPr>
              <w:t>根据黑龙江省发展和改革委员会2017年10月发布的《黑龙江省重点生态功能区产业准入负面清单（试行版）》（黑发改规</w:t>
            </w:r>
            <w:r>
              <w:rPr>
                <w:rFonts w:hint="eastAsia" w:ascii="宋体" w:hAnsi="宋体" w:eastAsia="宋体" w:cs="宋体"/>
                <w:smallCaps w:val="0"/>
                <w:color w:val="auto"/>
                <w:highlight w:val="none"/>
                <w:lang w:eastAsia="zh-CN"/>
              </w:rPr>
              <w:t>〔2017〕4号</w:t>
            </w:r>
            <w:r>
              <w:rPr>
                <w:rFonts w:hint="eastAsia" w:ascii="宋体" w:hAnsi="宋体" w:eastAsia="宋体" w:cs="宋体"/>
                <w:smallCaps w:val="0"/>
                <w:color w:val="auto"/>
                <w:highlight w:val="none"/>
              </w:rPr>
              <w:t>），本项目不属于《黑龙江省重点生态功能区产业准入负面清单（试行版）》限制类产业和禁止类产业。故项目的建设符合《黑龙江省重点生态功能区产业准入负面清单（试行版）》。</w:t>
            </w:r>
          </w:p>
          <w:p w14:paraId="728EB60F">
            <w:pPr>
              <w:tabs>
                <w:tab w:val="left" w:pos="0"/>
              </w:tabs>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yellow"/>
                <w:lang w:eastAsia="zh-CN"/>
              </w:rPr>
              <w:t>根据</w:t>
            </w:r>
            <w:r>
              <w:rPr>
                <w:rFonts w:hint="eastAsia" w:ascii="宋体" w:hAnsi="宋体" w:eastAsia="宋体" w:cs="宋体"/>
                <w:smallCaps w:val="0"/>
                <w:color w:val="auto"/>
                <w:highlight w:val="yellow"/>
                <w:lang w:val="en-US" w:eastAsia="zh-CN"/>
              </w:rPr>
              <w:t>《双鸭山市人民政府关于实施“三线一单”生态环境分区管控的意见》（双政规〔2021〕2 号）</w:t>
            </w:r>
            <w:r>
              <w:rPr>
                <w:rFonts w:hint="eastAsia" w:ascii="宋体" w:hAnsi="宋体" w:eastAsia="宋体" w:cs="宋体"/>
                <w:smallCaps w:val="0"/>
                <w:color w:val="auto"/>
                <w:highlight w:val="yellow"/>
              </w:rPr>
              <w:t>，</w:t>
            </w:r>
            <w:r>
              <w:rPr>
                <w:rFonts w:hint="eastAsia" w:ascii="宋体" w:hAnsi="宋体" w:eastAsia="宋体" w:cs="宋体"/>
                <w:color w:val="auto"/>
                <w:spacing w:val="0"/>
                <w:highlight w:val="yellow"/>
                <w:lang w:val="en-US" w:eastAsia="zh-CN"/>
              </w:rPr>
              <w:t>根据《</w:t>
            </w:r>
            <w:bookmarkStart w:id="4" w:name="_Toc26531"/>
            <w:bookmarkStart w:id="5" w:name="_Toc12967"/>
            <w:r>
              <w:rPr>
                <w:rFonts w:hint="eastAsia" w:ascii="宋体" w:hAnsi="宋体" w:eastAsia="宋体" w:cs="宋体"/>
                <w:color w:val="auto"/>
                <w:spacing w:val="0"/>
                <w:highlight w:val="yellow"/>
                <w:lang w:val="en-US" w:eastAsia="zh-CN"/>
              </w:rPr>
              <w:t>双鸭山市生态环境准入清单</w:t>
            </w:r>
            <w:bookmarkEnd w:id="4"/>
            <w:bookmarkEnd w:id="5"/>
            <w:r>
              <w:rPr>
                <w:rFonts w:hint="eastAsia" w:ascii="宋体" w:hAnsi="宋体" w:eastAsia="宋体" w:cs="宋体"/>
                <w:color w:val="auto"/>
                <w:spacing w:val="0"/>
                <w:highlight w:val="yellow"/>
                <w:lang w:val="en-US" w:eastAsia="zh-CN"/>
              </w:rPr>
              <w:t>》（2023年版）、《双鸭山至时代公路提质改造工程生态环境分区管控分析报告》</w:t>
            </w:r>
            <w:r>
              <w:rPr>
                <w:rFonts w:hint="eastAsia" w:ascii="宋体" w:hAnsi="宋体" w:eastAsia="宋体" w:cs="宋体"/>
                <w:color w:val="auto"/>
                <w:spacing w:val="0"/>
                <w:highlight w:val="none"/>
                <w:lang w:val="en-US" w:eastAsia="zh-CN"/>
              </w:rPr>
              <w:t>，</w:t>
            </w:r>
            <w:r>
              <w:rPr>
                <w:rFonts w:hint="eastAsia" w:ascii="宋体" w:hAnsi="宋体" w:eastAsia="宋体" w:cs="宋体"/>
                <w:color w:val="auto"/>
                <w:spacing w:val="0"/>
                <w:highlight w:val="none"/>
              </w:rPr>
              <w:t>本项目与相应管控单元的生态环境准入要求的符合性分析如下</w:t>
            </w:r>
            <w:r>
              <w:rPr>
                <w:rFonts w:hint="eastAsia" w:ascii="宋体" w:hAnsi="宋体" w:eastAsia="宋体" w:cs="宋体"/>
                <w:smallCaps w:val="0"/>
                <w:color w:val="auto"/>
                <w:highlight w:val="none"/>
              </w:rPr>
              <w:t>。</w:t>
            </w:r>
          </w:p>
          <w:p w14:paraId="0DDABC8B">
            <w:pPr>
              <w:autoSpaceDE w:val="0"/>
              <w:autoSpaceDN w:val="0"/>
              <w:adjustRightInd w:val="0"/>
              <w:snapToGrid w:val="0"/>
              <w:spacing w:line="240" w:lineRule="auto"/>
              <w:jc w:val="center"/>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rPr>
              <w:t>表</w:t>
            </w:r>
            <w:r>
              <w:rPr>
                <w:rFonts w:hint="eastAsia" w:ascii="宋体" w:hAnsi="宋体" w:eastAsia="宋体" w:cs="宋体"/>
                <w:b/>
                <w:bCs/>
                <w:smallCaps w:val="0"/>
                <w:color w:val="auto"/>
                <w:sz w:val="21"/>
                <w:szCs w:val="21"/>
                <w:highlight w:val="none"/>
                <w:lang w:val="en-US" w:eastAsia="zh-CN"/>
              </w:rPr>
              <w:t>1-1</w:t>
            </w:r>
            <w:r>
              <w:rPr>
                <w:rFonts w:hint="eastAsia" w:ascii="宋体" w:hAnsi="宋体" w:eastAsia="宋体" w:cs="宋体"/>
                <w:b/>
                <w:bCs/>
                <w:smallCaps w:val="0"/>
                <w:color w:val="auto"/>
                <w:sz w:val="21"/>
                <w:szCs w:val="21"/>
                <w:highlight w:val="none"/>
              </w:rPr>
              <w:t xml:space="preserve"> </w:t>
            </w:r>
            <w:r>
              <w:rPr>
                <w:rFonts w:hint="eastAsia" w:ascii="宋体" w:hAnsi="宋体" w:eastAsia="宋体" w:cs="宋体"/>
                <w:b/>
                <w:bCs/>
                <w:smallCaps w:val="0"/>
                <w:color w:val="auto"/>
                <w:sz w:val="21"/>
                <w:szCs w:val="21"/>
                <w:highlight w:val="none"/>
                <w:lang w:val="en-US" w:eastAsia="zh-CN"/>
              </w:rPr>
              <w:t>生态环境准入清单</w:t>
            </w:r>
            <w:r>
              <w:rPr>
                <w:rFonts w:hint="eastAsia" w:ascii="宋体" w:hAnsi="宋体" w:eastAsia="宋体" w:cs="宋体"/>
                <w:b/>
                <w:bCs/>
                <w:smallCaps w:val="0"/>
                <w:color w:val="auto"/>
                <w:sz w:val="21"/>
                <w:szCs w:val="21"/>
                <w:highlight w:val="none"/>
              </w:rPr>
              <w:t>管控要求符合性分析</w:t>
            </w:r>
          </w:p>
          <w:tbl>
            <w:tblPr>
              <w:tblStyle w:val="34"/>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7"/>
              <w:gridCol w:w="726"/>
              <w:gridCol w:w="3980"/>
              <w:gridCol w:w="1719"/>
              <w:gridCol w:w="897"/>
            </w:tblGrid>
            <w:tr w14:paraId="261AB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81" w:type="dxa"/>
                  <w:noWrap w:val="0"/>
                  <w:vAlign w:val="center"/>
                </w:tcPr>
                <w:p w14:paraId="76786774">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管控单元类别</w:t>
                  </w:r>
                </w:p>
              </w:tc>
              <w:tc>
                <w:tcPr>
                  <w:tcW w:w="4724" w:type="dxa"/>
                  <w:gridSpan w:val="2"/>
                  <w:noWrap w:val="0"/>
                  <w:vAlign w:val="center"/>
                </w:tcPr>
                <w:p w14:paraId="7FC8C45E">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岭东区一般生态空间</w:t>
                  </w:r>
                </w:p>
                <w:p w14:paraId="09F75955">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ZH23050310002</w:t>
                  </w:r>
                </w:p>
              </w:tc>
              <w:tc>
                <w:tcPr>
                  <w:tcW w:w="1725" w:type="dxa"/>
                  <w:noWrap w:val="0"/>
                  <w:vAlign w:val="center"/>
                </w:tcPr>
                <w:p w14:paraId="17A1429D">
                  <w:pPr>
                    <w:pStyle w:val="73"/>
                    <w:spacing w:line="240" w:lineRule="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rPr>
                    <w:t>本项目</w:t>
                  </w:r>
                </w:p>
              </w:tc>
              <w:tc>
                <w:tcPr>
                  <w:tcW w:w="900" w:type="dxa"/>
                  <w:noWrap w:val="0"/>
                  <w:vAlign w:val="center"/>
                </w:tcPr>
                <w:p w14:paraId="57C23F54">
                  <w:pPr>
                    <w:pStyle w:val="73"/>
                    <w:spacing w:line="240" w:lineRule="auto"/>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bCs/>
                      <w:smallCaps w:val="0"/>
                      <w:color w:val="auto"/>
                      <w:sz w:val="21"/>
                      <w:szCs w:val="21"/>
                      <w:highlight w:val="none"/>
                      <w:lang w:val="en-US"/>
                    </w:rPr>
                    <w:t>符合性分析</w:t>
                  </w:r>
                </w:p>
              </w:tc>
            </w:tr>
            <w:tr w14:paraId="019F5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981" w:type="dxa"/>
                  <w:noWrap w:val="0"/>
                  <w:vAlign w:val="center"/>
                </w:tcPr>
                <w:p w14:paraId="7F4CD01A">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优先保护单元</w:t>
                  </w:r>
                </w:p>
              </w:tc>
              <w:tc>
                <w:tcPr>
                  <w:tcW w:w="4724" w:type="dxa"/>
                  <w:gridSpan w:val="2"/>
                  <w:noWrap w:val="0"/>
                  <w:vAlign w:val="center"/>
                </w:tcPr>
                <w:p w14:paraId="6F9A6C2F">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区域准入要求“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4）已经侵占生态空间的，应建立退出机制、制定治理方案及时间表。”</w:t>
                  </w:r>
                </w:p>
                <w:p w14:paraId="4A088EC9">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双鸭山市寒葱沟水库饮用水水源同时执行“1）饮用水地表水源各级保护区及准保护区内均必须遵守下列规定：（1）禁止一切破坏水环境生态平衡的活动以及破坏水源林、护岸林、与水源保护相关植被的活动。（2）禁止向水域倾倒工业废渣、城市垃圾、粪便及其它废弃物。（3）运输有毒有害物质、油类、粪便的船舶和车辆一般不准进入保护区，必须进入者应事先申请并经有关部门批准、登记并设置防渗、防溢、防漏设施。（4）禁止使用剧毒和高残留农药，不得滥用化肥，不得使用炸药、毒品捕杀鱼类。（5）禁止建设畜禽养殖场、养殖小区。（6）禁止设置排污口。2）饮用水地表水源各级保护区及准保护区内必须分别遵守下列规定：（1）一级保护区内：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2）二级保护区内：禁止新建、改建、扩建排放污染物的建设项目，已建成的排放污染物的建设项目，由县级以上人民政府责令拆除或者关闭；原有排污口依法拆除或者关闭；禁止设立装卸垃圾、粪便、油类和有毒物品的码头。（3）准保护区内：禁止新建、扩建对水体污染严重的建设项目；改建建设项目，不得增加排污量。3）国务院和省、自治区、直辖市人民政府根据水环境保护的需要，可以规定在饮用水水源保护区内，采取禁止或者限制使用含磷洗涤剂、化肥、农药以及限制种植养殖等措施。4）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1）一级保护区内：禁止建设与取水设施无关的建筑物；禁止从事农牧业活动；禁止倾倒、堆放工业废渣及城市垃圾、粪便和其它有害废弃物；禁止输送污水的渠道、管道及输油管道通过本区；禁止建设油库；禁止建立墓地。（2）二级保护区内：①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②对于承压含水层地下水水源地：禁止承压水和潜水的混合开采，作好潜水的止水措施。（3）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p>
              </w:tc>
              <w:tc>
                <w:tcPr>
                  <w:tcW w:w="1725" w:type="dxa"/>
                  <w:noWrap w:val="0"/>
                  <w:vAlign w:val="center"/>
                </w:tcPr>
                <w:p w14:paraId="16FE6A4F">
                  <w:pPr>
                    <w:pStyle w:val="73"/>
                    <w:spacing w:line="240" w:lineRule="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本项目为道路提升改造项目，建设活动与生态功能一致。本项目不属于农业开发项目。建设地点不属于双鸭山市寒葱沟水库饮用水水源地。</w:t>
                  </w:r>
                </w:p>
              </w:tc>
              <w:tc>
                <w:tcPr>
                  <w:tcW w:w="900" w:type="dxa"/>
                  <w:noWrap w:val="0"/>
                  <w:vAlign w:val="center"/>
                </w:tcPr>
                <w:p w14:paraId="4DA2DD2F">
                  <w:pPr>
                    <w:pStyle w:val="73"/>
                    <w:spacing w:line="240" w:lineRule="auto"/>
                    <w:jc w:val="center"/>
                    <w:rPr>
                      <w:rFonts w:hint="eastAsia" w:ascii="宋体" w:hAnsi="宋体" w:eastAsia="宋体" w:cs="宋体"/>
                      <w:bCs/>
                      <w:smallCaps w:val="0"/>
                      <w:color w:val="auto"/>
                      <w:sz w:val="21"/>
                      <w:szCs w:val="21"/>
                      <w:highlight w:val="none"/>
                      <w:lang w:val="en-US" w:eastAsia="zh-CN"/>
                    </w:rPr>
                  </w:pPr>
                  <w:r>
                    <w:rPr>
                      <w:rFonts w:hint="eastAsia" w:ascii="宋体" w:hAnsi="宋体" w:eastAsia="宋体" w:cs="宋体"/>
                      <w:bCs/>
                      <w:smallCaps w:val="0"/>
                      <w:color w:val="auto"/>
                      <w:sz w:val="21"/>
                      <w:szCs w:val="21"/>
                      <w:highlight w:val="none"/>
                      <w:lang w:val="en-US" w:eastAsia="zh-CN"/>
                    </w:rPr>
                    <w:t>符合</w:t>
                  </w:r>
                </w:p>
              </w:tc>
            </w:tr>
            <w:tr w14:paraId="78382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81" w:type="dxa"/>
                  <w:noWrap w:val="0"/>
                  <w:vAlign w:val="center"/>
                </w:tcPr>
                <w:p w14:paraId="00E04D0F">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管控单元类别</w:t>
                  </w:r>
                </w:p>
              </w:tc>
              <w:tc>
                <w:tcPr>
                  <w:tcW w:w="4724" w:type="dxa"/>
                  <w:gridSpan w:val="2"/>
                  <w:noWrap w:val="0"/>
                  <w:vAlign w:val="center"/>
                </w:tcPr>
                <w:p w14:paraId="4016643D">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岭东区城镇空间</w:t>
                  </w:r>
                </w:p>
                <w:p w14:paraId="12560EA6">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ZH23050320005</w:t>
                  </w:r>
                </w:p>
              </w:tc>
              <w:tc>
                <w:tcPr>
                  <w:tcW w:w="1725" w:type="dxa"/>
                  <w:noWrap w:val="0"/>
                  <w:vAlign w:val="center"/>
                </w:tcPr>
                <w:p w14:paraId="58B474E5">
                  <w:pPr>
                    <w:pStyle w:val="73"/>
                    <w:spacing w:line="240" w:lineRule="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本项目</w:t>
                  </w:r>
                </w:p>
              </w:tc>
              <w:tc>
                <w:tcPr>
                  <w:tcW w:w="900" w:type="dxa"/>
                  <w:noWrap w:val="0"/>
                  <w:vAlign w:val="center"/>
                </w:tcPr>
                <w:p w14:paraId="7727955B">
                  <w:pPr>
                    <w:pStyle w:val="73"/>
                    <w:spacing w:line="240" w:lineRule="auto"/>
                    <w:jc w:val="center"/>
                    <w:rPr>
                      <w:rFonts w:hint="eastAsia" w:ascii="宋体" w:hAnsi="宋体" w:eastAsia="宋体" w:cs="宋体"/>
                      <w:bCs/>
                      <w:smallCaps w:val="0"/>
                      <w:color w:val="auto"/>
                      <w:sz w:val="21"/>
                      <w:szCs w:val="21"/>
                      <w:highlight w:val="none"/>
                      <w:lang w:val="en-US"/>
                    </w:rPr>
                  </w:pPr>
                  <w:r>
                    <w:rPr>
                      <w:rFonts w:hint="eastAsia" w:ascii="宋体" w:hAnsi="宋体" w:eastAsia="宋体" w:cs="宋体"/>
                      <w:bCs/>
                      <w:smallCaps w:val="0"/>
                      <w:color w:val="auto"/>
                      <w:sz w:val="21"/>
                      <w:szCs w:val="21"/>
                      <w:highlight w:val="none"/>
                      <w:lang w:val="en-US"/>
                    </w:rPr>
                    <w:t>符合性分析</w:t>
                  </w:r>
                </w:p>
              </w:tc>
            </w:tr>
            <w:tr w14:paraId="02272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81" w:type="dxa"/>
                  <w:vMerge w:val="restart"/>
                  <w:noWrap w:val="0"/>
                  <w:vAlign w:val="center"/>
                </w:tcPr>
                <w:p w14:paraId="180AAE30">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管控要求</w:t>
                  </w:r>
                </w:p>
              </w:tc>
              <w:tc>
                <w:tcPr>
                  <w:tcW w:w="728" w:type="dxa"/>
                  <w:noWrap w:val="0"/>
                  <w:vAlign w:val="center"/>
                </w:tcPr>
                <w:p w14:paraId="45C96047">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空间布局约束</w:t>
                  </w:r>
                </w:p>
              </w:tc>
              <w:tc>
                <w:tcPr>
                  <w:tcW w:w="3996" w:type="dxa"/>
                  <w:noWrap w:val="0"/>
                  <w:vAlign w:val="center"/>
                </w:tcPr>
                <w:p w14:paraId="2F8BEBEB">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1.执行：1）严禁在人口密集区新建危险化学品生产项目，城镇人口密集区危险化学品生产企业应搬迁改造。2）禁止在城镇居民区、文化教育科学研究区等人口集中区域建设畜禽养殖场、养殖小区。</w:t>
                  </w:r>
                </w:p>
                <w:p w14:paraId="01E27C07">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2.大气环境布局敏感重点管控区同时执行“禁止在居民区、学校、医疗和养老机构等周边新建有色金属冶炼、焦化等行业企业。”</w:t>
                  </w:r>
                </w:p>
              </w:tc>
              <w:tc>
                <w:tcPr>
                  <w:tcW w:w="1725" w:type="dxa"/>
                  <w:noWrap w:val="0"/>
                  <w:vAlign w:val="center"/>
                </w:tcPr>
                <w:p w14:paraId="53612E43">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本项目为双鸭山至时代公路提质改造工程，不属于在人口密集区建设危险化学品项目。不属于畜禽养殖场、养殖小区项目。不属于有色金属冶炼、焦化等行业。</w:t>
                  </w:r>
                </w:p>
              </w:tc>
              <w:tc>
                <w:tcPr>
                  <w:tcW w:w="900" w:type="dxa"/>
                  <w:noWrap w:val="0"/>
                  <w:vAlign w:val="center"/>
                </w:tcPr>
                <w:p w14:paraId="0D18B024">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rPr>
                    <w:t>符合</w:t>
                  </w:r>
                </w:p>
              </w:tc>
            </w:tr>
            <w:tr w14:paraId="4A0F3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continue"/>
                  <w:noWrap w:val="0"/>
                  <w:vAlign w:val="center"/>
                </w:tcPr>
                <w:p w14:paraId="3AA12815">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7A804AF4">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污染物排放管控</w:t>
                  </w:r>
                </w:p>
              </w:tc>
              <w:tc>
                <w:tcPr>
                  <w:tcW w:w="3996" w:type="dxa"/>
                  <w:noWrap w:val="0"/>
                  <w:vAlign w:val="center"/>
                </w:tcPr>
                <w:p w14:paraId="5F8C52D5">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1.执行：加快65t／h以上燃煤锅炉（含电力）超低排放改造。</w:t>
                  </w:r>
                </w:p>
                <w:p w14:paraId="11B0E717">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含电力）实现超低排放，钢铁企业基本实现超低排放。</w:t>
                  </w:r>
                </w:p>
              </w:tc>
              <w:tc>
                <w:tcPr>
                  <w:tcW w:w="1725" w:type="dxa"/>
                  <w:noWrap w:val="0"/>
                  <w:vAlign w:val="center"/>
                </w:tcPr>
                <w:p w14:paraId="10D77190">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本项目为道路改造项目，不属于锅炉项目，不属于煤、石焦油、渣油、重油等为燃料的锅炉和工业炉窑项目。</w:t>
                  </w:r>
                </w:p>
              </w:tc>
              <w:tc>
                <w:tcPr>
                  <w:tcW w:w="900" w:type="dxa"/>
                  <w:noWrap w:val="0"/>
                  <w:vAlign w:val="center"/>
                </w:tcPr>
                <w:p w14:paraId="410F1E49">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rPr>
                    <w:t>符合</w:t>
                  </w:r>
                </w:p>
              </w:tc>
            </w:tr>
            <w:tr w14:paraId="2649C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continue"/>
                  <w:noWrap w:val="0"/>
                  <w:vAlign w:val="center"/>
                </w:tcPr>
                <w:p w14:paraId="2842E713">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32CD90EE">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环境风险防控</w:t>
                  </w:r>
                </w:p>
              </w:tc>
              <w:tc>
                <w:tcPr>
                  <w:tcW w:w="3996" w:type="dxa"/>
                  <w:noWrap w:val="0"/>
                  <w:vAlign w:val="center"/>
                </w:tcPr>
                <w:p w14:paraId="739C53A1">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w:t>
                  </w:r>
                </w:p>
                <w:p w14:paraId="0F5BFE6A">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2.大气环境布局敏感重点管控区同时执行本清单禁止在居民区、学校、医疗和养老机构等周边新建有色金属冶炼、焦化等行业企业。</w:t>
                  </w:r>
                </w:p>
              </w:tc>
              <w:tc>
                <w:tcPr>
                  <w:tcW w:w="1725" w:type="dxa"/>
                  <w:noWrap w:val="0"/>
                  <w:vAlign w:val="center"/>
                </w:tcPr>
                <w:p w14:paraId="25C130B9">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本项目不属于化工园区项目。不属于在居民区、学校、医疗和养老机构周边建设有色金属冶炼、焦化等行业。</w:t>
                  </w:r>
                </w:p>
              </w:tc>
              <w:tc>
                <w:tcPr>
                  <w:tcW w:w="900" w:type="dxa"/>
                  <w:noWrap w:val="0"/>
                  <w:vAlign w:val="center"/>
                </w:tcPr>
                <w:p w14:paraId="23277118">
                  <w:pPr>
                    <w:bidi w:val="0"/>
                    <w:spacing w:line="240" w:lineRule="auto"/>
                    <w:ind w:left="0" w:leftChars="0"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符合</w:t>
                  </w:r>
                </w:p>
              </w:tc>
            </w:tr>
            <w:tr w14:paraId="7B3BC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continue"/>
                  <w:noWrap w:val="0"/>
                  <w:vAlign w:val="center"/>
                </w:tcPr>
                <w:p w14:paraId="1B41E848">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4A4E850A">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资源开发效率要求</w:t>
                  </w:r>
                </w:p>
              </w:tc>
              <w:tc>
                <w:tcPr>
                  <w:tcW w:w="3996" w:type="dxa"/>
                  <w:noWrap w:val="0"/>
                  <w:vAlign w:val="center"/>
                </w:tcPr>
                <w:p w14:paraId="1392157E">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1.执行“1）推进污水再生利用设施建设。2）公共建筑必须采用节水器具，限期淘汰公共建筑中不符合节水标准的水嘴、便器水箱等生活用水器具。”</w:t>
                  </w:r>
                </w:p>
                <w:p w14:paraId="008D89AF">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725" w:type="dxa"/>
                  <w:noWrap w:val="0"/>
                  <w:vAlign w:val="center"/>
                </w:tcPr>
                <w:p w14:paraId="1603D570">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本项目为公路改造项目，不属于污水再生利用设施建设，不属于在禁燃区内建设高污染燃料的设施。不属于新建、扩建燃煤供热锅炉项目。</w:t>
                  </w:r>
                </w:p>
              </w:tc>
              <w:tc>
                <w:tcPr>
                  <w:tcW w:w="900" w:type="dxa"/>
                  <w:noWrap w:val="0"/>
                  <w:vAlign w:val="center"/>
                </w:tcPr>
                <w:p w14:paraId="65E84F43">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符合</w:t>
                  </w:r>
                </w:p>
              </w:tc>
            </w:tr>
            <w:tr w14:paraId="06949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981" w:type="dxa"/>
                  <w:noWrap w:val="0"/>
                  <w:vAlign w:val="center"/>
                </w:tcPr>
                <w:p w14:paraId="72F3B6FD">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管控单元类别</w:t>
                  </w:r>
                </w:p>
              </w:tc>
              <w:tc>
                <w:tcPr>
                  <w:tcW w:w="4724" w:type="dxa"/>
                  <w:gridSpan w:val="2"/>
                  <w:noWrap w:val="0"/>
                  <w:vAlign w:val="center"/>
                </w:tcPr>
                <w:p w14:paraId="4AA5305E">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岭东区大气环境布局敏感重点管控区</w:t>
                  </w:r>
                </w:p>
                <w:p w14:paraId="3AE54777">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ZH23050320006</w:t>
                  </w:r>
                </w:p>
              </w:tc>
              <w:tc>
                <w:tcPr>
                  <w:tcW w:w="1725" w:type="dxa"/>
                  <w:noWrap w:val="0"/>
                  <w:vAlign w:val="center"/>
                </w:tcPr>
                <w:p w14:paraId="3C03F160">
                  <w:pPr>
                    <w:pStyle w:val="73"/>
                    <w:spacing w:line="240" w:lineRule="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rPr>
                    <w:t>本项目</w:t>
                  </w:r>
                </w:p>
              </w:tc>
              <w:tc>
                <w:tcPr>
                  <w:tcW w:w="900" w:type="dxa"/>
                  <w:noWrap w:val="0"/>
                  <w:vAlign w:val="center"/>
                </w:tcPr>
                <w:p w14:paraId="2A85C220">
                  <w:pPr>
                    <w:pStyle w:val="73"/>
                    <w:spacing w:line="240" w:lineRule="auto"/>
                    <w:jc w:val="center"/>
                    <w:rPr>
                      <w:rFonts w:hint="eastAsia" w:ascii="宋体" w:hAnsi="宋体" w:eastAsia="宋体" w:cs="宋体"/>
                      <w:smallCaps w:val="0"/>
                      <w:color w:val="auto"/>
                      <w:sz w:val="21"/>
                      <w:szCs w:val="21"/>
                      <w:highlight w:val="none"/>
                    </w:rPr>
                  </w:pPr>
                  <w:r>
                    <w:rPr>
                      <w:rFonts w:hint="eastAsia" w:ascii="宋体" w:hAnsi="宋体" w:eastAsia="宋体" w:cs="宋体"/>
                      <w:bCs/>
                      <w:smallCaps w:val="0"/>
                      <w:color w:val="auto"/>
                      <w:sz w:val="21"/>
                      <w:szCs w:val="21"/>
                      <w:highlight w:val="none"/>
                      <w:lang w:val="en-US"/>
                    </w:rPr>
                    <w:t>符合性分析</w:t>
                  </w:r>
                </w:p>
              </w:tc>
            </w:tr>
            <w:tr w14:paraId="7E0E1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restart"/>
                  <w:noWrap w:val="0"/>
                  <w:vAlign w:val="center"/>
                </w:tcPr>
                <w:p w14:paraId="7DEAAE61">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重点管控单元</w:t>
                  </w:r>
                </w:p>
              </w:tc>
              <w:tc>
                <w:tcPr>
                  <w:tcW w:w="728" w:type="dxa"/>
                  <w:noWrap w:val="0"/>
                  <w:vAlign w:val="center"/>
                </w:tcPr>
                <w:p w14:paraId="4B15539E">
                  <w:pPr>
                    <w:bidi w:val="0"/>
                    <w:spacing w:line="240" w:lineRule="auto"/>
                    <w:ind w:left="0" w:leftChars="0" w:firstLine="0" w:firstLineChars="0"/>
                    <w:jc w:val="center"/>
                    <w:rPr>
                      <w:rFonts w:hint="eastAsia" w:ascii="宋体" w:hAnsi="宋体" w:eastAsia="宋体" w:cs="宋体"/>
                      <w:smallCaps w:val="0"/>
                      <w:color w:val="auto"/>
                      <w:kern w:val="2"/>
                      <w:sz w:val="21"/>
                      <w:szCs w:val="21"/>
                      <w:highlight w:val="none"/>
                      <w:lang w:val="en-US" w:eastAsia="zh-CN" w:bidi="ar-SA"/>
                    </w:rPr>
                  </w:pPr>
                  <w:r>
                    <w:rPr>
                      <w:rFonts w:hint="eastAsia" w:ascii="宋体" w:hAnsi="宋体" w:eastAsia="宋体" w:cs="宋体"/>
                      <w:smallCaps w:val="0"/>
                      <w:color w:val="auto"/>
                      <w:sz w:val="21"/>
                      <w:szCs w:val="21"/>
                      <w:highlight w:val="none"/>
                      <w:lang w:val="en-US" w:eastAsia="zh-CN"/>
                    </w:rPr>
                    <w:t>空间布局约束</w:t>
                  </w:r>
                </w:p>
              </w:tc>
              <w:tc>
                <w:tcPr>
                  <w:tcW w:w="3996" w:type="dxa"/>
                  <w:noWrap w:val="0"/>
                  <w:vAlign w:val="center"/>
                </w:tcPr>
                <w:p w14:paraId="7E038935">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725" w:type="dxa"/>
                  <w:noWrap w:val="0"/>
                  <w:vAlign w:val="center"/>
                </w:tcPr>
                <w:p w14:paraId="3DAF53AD">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本项目为道路改造项目，不属于两高行业。不属于利用水泥窑协同处置城市生活垃圾、危险废弃物、电石渣等固废伴生水泥项目。</w:t>
                  </w:r>
                </w:p>
              </w:tc>
              <w:tc>
                <w:tcPr>
                  <w:tcW w:w="900" w:type="dxa"/>
                  <w:noWrap w:val="0"/>
                  <w:vAlign w:val="center"/>
                </w:tcPr>
                <w:p w14:paraId="15BC51AB">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符合</w:t>
                  </w:r>
                </w:p>
              </w:tc>
            </w:tr>
            <w:tr w14:paraId="4D231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continue"/>
                  <w:noWrap w:val="0"/>
                  <w:vAlign w:val="center"/>
                </w:tcPr>
                <w:p w14:paraId="7A1FE52D">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03CB74AA">
                  <w:pPr>
                    <w:bidi w:val="0"/>
                    <w:spacing w:line="240" w:lineRule="auto"/>
                    <w:ind w:left="0" w:leftChars="0" w:firstLine="0" w:firstLineChars="0"/>
                    <w:jc w:val="center"/>
                    <w:rPr>
                      <w:rFonts w:hint="eastAsia" w:ascii="宋体" w:hAnsi="宋体" w:eastAsia="宋体" w:cs="宋体"/>
                      <w:smallCaps w:val="0"/>
                      <w:color w:val="auto"/>
                      <w:kern w:val="2"/>
                      <w:sz w:val="21"/>
                      <w:szCs w:val="21"/>
                      <w:highlight w:val="none"/>
                      <w:lang w:val="en-US" w:eastAsia="zh-CN" w:bidi="ar-SA"/>
                    </w:rPr>
                  </w:pPr>
                  <w:r>
                    <w:rPr>
                      <w:rFonts w:hint="eastAsia" w:ascii="宋体" w:hAnsi="宋体" w:eastAsia="宋体" w:cs="宋体"/>
                      <w:smallCaps w:val="0"/>
                      <w:color w:val="auto"/>
                      <w:sz w:val="21"/>
                      <w:szCs w:val="21"/>
                      <w:highlight w:val="none"/>
                      <w:lang w:val="en-US" w:eastAsia="zh-CN"/>
                    </w:rPr>
                    <w:t>污染物排放管控</w:t>
                  </w:r>
                </w:p>
              </w:tc>
              <w:tc>
                <w:tcPr>
                  <w:tcW w:w="3996" w:type="dxa"/>
                  <w:noWrap w:val="0"/>
                  <w:vAlign w:val="center"/>
                </w:tcPr>
                <w:p w14:paraId="3D65DE94">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执行“1）对以煤、石焦油、渣油、重油等为燃料的锅炉和工业炉窑，加快使用清洁低碳能源以及工厂余热、电力热力等进行替代。2）到2025年，在用65蒸吨/小时以上的燃煤锅炉（含电力）实现超低排放，钢铁企业基本实现超低排放。”（含电力）实现超低排放，钢铁企业基本实现超低排放。</w:t>
                  </w:r>
                </w:p>
              </w:tc>
              <w:tc>
                <w:tcPr>
                  <w:tcW w:w="1725" w:type="dxa"/>
                  <w:noWrap w:val="0"/>
                  <w:vAlign w:val="center"/>
                </w:tcPr>
                <w:p w14:paraId="6FE70924">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本项目不属于煤、石焦油、渣油、重油等为燃料的锅炉和工业炉窑项目。不属于燃煤锅炉项目。</w:t>
                  </w:r>
                </w:p>
              </w:tc>
              <w:tc>
                <w:tcPr>
                  <w:tcW w:w="900" w:type="dxa"/>
                  <w:noWrap w:val="0"/>
                  <w:vAlign w:val="center"/>
                </w:tcPr>
                <w:p w14:paraId="061A81AE">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符合</w:t>
                  </w:r>
                </w:p>
              </w:tc>
            </w:tr>
            <w:tr w14:paraId="2ABE4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981" w:type="dxa"/>
                  <w:vMerge w:val="continue"/>
                  <w:noWrap w:val="0"/>
                  <w:vAlign w:val="center"/>
                </w:tcPr>
                <w:p w14:paraId="4F60FC0C">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7817BAEC">
                  <w:pPr>
                    <w:bidi w:val="0"/>
                    <w:spacing w:line="240" w:lineRule="auto"/>
                    <w:ind w:left="0" w:leftChars="0" w:firstLine="0" w:firstLineChars="0"/>
                    <w:jc w:val="center"/>
                    <w:rPr>
                      <w:rFonts w:hint="eastAsia" w:ascii="宋体" w:hAnsi="宋体" w:eastAsia="宋体" w:cs="宋体"/>
                      <w:smallCaps w:val="0"/>
                      <w:color w:val="auto"/>
                      <w:kern w:val="2"/>
                      <w:sz w:val="21"/>
                      <w:szCs w:val="21"/>
                      <w:highlight w:val="none"/>
                      <w:lang w:val="en-US" w:eastAsia="zh-CN" w:bidi="ar-SA"/>
                    </w:rPr>
                  </w:pPr>
                  <w:r>
                    <w:rPr>
                      <w:rFonts w:hint="eastAsia" w:ascii="宋体" w:hAnsi="宋体" w:eastAsia="宋体" w:cs="宋体"/>
                      <w:smallCaps w:val="0"/>
                      <w:color w:val="auto"/>
                      <w:sz w:val="21"/>
                      <w:szCs w:val="21"/>
                      <w:highlight w:val="none"/>
                      <w:lang w:val="en-US" w:eastAsia="zh-CN"/>
                    </w:rPr>
                    <w:t>环境风险防控</w:t>
                  </w:r>
                </w:p>
              </w:tc>
              <w:tc>
                <w:tcPr>
                  <w:tcW w:w="3996" w:type="dxa"/>
                  <w:noWrap w:val="0"/>
                  <w:vAlign w:val="center"/>
                </w:tcPr>
                <w:p w14:paraId="730A96B8">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执行“禁止在居民区、学校、医疗和养老机构等周边新建有色金属冶炼、焦化等行业企业。”</w:t>
                  </w:r>
                </w:p>
              </w:tc>
              <w:tc>
                <w:tcPr>
                  <w:tcW w:w="1725" w:type="dxa"/>
                  <w:noWrap w:val="0"/>
                  <w:vAlign w:val="center"/>
                </w:tcPr>
                <w:p w14:paraId="0CC9EC4F">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本项目不属于有色金属冶炼、焦化等行业。</w:t>
                  </w:r>
                </w:p>
              </w:tc>
              <w:tc>
                <w:tcPr>
                  <w:tcW w:w="900" w:type="dxa"/>
                  <w:noWrap w:val="0"/>
                  <w:vAlign w:val="center"/>
                </w:tcPr>
                <w:p w14:paraId="07E66B77">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符合</w:t>
                  </w:r>
                </w:p>
              </w:tc>
            </w:tr>
            <w:tr w14:paraId="58E6E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981" w:type="dxa"/>
                  <w:vMerge w:val="continue"/>
                  <w:noWrap w:val="0"/>
                  <w:vAlign w:val="center"/>
                </w:tcPr>
                <w:p w14:paraId="63705118">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p>
              </w:tc>
              <w:tc>
                <w:tcPr>
                  <w:tcW w:w="728" w:type="dxa"/>
                  <w:noWrap w:val="0"/>
                  <w:vAlign w:val="center"/>
                </w:tcPr>
                <w:p w14:paraId="0CFBB627">
                  <w:pPr>
                    <w:bidi w:val="0"/>
                    <w:spacing w:line="240" w:lineRule="auto"/>
                    <w:ind w:left="0" w:leftChars="0" w:firstLine="0" w:firstLineChars="0"/>
                    <w:jc w:val="center"/>
                    <w:rPr>
                      <w:rFonts w:hint="eastAsia" w:ascii="宋体" w:hAnsi="宋体" w:eastAsia="宋体" w:cs="宋体"/>
                      <w:smallCaps w:val="0"/>
                      <w:color w:val="auto"/>
                      <w:kern w:val="2"/>
                      <w:sz w:val="21"/>
                      <w:szCs w:val="21"/>
                      <w:highlight w:val="none"/>
                      <w:lang w:val="en-US" w:eastAsia="zh-CN" w:bidi="ar-SA"/>
                    </w:rPr>
                  </w:pPr>
                  <w:r>
                    <w:rPr>
                      <w:rFonts w:hint="eastAsia" w:ascii="宋体" w:hAnsi="宋体" w:eastAsia="宋体" w:cs="宋体"/>
                      <w:smallCaps w:val="0"/>
                      <w:color w:val="auto"/>
                      <w:sz w:val="21"/>
                      <w:szCs w:val="21"/>
                      <w:highlight w:val="none"/>
                      <w:lang w:val="en-US" w:eastAsia="zh-CN"/>
                    </w:rPr>
                    <w:t>资源开发效率要求</w:t>
                  </w:r>
                </w:p>
              </w:tc>
              <w:tc>
                <w:tcPr>
                  <w:tcW w:w="3996" w:type="dxa"/>
                  <w:noWrap w:val="0"/>
                  <w:vAlign w:val="center"/>
                </w:tcPr>
                <w:p w14:paraId="21BD068F">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725" w:type="dxa"/>
                  <w:noWrap w:val="0"/>
                  <w:vAlign w:val="center"/>
                </w:tcPr>
                <w:p w14:paraId="58E9F388">
                  <w:pPr>
                    <w:bidi w:val="0"/>
                    <w:spacing w:line="240" w:lineRule="auto"/>
                    <w:ind w:left="0" w:leftChars="0" w:firstLine="0" w:firstLineChars="0"/>
                    <w:jc w:val="both"/>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本项目不属于高污染燃料项目，不属于使用高污染燃料设施。不属于锅炉项目。</w:t>
                  </w:r>
                </w:p>
              </w:tc>
              <w:tc>
                <w:tcPr>
                  <w:tcW w:w="900" w:type="dxa"/>
                  <w:noWrap w:val="0"/>
                  <w:vAlign w:val="center"/>
                </w:tcPr>
                <w:p w14:paraId="6B3499EE">
                  <w:pPr>
                    <w:bidi w:val="0"/>
                    <w:spacing w:line="240" w:lineRule="auto"/>
                    <w:ind w:left="0" w:leftChars="0"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符合</w:t>
                  </w:r>
                </w:p>
              </w:tc>
            </w:tr>
          </w:tbl>
          <w:p w14:paraId="2536BF07">
            <w:pPr>
              <w:ind w:firstLine="480"/>
              <w:rPr>
                <w:rFonts w:hint="eastAsia" w:ascii="宋体" w:hAnsi="宋体" w:eastAsia="宋体" w:cs="宋体"/>
                <w:bCs/>
                <w:smallCaps w:val="0"/>
                <w:color w:val="auto"/>
                <w:highlight w:val="none"/>
              </w:rPr>
            </w:pPr>
            <w:r>
              <w:rPr>
                <w:rFonts w:hint="eastAsia" w:ascii="宋体" w:hAnsi="宋体" w:eastAsia="宋体" w:cs="宋体"/>
                <w:bCs/>
                <w:smallCaps w:val="0"/>
                <w:color w:val="auto"/>
                <w:highlight w:val="none"/>
              </w:rPr>
              <w:t>（</w:t>
            </w:r>
            <w:r>
              <w:rPr>
                <w:rFonts w:hint="eastAsia" w:ascii="宋体" w:hAnsi="宋体" w:eastAsia="宋体" w:cs="宋体"/>
                <w:bCs/>
                <w:smallCaps w:val="0"/>
                <w:color w:val="auto"/>
                <w:highlight w:val="none"/>
                <w:lang w:val="en-US" w:eastAsia="zh-CN"/>
              </w:rPr>
              <w:t>5</w:t>
            </w:r>
            <w:r>
              <w:rPr>
                <w:rFonts w:hint="eastAsia" w:ascii="宋体" w:hAnsi="宋体" w:eastAsia="宋体" w:cs="宋体"/>
                <w:bCs/>
                <w:smallCaps w:val="0"/>
                <w:color w:val="auto"/>
                <w:highlight w:val="none"/>
              </w:rPr>
              <w:t>）“三线一单”符合性结论</w:t>
            </w:r>
          </w:p>
          <w:p w14:paraId="015DA6EA">
            <w:pPr>
              <w:ind w:firstLine="480"/>
              <w:rPr>
                <w:rFonts w:hint="eastAsia" w:ascii="宋体" w:hAnsi="宋体" w:eastAsia="宋体" w:cs="宋体"/>
                <w:smallCaps w:val="0"/>
                <w:color w:val="auto"/>
                <w:highlight w:val="none"/>
                <w:lang w:bidi="ar"/>
              </w:rPr>
            </w:pPr>
            <w:r>
              <w:rPr>
                <w:rFonts w:hint="eastAsia" w:ascii="宋体" w:hAnsi="宋体" w:eastAsia="宋体" w:cs="宋体"/>
                <w:smallCaps w:val="0"/>
                <w:color w:val="auto"/>
                <w:szCs w:val="24"/>
                <w:highlight w:val="none"/>
              </w:rPr>
              <w:t>本项目为</w:t>
            </w:r>
            <w:r>
              <w:rPr>
                <w:rFonts w:hint="eastAsia" w:ascii="宋体" w:hAnsi="宋体" w:eastAsia="宋体" w:cs="宋体"/>
                <w:smallCaps w:val="0"/>
                <w:color w:val="auto"/>
                <w:sz w:val="24"/>
                <w:szCs w:val="24"/>
                <w:highlight w:val="none"/>
                <w:lang w:eastAsia="zh-CN"/>
              </w:rPr>
              <w:t>双鸭山至时代公路提质改造工程</w:t>
            </w:r>
            <w:r>
              <w:rPr>
                <w:rFonts w:hint="eastAsia" w:ascii="宋体" w:hAnsi="宋体" w:eastAsia="宋体" w:cs="宋体"/>
                <w:smallCaps w:val="0"/>
                <w:color w:val="auto"/>
                <w:kern w:val="0"/>
                <w:szCs w:val="24"/>
                <w:highlight w:val="none"/>
              </w:rPr>
              <w:t>，</w:t>
            </w:r>
            <w:r>
              <w:rPr>
                <w:rFonts w:hint="eastAsia" w:ascii="宋体" w:hAnsi="宋体" w:eastAsia="宋体" w:cs="宋体"/>
                <w:smallCaps w:val="0"/>
                <w:color w:val="auto"/>
                <w:kern w:val="0"/>
                <w:szCs w:val="24"/>
                <w:highlight w:val="none"/>
                <w:lang w:val="en-US" w:eastAsia="zh-CN"/>
              </w:rPr>
              <w:t>项目的建设将解决岭东区中双石墨和新时代水泥厂企业交通出行及运输问题，解决企业实际需求，提高企业效益，促进企业生产，加速岭东区经济发展。</w:t>
            </w:r>
          </w:p>
          <w:p w14:paraId="2E0B3873">
            <w:pPr>
              <w:ind w:firstLine="480"/>
              <w:rPr>
                <w:rFonts w:hint="eastAsia" w:ascii="宋体" w:hAnsi="宋体" w:eastAsia="宋体" w:cs="宋体"/>
                <w:bCs/>
                <w:smallCaps w:val="0"/>
                <w:color w:val="auto"/>
                <w:highlight w:val="none"/>
              </w:rPr>
            </w:pPr>
            <w:r>
              <w:rPr>
                <w:rFonts w:hint="eastAsia" w:ascii="宋体" w:hAnsi="宋体" w:eastAsia="宋体" w:cs="宋体"/>
                <w:bCs/>
                <w:smallCaps w:val="0"/>
                <w:color w:val="auto"/>
                <w:highlight w:val="none"/>
              </w:rPr>
              <w:t>综上，本项目选址不涉及</w:t>
            </w:r>
            <w:r>
              <w:rPr>
                <w:rFonts w:hint="eastAsia" w:ascii="宋体" w:hAnsi="宋体" w:eastAsia="宋体" w:cs="宋体"/>
                <w:bCs/>
                <w:smallCaps w:val="0"/>
                <w:color w:val="auto"/>
                <w:highlight w:val="none"/>
                <w:lang w:eastAsia="zh-CN"/>
              </w:rPr>
              <w:t>双鸭山市</w:t>
            </w:r>
            <w:r>
              <w:rPr>
                <w:rFonts w:hint="eastAsia" w:ascii="宋体" w:hAnsi="宋体" w:eastAsia="宋体" w:cs="宋体"/>
                <w:bCs/>
                <w:smallCaps w:val="0"/>
                <w:color w:val="auto"/>
                <w:highlight w:val="none"/>
              </w:rPr>
              <w:t>划定的生态保护红线，同时符合环境质量底线、资源利用上线以及环境准入负面清单管理要求，</w:t>
            </w:r>
            <w:r>
              <w:rPr>
                <w:rFonts w:hint="eastAsia" w:ascii="宋体" w:hAnsi="宋体" w:eastAsia="宋体" w:cs="宋体"/>
                <w:smallCaps w:val="0"/>
                <w:color w:val="auto"/>
                <w:szCs w:val="24"/>
                <w:highlight w:val="none"/>
              </w:rPr>
              <w:t>项目建设符合“三线一单”相关要求。</w:t>
            </w:r>
          </w:p>
          <w:p w14:paraId="1C648C96">
            <w:pPr>
              <w:ind w:firstLine="482"/>
              <w:rPr>
                <w:rFonts w:hint="eastAsia" w:ascii="宋体" w:hAnsi="宋体" w:eastAsia="宋体" w:cs="宋体"/>
                <w:smallCaps w:val="0"/>
                <w:color w:val="auto"/>
                <w:szCs w:val="24"/>
                <w:highlight w:val="none"/>
              </w:rPr>
            </w:pPr>
            <w:r>
              <w:rPr>
                <w:rFonts w:hint="eastAsia" w:ascii="宋体" w:hAnsi="宋体" w:eastAsia="宋体" w:cs="宋体"/>
                <w:b/>
                <w:smallCaps w:val="0"/>
                <w:color w:val="auto"/>
                <w:szCs w:val="24"/>
                <w:highlight w:val="none"/>
              </w:rPr>
              <w:t>2、</w:t>
            </w:r>
            <w:r>
              <w:rPr>
                <w:rFonts w:hint="eastAsia" w:ascii="宋体" w:hAnsi="宋体" w:eastAsia="宋体" w:cs="宋体"/>
                <w:b/>
                <w:bCs/>
                <w:smallCaps w:val="0"/>
                <w:color w:val="auto"/>
                <w:szCs w:val="24"/>
                <w:highlight w:val="none"/>
              </w:rPr>
              <w:t>产业政策符合性分析</w:t>
            </w:r>
          </w:p>
          <w:p w14:paraId="52834B6A">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依据《产业结构调整指导目录（2024年本）》，本项目属于“二十二、城镇基础设施－1城市公共交通：城市公共交通建设”，属于鼓励类。同时，本项目不属于《市场准入负面清单（2022年版）》禁止事项，符合相关产业政策。本项目已于2023年3月29日取得了《双鸭山市交通运输局关于双鸭山至时代公路（K6+050-K8+175段)提质改造工程施工图设计的批复》（双交字[2023]32号）。综上所述，本项目符合相关国家和地方的相关产业政策。</w:t>
            </w:r>
          </w:p>
          <w:p w14:paraId="03F03D11">
            <w:pPr>
              <w:ind w:firstLine="480"/>
              <w:rPr>
                <w:rFonts w:hint="eastAsia" w:ascii="宋体" w:hAnsi="宋体" w:eastAsia="宋体" w:cs="宋体"/>
                <w:b/>
                <w:bCs/>
                <w:smallCaps w:val="0"/>
                <w:color w:val="auto"/>
                <w:kern w:val="0"/>
                <w:szCs w:val="24"/>
                <w:highlight w:val="none"/>
                <w:lang w:val="en-US" w:eastAsia="zh-CN"/>
              </w:rPr>
            </w:pPr>
            <w:r>
              <w:rPr>
                <w:rFonts w:hint="eastAsia" w:ascii="宋体" w:hAnsi="宋体" w:eastAsia="宋体" w:cs="宋体"/>
                <w:b/>
                <w:bCs/>
                <w:smallCaps w:val="0"/>
                <w:color w:val="auto"/>
                <w:kern w:val="0"/>
                <w:szCs w:val="24"/>
                <w:highlight w:val="none"/>
                <w:lang w:val="en-US" w:eastAsia="zh-CN"/>
              </w:rPr>
              <w:t>4、与《黑龙江省综合立体交通网规划纲要》符合性分析</w:t>
            </w:r>
          </w:p>
          <w:p w14:paraId="27432741">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黑龙江省交通运输发展不平衡不充分问题仍然存在。综合交通网络布局仍需完善，通道能力和品质有待提高，部分干线铁路、普通国省道、内河航道等级标准亟待提升，铁路网、高速公路网、运输机场的覆盖联通水平仍需进一步拓展。综合交通统筹融合亟待加强，资源集约利用水平有待提高，交通运输与相关产业协同融合尚需深化，安全智慧绿色发展水平仍需进一步提高”。</w:t>
            </w:r>
          </w:p>
          <w:p w14:paraId="413FF8BD">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黑龙江省综合立体交通网覆盖全省所有乡镇，连接所有县级及以上行政区、边境口岸、国防设施、主要景区等节点。以统筹融合为导向，加快铁路、公路、水运、民航、邮政快递等基础设施网络建设，构建以铁路为主干，以公路为基础，水运、民航比较优势充分发挥的现代化高质量综合立体交通网”。</w:t>
            </w:r>
          </w:p>
          <w:p w14:paraId="1AED30DA">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项目建成后，将有力完善路网体系，使各大路网形成有效的连接，同时改善居民出行条件。本项目建设还将新增周边地区交通量和更多交通需求，加速公路沿线经济发展，特别是助力产业的快速发展具有重要的意义。</w:t>
            </w:r>
          </w:p>
          <w:p w14:paraId="2FCA81F2">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b/>
                <w:bCs/>
                <w:smallCaps w:val="0"/>
                <w:color w:val="auto"/>
                <w:kern w:val="0"/>
                <w:szCs w:val="24"/>
                <w:highlight w:val="none"/>
                <w:lang w:val="en-US" w:eastAsia="zh-CN"/>
              </w:rPr>
              <w:t>5、与《黑龙江省黑土地保护利用条例》符合性分析</w:t>
            </w:r>
          </w:p>
          <w:p w14:paraId="3622D39A">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（1）相关内容</w:t>
            </w:r>
          </w:p>
          <w:p w14:paraId="4F67CDA7">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“第二十二条 黑土地保护利用实行土地用途管制制度。严格限制农用地转为建设用地，严格控制耕地转为非耕地，禁止违法占用耕地。</w:t>
            </w:r>
          </w:p>
          <w:p w14:paraId="1220EF19">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第二十三条 禁止偷采盗挖、污染损害、非法买卖、违法加工运输黑土和泥炭，禁止非法开垦黑土地。</w:t>
            </w:r>
          </w:p>
          <w:p w14:paraId="2C90CB40">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第四十六条 禁止在草原上挖草皮、草垡、草炭。”</w:t>
            </w:r>
          </w:p>
          <w:p w14:paraId="283B2B6C">
            <w:pPr>
              <w:ind w:firstLine="480"/>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smallCaps w:val="0"/>
                <w:color w:val="auto"/>
                <w:kern w:val="0"/>
                <w:szCs w:val="24"/>
                <w:highlight w:val="none"/>
                <w:lang w:val="en-US" w:eastAsia="zh-CN"/>
              </w:rPr>
              <w:t>（2）符合性分析</w:t>
            </w:r>
          </w:p>
          <w:p w14:paraId="7621404B">
            <w:pPr>
              <w:ind w:firstLine="480"/>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0"/>
                <w:szCs w:val="24"/>
                <w:highlight w:val="none"/>
                <w:lang w:val="en-US" w:eastAsia="zh-CN"/>
              </w:rPr>
              <w:t>本项目已取得</w:t>
            </w:r>
            <w:r>
              <w:rPr>
                <w:rFonts w:hint="eastAsia" w:ascii="宋体" w:hAnsi="宋体" w:eastAsia="宋体" w:cs="宋体"/>
                <w:smallCaps w:val="0"/>
                <w:color w:val="auto"/>
                <w:kern w:val="2"/>
                <w:sz w:val="24"/>
                <w:szCs w:val="24"/>
                <w:highlight w:val="none"/>
                <w:lang w:val="en-US" w:eastAsia="zh-CN" w:bidi="ar-SA"/>
              </w:rPr>
              <w:t>双鸭山市自然资源局出具的黑龙江省双鸭山至时代公路提质改造工程建设项目用地预审与选址意见书（双自然资用字第230503202300001号），用地总规模3.7864公顷，其中公路用地3.2012公顷、耕地0.3903公顷、建设用地0.0618公顷、未利用地0.1331公顷。</w:t>
            </w:r>
          </w:p>
          <w:p w14:paraId="3FFBF76F">
            <w:pPr>
              <w:ind w:firstLine="480"/>
              <w:rPr>
                <w:rFonts w:hint="eastAsia" w:ascii="宋体" w:hAnsi="宋体" w:eastAsia="宋体" w:cs="宋体"/>
                <w:smallCaps w:val="0"/>
                <w:color w:val="auto"/>
                <w:kern w:val="2"/>
                <w:sz w:val="24"/>
                <w:szCs w:val="24"/>
                <w:highlight w:val="yellow"/>
                <w:lang w:val="en-US" w:eastAsia="zh-CN" w:bidi="ar-SA"/>
              </w:rPr>
            </w:pPr>
            <w:r>
              <w:rPr>
                <w:rFonts w:hint="eastAsia" w:ascii="宋体" w:hAnsi="宋体" w:eastAsia="宋体" w:cs="宋体"/>
                <w:smallCaps w:val="0"/>
                <w:color w:val="auto"/>
                <w:kern w:val="2"/>
                <w:sz w:val="24"/>
                <w:szCs w:val="24"/>
                <w:highlight w:val="yellow"/>
                <w:lang w:val="en-US" w:eastAsia="zh-CN" w:bidi="ar-SA"/>
              </w:rPr>
              <w:t>根据附图</w:t>
            </w:r>
            <w:r>
              <w:rPr>
                <w:rFonts w:hint="eastAsia" w:ascii="宋体" w:hAnsi="宋体" w:cs="宋体"/>
                <w:smallCaps w:val="0"/>
                <w:color w:val="auto"/>
                <w:kern w:val="2"/>
                <w:sz w:val="24"/>
                <w:szCs w:val="24"/>
                <w:highlight w:val="yellow"/>
                <w:lang w:val="en-US" w:eastAsia="zh-CN" w:bidi="ar-SA"/>
              </w:rPr>
              <w:t>8</w:t>
            </w:r>
            <w:r>
              <w:rPr>
                <w:rFonts w:hint="eastAsia" w:ascii="宋体" w:hAnsi="宋体" w:eastAsia="宋体" w:cs="宋体"/>
                <w:smallCaps w:val="0"/>
                <w:color w:val="auto"/>
                <w:kern w:val="2"/>
                <w:sz w:val="24"/>
                <w:szCs w:val="24"/>
                <w:highlight w:val="yellow"/>
                <w:lang w:val="en-US" w:eastAsia="zh-CN" w:bidi="ar-SA"/>
              </w:rPr>
              <w:t>双鸭山市自然资源规划服务中心出具土地利用现状图，本项目不占用永久基本农田，不占压黑土地，符合《黑龙江省黑土地保护利用条例》要求。</w:t>
            </w:r>
          </w:p>
          <w:p w14:paraId="02AB6B98">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2" w:firstLineChars="200"/>
              <w:textAlignment w:val="auto"/>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lang w:val="en-US" w:eastAsia="zh-CN"/>
              </w:rPr>
              <w:t>6、</w:t>
            </w:r>
            <w:r>
              <w:rPr>
                <w:rFonts w:hint="eastAsia" w:ascii="宋体" w:hAnsi="宋体" w:eastAsia="宋体" w:cs="宋体"/>
                <w:b/>
                <w:bCs/>
                <w:color w:val="auto"/>
                <w:kern w:val="0"/>
                <w:szCs w:val="21"/>
                <w:highlight w:val="none"/>
              </w:rPr>
              <w:t>与《自然资源部关于规范临时用地管理的通知》（自然资规﹝2021﹞2号）符合性分析</w:t>
            </w:r>
          </w:p>
          <w:p w14:paraId="1DB178EC">
            <w:pPr>
              <w:pStyle w:val="32"/>
              <w:keepNext w:val="0"/>
              <w:keepLines w:val="0"/>
              <w:pageBreakBefore w:val="0"/>
              <w:widowControl w:val="0"/>
              <w:kinsoku/>
              <w:wordWrap/>
              <w:overflowPunct/>
              <w:topLinePunct w:val="0"/>
              <w:autoSpaceDE/>
              <w:autoSpaceDN/>
              <w:bidi w:val="0"/>
              <w:adjustRightInd/>
              <w:snapToGrid/>
              <w:spacing w:before="0" w:after="0" w:line="360" w:lineRule="auto"/>
              <w:ind w:left="0" w:leftChars="0" w:right="0"/>
              <w:textAlignment w:val="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根据《自然资源部关于规范临时用地管理的通知》中“二、临时用地选址要求和使用期限”，建设项目施工、地质勘查使用临时用地时应坚持“用多少、批多少、占多少、恢复多少”，尽量不占或者少占耕地。使用后土地复垦难度较大的临时用地，要严格控制占用耕地。铁路、公路等单独选址建设项目，应科学组织施工，节约集约使用临时用地。制梁场、</w:t>
            </w:r>
            <w:r>
              <w:rPr>
                <w:rFonts w:hint="eastAsia" w:ascii="宋体" w:hAnsi="宋体" w:eastAsia="宋体" w:cs="宋体"/>
                <w:color w:val="auto"/>
                <w:kern w:val="0"/>
                <w:szCs w:val="21"/>
                <w:highlight w:val="none"/>
                <w:lang w:eastAsia="zh-CN"/>
              </w:rPr>
              <w:t>拌和站</w:t>
            </w:r>
            <w:r>
              <w:rPr>
                <w:rFonts w:hint="eastAsia" w:ascii="宋体" w:hAnsi="宋体" w:eastAsia="宋体" w:cs="宋体"/>
                <w:color w:val="auto"/>
                <w:kern w:val="0"/>
                <w:szCs w:val="21"/>
                <w:highlight w:val="none"/>
              </w:rPr>
              <w:t>等难以恢复原种植条件的不得以临时用地方式占用耕地和永久基本农田，可以建设用地方式或者临时占用未利用地方式使用土地。临时用地确需占用永久基本农田的，必须能够恢复原种植条件，并符合《自然资源部农业农村部关于加强和改进永久基本农田保护工作的通知》（自然资规﹝2019﹞1号）中申请条件、土壤剥离、复垦验收等有关规定。</w:t>
            </w:r>
          </w:p>
          <w:p w14:paraId="2E0DBD30">
            <w:pPr>
              <w:pStyle w:val="14"/>
              <w:keepNext w:val="0"/>
              <w:keepLines w:val="0"/>
              <w:pageBreakBefore w:val="0"/>
              <w:kinsoku/>
              <w:wordWrap/>
              <w:overflowPunct/>
              <w:topLinePunct w:val="0"/>
              <w:autoSpaceDE/>
              <w:autoSpaceDN/>
              <w:bidi w:val="0"/>
              <w:adjustRightInd/>
              <w:snapToGrid/>
              <w:spacing w:before="0" w:line="360" w:lineRule="auto"/>
              <w:ind w:right="0"/>
              <w:textAlignment w:val="auto"/>
              <w:rPr>
                <w:rFonts w:hint="eastAsia" w:ascii="宋体" w:hAnsi="宋体" w:eastAsia="宋体" w:cs="宋体"/>
                <w:color w:val="auto"/>
                <w:highlight w:val="none"/>
                <w:lang w:val="en-US" w:eastAsia="zh-CN"/>
              </w:rPr>
            </w:pPr>
            <w:r>
              <w:rPr>
                <w:rFonts w:hint="eastAsia" w:ascii="宋体" w:hAnsi="宋体" w:eastAsia="宋体" w:cs="宋体"/>
                <w:color w:val="auto"/>
                <w:sz w:val="24"/>
                <w:szCs w:val="28"/>
                <w:highlight w:val="none"/>
                <w:lang w:val="en-US" w:eastAsia="zh-CN"/>
              </w:rPr>
              <w:t>本项目施工期无取土场、桥梁预制场、拌和站、施工营地等其他临时工程，本项目设临时表土堆场、临时弃渣场设置在红线范围内，</w:t>
            </w:r>
            <w:r>
              <w:rPr>
                <w:rFonts w:hint="eastAsia" w:ascii="宋体" w:hAnsi="宋体" w:eastAsia="宋体" w:cs="宋体"/>
                <w:color w:val="auto"/>
                <w:sz w:val="24"/>
                <w:szCs w:val="28"/>
                <w:highlight w:val="yellow"/>
                <w:lang w:val="en-US" w:eastAsia="zh-CN"/>
              </w:rPr>
              <w:t>本工程所需筑路材料片石、碎石由合鑫采石场购进，运距5km；所选用的中粗砂由富锦砂场购进。本项目弃土运至建筑垃圾处置消纳场，建筑垃圾处置消纳场位于尖山区窑地路中段，运距12km。</w:t>
            </w:r>
            <w:r>
              <w:rPr>
                <w:rFonts w:hint="eastAsia" w:ascii="宋体" w:hAnsi="宋体" w:eastAsia="宋体" w:cs="宋体"/>
                <w:color w:val="auto"/>
                <w:sz w:val="24"/>
                <w:szCs w:val="28"/>
                <w:highlight w:val="none"/>
                <w:lang w:val="en-US" w:eastAsia="zh-CN"/>
              </w:rPr>
              <w:t>在施工结束后及时清理施工痕迹，恢复地表原貌。本项目临时占地不涉及永久基本农田。因此，本工程的建设符合《自然资源部关于规范临时用地管理的通知》（自然资规﹝2021﹞2号）管理要求。</w:t>
            </w:r>
          </w:p>
        </w:tc>
      </w:tr>
    </w:tbl>
    <w:p w14:paraId="79F8CB28">
      <w:pPr>
        <w:ind w:firstLine="600"/>
        <w:outlineLvl w:val="0"/>
        <w:rPr>
          <w:rFonts w:hint="eastAsia" w:ascii="宋体" w:hAnsi="宋体" w:eastAsia="宋体" w:cs="宋体"/>
          <w:smallCaps w:val="0"/>
          <w:color w:val="auto"/>
          <w:sz w:val="30"/>
          <w:highlight w:val="none"/>
        </w:rPr>
        <w:sectPr>
          <w:footerReference r:id="rId11" w:type="default"/>
          <w:pgSz w:w="11906" w:h="16838"/>
          <w:pgMar w:top="1440" w:right="1803" w:bottom="1440" w:left="1803" w:header="851" w:footer="1077" w:gutter="0"/>
          <w:pgBorders>
            <w:top w:val="none" w:sz="0" w:space="0"/>
            <w:left w:val="none" w:sz="0" w:space="0"/>
            <w:bottom w:val="none" w:sz="0" w:space="0"/>
            <w:right w:val="none" w:sz="0" w:space="0"/>
          </w:pgBorders>
          <w:pgNumType w:start="1"/>
          <w:cols w:space="720" w:num="1"/>
          <w:docGrid w:linePitch="312" w:charSpace="0"/>
        </w:sectPr>
      </w:pPr>
    </w:p>
    <w:p w14:paraId="61AC78CE">
      <w:pPr>
        <w:pStyle w:val="4"/>
        <w:rPr>
          <w:rFonts w:hint="eastAsia" w:ascii="宋体" w:hAnsi="宋体" w:eastAsia="宋体" w:cs="宋体"/>
          <w:smallCaps w:val="0"/>
          <w:color w:val="auto"/>
          <w:highlight w:val="none"/>
        </w:rPr>
      </w:pPr>
      <w:bookmarkStart w:id="6" w:name="_Toc68880308"/>
      <w:r>
        <w:rPr>
          <w:rFonts w:hint="eastAsia" w:ascii="宋体" w:hAnsi="宋体" w:eastAsia="宋体" w:cs="宋体"/>
          <w:smallCaps w:val="0"/>
          <w:color w:val="auto"/>
          <w:highlight w:val="none"/>
        </w:rPr>
        <w:t>二、建设内容</w:t>
      </w:r>
      <w:bookmarkEnd w:id="6"/>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9"/>
        <w:gridCol w:w="8198"/>
      </w:tblGrid>
      <w:tr w14:paraId="30603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59" w:type="dxa"/>
            <w:noWrap w:val="0"/>
            <w:vAlign w:val="center"/>
          </w:tcPr>
          <w:p w14:paraId="1B25356B">
            <w:pPr>
              <w:pStyle w:val="73"/>
              <w:rPr>
                <w:rFonts w:hint="eastAsia" w:ascii="宋体" w:hAnsi="宋体" w:eastAsia="宋体" w:cs="宋体"/>
                <w:smallCaps w:val="0"/>
                <w:color w:val="auto"/>
                <w:kern w:val="0"/>
                <w:highlight w:val="none"/>
              </w:rPr>
            </w:pPr>
            <w:r>
              <w:rPr>
                <w:rFonts w:hint="eastAsia" w:ascii="宋体" w:hAnsi="宋体" w:eastAsia="宋体" w:cs="宋体"/>
                <w:smallCaps w:val="0"/>
                <w:color w:val="auto"/>
                <w:kern w:val="0"/>
                <w:highlight w:val="none"/>
              </w:rPr>
              <w:t>地理位置</w:t>
            </w:r>
          </w:p>
        </w:tc>
        <w:tc>
          <w:tcPr>
            <w:tcW w:w="8198" w:type="dxa"/>
            <w:noWrap w:val="0"/>
            <w:vAlign w:val="center"/>
          </w:tcPr>
          <w:p w14:paraId="4C8CBA19">
            <w:pPr>
              <w:adjustRightInd w:val="0"/>
              <w:ind w:firstLine="480"/>
              <w:rPr>
                <w:rFonts w:hint="eastAsia" w:ascii="宋体" w:hAnsi="宋体" w:eastAsia="宋体" w:cs="宋体"/>
                <w:smallCaps w:val="0"/>
                <w:color w:val="auto"/>
                <w:kern w:val="0"/>
                <w:highlight w:val="none"/>
                <w:lang w:val="en-US"/>
              </w:rPr>
            </w:pPr>
            <w:r>
              <w:rPr>
                <w:rFonts w:hint="eastAsia" w:ascii="宋体" w:hAnsi="宋体" w:eastAsia="宋体" w:cs="宋体"/>
                <w:smallCaps w:val="0"/>
                <w:color w:val="auto"/>
                <w:kern w:val="0"/>
                <w:highlight w:val="none"/>
                <w:lang w:val="en-US" w:eastAsia="zh-CN"/>
              </w:rPr>
              <w:t>本项目拟建设地点位于双鸭山市岭东区，</w:t>
            </w:r>
            <w:r>
              <w:rPr>
                <w:rFonts w:hint="eastAsia" w:ascii="宋体" w:hAnsi="宋体" w:eastAsia="宋体" w:cs="宋体"/>
                <w:smallCaps w:val="0"/>
                <w:color w:val="auto"/>
                <w:sz w:val="24"/>
                <w:szCs w:val="24"/>
                <w:highlight w:val="none"/>
                <w:lang w:val="en-US" w:eastAsia="zh-CN"/>
              </w:rPr>
              <w:t>工程起点为双鸭山至时代公路钢铁桥桥尾，终点与水泥厂水泥混凝土硬化路相接。</w:t>
            </w:r>
          </w:p>
        </w:tc>
      </w:tr>
      <w:tr w14:paraId="6BB010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0" w:hRule="atLeast"/>
          <w:jc w:val="center"/>
        </w:trPr>
        <w:tc>
          <w:tcPr>
            <w:tcW w:w="759" w:type="dxa"/>
            <w:noWrap w:val="0"/>
            <w:vAlign w:val="center"/>
          </w:tcPr>
          <w:p w14:paraId="38AF99A3">
            <w:pPr>
              <w:pStyle w:val="73"/>
              <w:rPr>
                <w:rFonts w:hint="eastAsia" w:ascii="宋体" w:hAnsi="宋体" w:eastAsia="宋体" w:cs="宋体"/>
                <w:smallCaps w:val="0"/>
                <w:color w:val="auto"/>
                <w:kern w:val="0"/>
                <w:highlight w:val="none"/>
              </w:rPr>
            </w:pPr>
            <w:r>
              <w:rPr>
                <w:rFonts w:hint="eastAsia" w:ascii="宋体" w:hAnsi="宋体" w:eastAsia="宋体" w:cs="宋体"/>
                <w:smallCaps w:val="0"/>
                <w:color w:val="auto"/>
                <w:kern w:val="0"/>
                <w:highlight w:val="none"/>
              </w:rPr>
              <w:t>项目组成及规模</w:t>
            </w:r>
          </w:p>
        </w:tc>
        <w:tc>
          <w:tcPr>
            <w:tcW w:w="8198" w:type="dxa"/>
            <w:noWrap w:val="0"/>
            <w:vAlign w:val="center"/>
          </w:tcPr>
          <w:p w14:paraId="3A454C69">
            <w:pPr>
              <w:numPr>
                <w:ilvl w:val="0"/>
                <w:numId w:val="3"/>
              </w:numPr>
              <w:ind w:firstLine="482"/>
              <w:rPr>
                <w:rFonts w:hint="eastAsia" w:ascii="宋体" w:hAnsi="宋体" w:eastAsia="宋体" w:cs="宋体"/>
                <w:b/>
                <w:smallCaps w:val="0"/>
                <w:color w:val="auto"/>
                <w:kern w:val="24"/>
                <w:szCs w:val="22"/>
                <w:highlight w:val="none"/>
                <w:lang w:val="en-US" w:eastAsia="zh-CN"/>
              </w:rPr>
            </w:pPr>
            <w:r>
              <w:rPr>
                <w:rFonts w:hint="eastAsia" w:ascii="宋体" w:hAnsi="宋体" w:eastAsia="宋体" w:cs="宋体"/>
                <w:b/>
                <w:smallCaps w:val="0"/>
                <w:color w:val="auto"/>
                <w:kern w:val="24"/>
                <w:szCs w:val="24"/>
                <w:highlight w:val="none"/>
              </w:rPr>
              <w:t>主要</w:t>
            </w:r>
            <w:r>
              <w:rPr>
                <w:rFonts w:hint="eastAsia" w:ascii="宋体" w:hAnsi="宋体" w:eastAsia="宋体" w:cs="宋体"/>
                <w:b/>
                <w:smallCaps w:val="0"/>
                <w:color w:val="auto"/>
                <w:kern w:val="24"/>
                <w:szCs w:val="22"/>
                <w:highlight w:val="none"/>
                <w:lang w:val="en-US" w:eastAsia="zh-CN"/>
              </w:rPr>
              <w:t>工程建设内容</w:t>
            </w:r>
          </w:p>
          <w:p w14:paraId="5012D6ED">
            <w:pPr>
              <w:keepNext w:val="0"/>
              <w:keepLines w:val="0"/>
              <w:widowControl/>
              <w:suppressLineNumbers w:val="0"/>
              <w:jc w:val="left"/>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本项目工程起点为</w:t>
            </w:r>
            <w:r>
              <w:rPr>
                <w:rFonts w:hint="eastAsia" w:ascii="宋体" w:hAnsi="宋体" w:eastAsia="宋体" w:cs="宋体"/>
                <w:smallCaps w:val="0"/>
                <w:color w:val="auto"/>
                <w:sz w:val="24"/>
                <w:szCs w:val="24"/>
                <w:highlight w:val="none"/>
                <w:lang w:val="en-US" w:eastAsia="zh-CN"/>
              </w:rPr>
              <w:t>双鸭山至时代公路钢铁桥桥尾，终点与水泥厂水泥混凝土硬化路相接</w:t>
            </w:r>
            <w:r>
              <w:rPr>
                <w:rFonts w:hint="eastAsia" w:ascii="宋体" w:hAnsi="宋体" w:eastAsia="宋体" w:cs="宋体"/>
                <w:smallCaps w:val="0"/>
                <w:color w:val="auto"/>
                <w:kern w:val="2"/>
                <w:sz w:val="24"/>
                <w:szCs w:val="24"/>
                <w:highlight w:val="none"/>
                <w:lang w:val="en-US" w:eastAsia="zh-CN" w:bidi="ar-SA"/>
              </w:rPr>
              <w:t>，全长2125m。本项目主要建筑内容为道路工程。</w:t>
            </w:r>
          </w:p>
          <w:p w14:paraId="6E1C83A7">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smallCaps w:val="0"/>
                <w:color w:val="auto"/>
                <w:sz w:val="24"/>
                <w:szCs w:val="22"/>
                <w:highlight w:val="none"/>
              </w:rPr>
            </w:pPr>
            <w:r>
              <w:rPr>
                <w:rFonts w:hint="eastAsia" w:ascii="宋体" w:hAnsi="宋体" w:eastAsia="宋体" w:cs="宋体"/>
                <w:smallCaps w:val="0"/>
                <w:color w:val="auto"/>
                <w:sz w:val="24"/>
                <w:szCs w:val="22"/>
                <w:highlight w:val="none"/>
              </w:rPr>
              <w:t>本项目具体建设内容见下表。</w:t>
            </w:r>
          </w:p>
          <w:p w14:paraId="7A80FE79">
            <w:pPr>
              <w:pStyle w:val="82"/>
              <w:spacing w:line="240" w:lineRule="auto"/>
              <w:ind w:left="0" w:firstLine="0" w:firstLineChars="0"/>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lang w:val="en-US" w:eastAsia="zh-CN"/>
              </w:rPr>
              <w:t xml:space="preserve">表2-1  </w:t>
            </w:r>
            <w:r>
              <w:rPr>
                <w:rFonts w:hint="eastAsia" w:ascii="宋体" w:hAnsi="宋体" w:eastAsia="宋体" w:cs="宋体"/>
                <w:b/>
                <w:bCs/>
                <w:smallCaps w:val="0"/>
                <w:color w:val="auto"/>
                <w:sz w:val="21"/>
                <w:szCs w:val="21"/>
                <w:highlight w:val="none"/>
              </w:rPr>
              <w:t>建设内容一览表</w:t>
            </w:r>
          </w:p>
          <w:tbl>
            <w:tblPr>
              <w:tblStyle w:val="33"/>
              <w:tblW w:w="49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407"/>
              <w:gridCol w:w="653"/>
              <w:gridCol w:w="503"/>
              <w:gridCol w:w="659"/>
              <w:gridCol w:w="791"/>
              <w:gridCol w:w="656"/>
              <w:gridCol w:w="599"/>
              <w:gridCol w:w="520"/>
              <w:gridCol w:w="815"/>
              <w:gridCol w:w="807"/>
              <w:gridCol w:w="765"/>
            </w:tblGrid>
            <w:tr w14:paraId="1168B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noWrap w:val="0"/>
                  <w:vAlign w:val="center"/>
                </w:tcPr>
                <w:p w14:paraId="2D6F387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项目</w:t>
                  </w:r>
                </w:p>
              </w:tc>
              <w:tc>
                <w:tcPr>
                  <w:tcW w:w="1060" w:type="dxa"/>
                  <w:gridSpan w:val="2"/>
                  <w:noWrap w:val="0"/>
                  <w:vAlign w:val="center"/>
                </w:tcPr>
                <w:p w14:paraId="0F4251E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工程内容</w:t>
                  </w:r>
                </w:p>
              </w:tc>
              <w:tc>
                <w:tcPr>
                  <w:tcW w:w="6115" w:type="dxa"/>
                  <w:gridSpan w:val="9"/>
                  <w:noWrap w:val="0"/>
                  <w:vAlign w:val="center"/>
                </w:tcPr>
                <w:p w14:paraId="34FA5C7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主要建设内容</w:t>
                  </w:r>
                </w:p>
              </w:tc>
            </w:tr>
            <w:tr w14:paraId="3F131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590E75D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r>
                    <w:rPr>
                      <w:rFonts w:hint="eastAsia" w:ascii="宋体" w:hAnsi="宋体" w:eastAsia="宋体" w:cs="宋体"/>
                      <w:smallCaps w:val="0"/>
                      <w:snapToGrid w:val="0"/>
                      <w:color w:val="auto"/>
                      <w:kern w:val="0"/>
                      <w:sz w:val="21"/>
                      <w:szCs w:val="21"/>
                      <w:highlight w:val="none"/>
                      <w:lang w:val="en-US"/>
                    </w:rPr>
                    <w:t>主体工程</w:t>
                  </w:r>
                </w:p>
              </w:tc>
              <w:tc>
                <w:tcPr>
                  <w:tcW w:w="1060" w:type="dxa"/>
                  <w:gridSpan w:val="2"/>
                  <w:vMerge w:val="restart"/>
                  <w:noWrap w:val="0"/>
                  <w:vAlign w:val="center"/>
                </w:tcPr>
                <w:p w14:paraId="68EAF96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道路工程</w:t>
                  </w:r>
                </w:p>
              </w:tc>
              <w:tc>
                <w:tcPr>
                  <w:tcW w:w="503" w:type="dxa"/>
                  <w:vMerge w:val="restart"/>
                  <w:noWrap w:val="0"/>
                  <w:vAlign w:val="center"/>
                </w:tcPr>
                <w:p w14:paraId="678D40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路面工程</w:t>
                  </w:r>
                </w:p>
              </w:tc>
              <w:tc>
                <w:tcPr>
                  <w:tcW w:w="659" w:type="dxa"/>
                  <w:noWrap w:val="0"/>
                  <w:vAlign w:val="center"/>
                </w:tcPr>
                <w:p w14:paraId="230753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长度</w:t>
                  </w:r>
                </w:p>
              </w:tc>
              <w:tc>
                <w:tcPr>
                  <w:tcW w:w="791" w:type="dxa"/>
                  <w:noWrap w:val="0"/>
                  <w:vAlign w:val="center"/>
                </w:tcPr>
                <w:p w14:paraId="2F882D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宽度</w:t>
                  </w:r>
                </w:p>
              </w:tc>
              <w:tc>
                <w:tcPr>
                  <w:tcW w:w="656" w:type="dxa"/>
                  <w:noWrap w:val="0"/>
                  <w:vAlign w:val="center"/>
                </w:tcPr>
                <w:p w14:paraId="7C4F21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设计车速</w:t>
                  </w:r>
                </w:p>
              </w:tc>
              <w:tc>
                <w:tcPr>
                  <w:tcW w:w="599" w:type="dxa"/>
                  <w:noWrap w:val="0"/>
                  <w:vAlign w:val="center"/>
                </w:tcPr>
                <w:p w14:paraId="0897B8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等级</w:t>
                  </w:r>
                </w:p>
              </w:tc>
              <w:tc>
                <w:tcPr>
                  <w:tcW w:w="520" w:type="dxa"/>
                  <w:noWrap w:val="0"/>
                  <w:vAlign w:val="center"/>
                </w:tcPr>
                <w:p w14:paraId="56A01A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车道</w:t>
                  </w:r>
                </w:p>
              </w:tc>
              <w:tc>
                <w:tcPr>
                  <w:tcW w:w="815" w:type="dxa"/>
                  <w:noWrap w:val="0"/>
                  <w:vAlign w:val="center"/>
                </w:tcPr>
                <w:p w14:paraId="41A38B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车流量比%</w:t>
                  </w:r>
                </w:p>
              </w:tc>
              <w:tc>
                <w:tcPr>
                  <w:tcW w:w="807" w:type="dxa"/>
                  <w:noWrap w:val="0"/>
                  <w:vAlign w:val="center"/>
                </w:tcPr>
                <w:p w14:paraId="7BE52A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昼夜比</w:t>
                  </w:r>
                </w:p>
              </w:tc>
              <w:tc>
                <w:tcPr>
                  <w:tcW w:w="765" w:type="dxa"/>
                  <w:noWrap w:val="0"/>
                  <w:vAlign w:val="center"/>
                </w:tcPr>
                <w:p w14:paraId="1ED548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备注</w:t>
                  </w:r>
                </w:p>
              </w:tc>
            </w:tr>
            <w:tr w14:paraId="712FD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41B620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p>
              </w:tc>
              <w:tc>
                <w:tcPr>
                  <w:tcW w:w="1060" w:type="dxa"/>
                  <w:gridSpan w:val="2"/>
                  <w:vMerge w:val="continue"/>
                  <w:noWrap w:val="0"/>
                  <w:vAlign w:val="center"/>
                </w:tcPr>
                <w:p w14:paraId="7EC0C74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53BF9A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restart"/>
                  <w:noWrap w:val="0"/>
                  <w:vAlign w:val="center"/>
                </w:tcPr>
                <w:p w14:paraId="32B95E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2125m</w:t>
                  </w:r>
                </w:p>
              </w:tc>
              <w:tc>
                <w:tcPr>
                  <w:tcW w:w="791" w:type="dxa"/>
                  <w:vMerge w:val="restart"/>
                  <w:noWrap w:val="0"/>
                  <w:vAlign w:val="center"/>
                </w:tcPr>
                <w:p w14:paraId="3312741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yellow"/>
                      <w:lang w:val="en-US" w:eastAsia="zh-CN"/>
                    </w:rPr>
                    <w:t>路面宽度9m，两侧路肩宽度1m</w:t>
                  </w:r>
                </w:p>
              </w:tc>
              <w:tc>
                <w:tcPr>
                  <w:tcW w:w="656" w:type="dxa"/>
                  <w:vMerge w:val="restart"/>
                  <w:noWrap w:val="0"/>
                  <w:vAlign w:val="center"/>
                </w:tcPr>
                <w:p w14:paraId="1D2C9A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40km/h</w:t>
                  </w:r>
                </w:p>
              </w:tc>
              <w:tc>
                <w:tcPr>
                  <w:tcW w:w="599" w:type="dxa"/>
                  <w:vMerge w:val="restart"/>
                  <w:noWrap w:val="0"/>
                  <w:vAlign w:val="center"/>
                </w:tcPr>
                <w:p w14:paraId="4C5FA92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二级公路</w:t>
                  </w:r>
                </w:p>
              </w:tc>
              <w:tc>
                <w:tcPr>
                  <w:tcW w:w="520" w:type="dxa"/>
                  <w:vMerge w:val="restart"/>
                  <w:noWrap w:val="0"/>
                  <w:vAlign w:val="center"/>
                </w:tcPr>
                <w:p w14:paraId="17C4D8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对向双车道</w:t>
                  </w:r>
                </w:p>
              </w:tc>
              <w:tc>
                <w:tcPr>
                  <w:tcW w:w="815" w:type="dxa"/>
                  <w:noWrap w:val="0"/>
                  <w:vAlign w:val="center"/>
                </w:tcPr>
                <w:p w14:paraId="4F5108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小型车55</w:t>
                  </w:r>
                </w:p>
              </w:tc>
              <w:tc>
                <w:tcPr>
                  <w:tcW w:w="807" w:type="dxa"/>
                  <w:vMerge w:val="restart"/>
                  <w:noWrap w:val="0"/>
                  <w:vAlign w:val="center"/>
                </w:tcPr>
                <w:p w14:paraId="30F808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昼夜比为8</w:t>
                  </w:r>
                  <w:r>
                    <w:rPr>
                      <w:rFonts w:hint="eastAsia" w:ascii="宋体" w:hAnsi="宋体" w:eastAsia="宋体" w:cs="宋体"/>
                      <w:b/>
                      <w:bCs/>
                      <w:smallCaps w:val="0"/>
                      <w:color w:val="auto"/>
                      <w:sz w:val="21"/>
                      <w:szCs w:val="21"/>
                      <w:highlight w:val="yellow"/>
                      <w:lang w:val="en-US" w:eastAsia="zh-CN"/>
                    </w:rPr>
                    <w:t>:</w:t>
                  </w:r>
                  <w:r>
                    <w:rPr>
                      <w:rFonts w:hint="eastAsia" w:ascii="宋体" w:hAnsi="宋体" w:eastAsia="宋体" w:cs="宋体"/>
                      <w:smallCaps w:val="0"/>
                      <w:color w:val="auto"/>
                      <w:sz w:val="21"/>
                      <w:szCs w:val="21"/>
                      <w:highlight w:val="yellow"/>
                      <w:lang w:val="en-US" w:eastAsia="zh-CN"/>
                    </w:rPr>
                    <w:t>2</w:t>
                  </w:r>
                </w:p>
              </w:tc>
              <w:tc>
                <w:tcPr>
                  <w:tcW w:w="765" w:type="dxa"/>
                  <w:vMerge w:val="restart"/>
                  <w:noWrap w:val="0"/>
                  <w:vAlign w:val="center"/>
                </w:tcPr>
                <w:p w14:paraId="349B10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道路改造路面面积21250m</w:t>
                  </w:r>
                  <w:r>
                    <w:rPr>
                      <w:rFonts w:hint="eastAsia" w:ascii="宋体" w:hAnsi="宋体" w:eastAsia="宋体" w:cs="宋体"/>
                      <w:smallCaps w:val="0"/>
                      <w:color w:val="auto"/>
                      <w:sz w:val="21"/>
                      <w:szCs w:val="21"/>
                      <w:highlight w:val="none"/>
                      <w:vertAlign w:val="superscript"/>
                      <w:lang w:val="en-US" w:eastAsia="zh-CN"/>
                    </w:rPr>
                    <w:t>2</w:t>
                  </w:r>
                </w:p>
              </w:tc>
            </w:tr>
            <w:tr w14:paraId="24A93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586B17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1060" w:type="dxa"/>
                  <w:gridSpan w:val="2"/>
                  <w:vMerge w:val="continue"/>
                  <w:noWrap w:val="0"/>
                  <w:vAlign w:val="center"/>
                </w:tcPr>
                <w:p w14:paraId="240AAA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503" w:type="dxa"/>
                  <w:vMerge w:val="continue"/>
                  <w:noWrap w:val="0"/>
                  <w:vAlign w:val="center"/>
                </w:tcPr>
                <w:p w14:paraId="33179C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659" w:type="dxa"/>
                  <w:vMerge w:val="continue"/>
                  <w:noWrap w:val="0"/>
                  <w:vAlign w:val="center"/>
                </w:tcPr>
                <w:p w14:paraId="0357A3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791" w:type="dxa"/>
                  <w:vMerge w:val="continue"/>
                  <w:noWrap w:val="0"/>
                  <w:vAlign w:val="center"/>
                </w:tcPr>
                <w:p w14:paraId="318F07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656" w:type="dxa"/>
                  <w:vMerge w:val="continue"/>
                  <w:noWrap w:val="0"/>
                  <w:vAlign w:val="center"/>
                </w:tcPr>
                <w:p w14:paraId="272208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599" w:type="dxa"/>
                  <w:vMerge w:val="continue"/>
                  <w:noWrap w:val="0"/>
                  <w:vAlign w:val="center"/>
                </w:tcPr>
                <w:p w14:paraId="65F4836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520" w:type="dxa"/>
                  <w:vMerge w:val="continue"/>
                  <w:noWrap w:val="0"/>
                  <w:vAlign w:val="center"/>
                </w:tcPr>
                <w:p w14:paraId="1C98DD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rPr>
                  </w:pPr>
                </w:p>
              </w:tc>
              <w:tc>
                <w:tcPr>
                  <w:tcW w:w="815" w:type="dxa"/>
                  <w:noWrap w:val="0"/>
                  <w:vAlign w:val="center"/>
                </w:tcPr>
                <w:p w14:paraId="00E37F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中型车15</w:t>
                  </w:r>
                </w:p>
              </w:tc>
              <w:tc>
                <w:tcPr>
                  <w:tcW w:w="807" w:type="dxa"/>
                  <w:vMerge w:val="continue"/>
                  <w:noWrap w:val="0"/>
                  <w:vAlign w:val="center"/>
                </w:tcPr>
                <w:p w14:paraId="5BD8A20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p>
              </w:tc>
              <w:tc>
                <w:tcPr>
                  <w:tcW w:w="765" w:type="dxa"/>
                  <w:vMerge w:val="continue"/>
                  <w:noWrap w:val="0"/>
                  <w:vAlign w:val="center"/>
                </w:tcPr>
                <w:p w14:paraId="21AD63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679DD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47AADF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1060" w:type="dxa"/>
                  <w:gridSpan w:val="2"/>
                  <w:vMerge w:val="continue"/>
                  <w:noWrap w:val="0"/>
                  <w:vAlign w:val="center"/>
                </w:tcPr>
                <w:p w14:paraId="0742F2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660842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continue"/>
                  <w:noWrap w:val="0"/>
                  <w:vAlign w:val="center"/>
                </w:tcPr>
                <w:p w14:paraId="5CF1A7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91" w:type="dxa"/>
                  <w:vMerge w:val="continue"/>
                  <w:noWrap w:val="0"/>
                  <w:vAlign w:val="center"/>
                </w:tcPr>
                <w:p w14:paraId="205411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6" w:type="dxa"/>
                  <w:vMerge w:val="continue"/>
                  <w:noWrap w:val="0"/>
                  <w:vAlign w:val="center"/>
                </w:tcPr>
                <w:p w14:paraId="782499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99" w:type="dxa"/>
                  <w:vMerge w:val="continue"/>
                  <w:noWrap w:val="0"/>
                  <w:vAlign w:val="center"/>
                </w:tcPr>
                <w:p w14:paraId="43338E2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20" w:type="dxa"/>
                  <w:vMerge w:val="continue"/>
                  <w:noWrap w:val="0"/>
                  <w:vAlign w:val="center"/>
                </w:tcPr>
                <w:p w14:paraId="216643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815" w:type="dxa"/>
                  <w:noWrap w:val="0"/>
                  <w:vAlign w:val="center"/>
                </w:tcPr>
                <w:p w14:paraId="61C41A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大型车30</w:t>
                  </w:r>
                </w:p>
              </w:tc>
              <w:tc>
                <w:tcPr>
                  <w:tcW w:w="807" w:type="dxa"/>
                  <w:vMerge w:val="continue"/>
                  <w:noWrap w:val="0"/>
                  <w:vAlign w:val="center"/>
                </w:tcPr>
                <w:p w14:paraId="011A49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p>
              </w:tc>
              <w:tc>
                <w:tcPr>
                  <w:tcW w:w="765" w:type="dxa"/>
                  <w:vMerge w:val="continue"/>
                  <w:noWrap w:val="0"/>
                  <w:vAlign w:val="center"/>
                </w:tcPr>
                <w:p w14:paraId="4C86A03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4D1314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0" w:hRule="atLeast"/>
                <w:jc w:val="center"/>
              </w:trPr>
              <w:tc>
                <w:tcPr>
                  <w:tcW w:w="727" w:type="dxa"/>
                  <w:vMerge w:val="continue"/>
                  <w:noWrap w:val="0"/>
                  <w:vAlign w:val="center"/>
                </w:tcPr>
                <w:p w14:paraId="2882A4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vMerge w:val="continue"/>
                  <w:noWrap w:val="0"/>
                  <w:vAlign w:val="center"/>
                </w:tcPr>
                <w:p w14:paraId="2467F7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noWrap w:val="0"/>
                  <w:vAlign w:val="center"/>
                </w:tcPr>
                <w:p w14:paraId="473A757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yellow"/>
                      <w:lang w:val="en-US" w:eastAsia="zh-CN"/>
                    </w:rPr>
                    <w:t>路基工程</w:t>
                  </w:r>
                </w:p>
              </w:tc>
              <w:tc>
                <w:tcPr>
                  <w:tcW w:w="5612" w:type="dxa"/>
                  <w:gridSpan w:val="8"/>
                  <w:noWrap w:val="0"/>
                  <w:vAlign w:val="center"/>
                </w:tcPr>
                <w:p w14:paraId="2EEFCE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lang w:val="en-US" w:eastAsia="zh-CN"/>
                    </w:rPr>
                  </w:pPr>
                  <w:r>
                    <w:rPr>
                      <w:rFonts w:hint="eastAsia" w:ascii="宋体" w:hAnsi="宋体" w:eastAsia="宋体" w:cs="宋体"/>
                      <w:smallCaps w:val="0"/>
                      <w:color w:val="auto"/>
                      <w:sz w:val="21"/>
                      <w:szCs w:val="21"/>
                      <w:highlight w:val="yellow"/>
                      <w:lang w:val="en-US" w:eastAsia="zh-CN"/>
                    </w:rPr>
                    <w:t>本项目主体道路路基利用现有道路路基，现有旧路基可满足《公路技术状况评定标准》及《公路养护技术规范》要求，可以利用。对现有旧路基进行找平碾压，路基宽度10m，路基填筑采用级配较好的砂性土、砂类土等粗粒土作为填料，最大粒径应小于100mm。</w:t>
                  </w:r>
                </w:p>
                <w:p w14:paraId="2146283B">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lightGray"/>
                      <w:lang w:val="en-US" w:eastAsia="zh-CN"/>
                    </w:rPr>
                    <w:t>弯道处为特殊路段，需对内侧弯道进行路基加宽处理，防止车辆行驶时减少因内侧弯道路基宽度不足导致行驶空间不足。增加转弯半径，本项目路段多为大型货车行驶，转弯半径较大，需增加路基宽度保证更大空间来完成车辆转弯。也能保证在转弯会车时提高通行能力，较少交通拥堵。弯道处路基加宽也能延长道路使用寿命。增加防护墙，增加道路的整体稳定性。特殊路段路基占地面积</w:t>
                  </w:r>
                  <w:r>
                    <w:rPr>
                      <w:rFonts w:hint="eastAsia" w:ascii="宋体" w:hAnsi="宋体" w:eastAsia="宋体" w:cs="宋体"/>
                      <w:smallCaps w:val="0"/>
                      <w:color w:val="auto"/>
                      <w:kern w:val="0"/>
                      <w:sz w:val="21"/>
                      <w:szCs w:val="21"/>
                      <w:highlight w:val="lightGray"/>
                      <w:lang w:val="en-US" w:eastAsia="zh-CN"/>
                    </w:rPr>
                    <w:t>6565m</w:t>
                  </w:r>
                  <w:r>
                    <w:rPr>
                      <w:rFonts w:hint="eastAsia" w:ascii="宋体" w:hAnsi="宋体" w:eastAsia="宋体" w:cs="宋体"/>
                      <w:smallCaps w:val="0"/>
                      <w:color w:val="auto"/>
                      <w:kern w:val="0"/>
                      <w:sz w:val="21"/>
                      <w:szCs w:val="21"/>
                      <w:highlight w:val="lightGray"/>
                      <w:vertAlign w:val="superscript"/>
                      <w:lang w:val="en-US" w:eastAsia="zh-CN"/>
                    </w:rPr>
                    <w:t>2</w:t>
                  </w:r>
                  <w:r>
                    <w:rPr>
                      <w:rFonts w:hint="eastAsia" w:ascii="宋体" w:hAnsi="宋体" w:eastAsia="宋体" w:cs="宋体"/>
                      <w:smallCaps w:val="0"/>
                      <w:color w:val="auto"/>
                      <w:kern w:val="0"/>
                      <w:sz w:val="21"/>
                      <w:szCs w:val="21"/>
                      <w:highlight w:val="lightGray"/>
                      <w:lang w:val="en-US" w:eastAsia="zh-CN"/>
                    </w:rPr>
                    <w:t>；路基防护墙永久占地面积43.2m</w:t>
                  </w:r>
                  <w:r>
                    <w:rPr>
                      <w:rFonts w:hint="eastAsia" w:ascii="宋体" w:hAnsi="宋体" w:eastAsia="宋体" w:cs="宋体"/>
                      <w:smallCaps w:val="0"/>
                      <w:color w:val="auto"/>
                      <w:kern w:val="0"/>
                      <w:sz w:val="21"/>
                      <w:szCs w:val="21"/>
                      <w:highlight w:val="lightGray"/>
                      <w:vertAlign w:val="superscript"/>
                      <w:lang w:val="en-US" w:eastAsia="zh-CN"/>
                    </w:rPr>
                    <w:t>2</w:t>
                  </w:r>
                  <w:r>
                    <w:rPr>
                      <w:rFonts w:hint="eastAsia" w:ascii="宋体" w:hAnsi="宋体" w:eastAsia="宋体" w:cs="宋体"/>
                      <w:smallCaps w:val="0"/>
                      <w:color w:val="auto"/>
                      <w:sz w:val="21"/>
                      <w:szCs w:val="21"/>
                      <w:highlight w:val="lightGray"/>
                      <w:lang w:val="en-US" w:eastAsia="zh-CN"/>
                    </w:rPr>
                    <w:t>。</w:t>
                  </w:r>
                </w:p>
              </w:tc>
            </w:tr>
            <w:tr w14:paraId="782A1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B3E42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776DF5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桥涵工程</w:t>
                  </w:r>
                </w:p>
              </w:tc>
              <w:tc>
                <w:tcPr>
                  <w:tcW w:w="6115" w:type="dxa"/>
                  <w:gridSpan w:val="9"/>
                  <w:noWrap w:val="0"/>
                  <w:vAlign w:val="center"/>
                </w:tcPr>
                <w:p w14:paraId="465883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改造现有道路涵洞，现有涵洞已不能满足泄洪能力，将K6+240、K6+757处波纹管涵改建为1-5.0x2.0m钢筋混凝土箱涵。</w:t>
                  </w:r>
                </w:p>
              </w:tc>
            </w:tr>
            <w:tr w14:paraId="65808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27" w:type="dxa"/>
                  <w:vMerge w:val="continue"/>
                  <w:noWrap w:val="0"/>
                  <w:vAlign w:val="center"/>
                </w:tcPr>
                <w:p w14:paraId="77206E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0E42630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边沟工程</w:t>
                  </w:r>
                </w:p>
              </w:tc>
              <w:tc>
                <w:tcPr>
                  <w:tcW w:w="6115" w:type="dxa"/>
                  <w:gridSpan w:val="9"/>
                  <w:noWrap w:val="0"/>
                  <w:vAlign w:val="center"/>
                </w:tcPr>
                <w:p w14:paraId="1FC839D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在K6+760~K8+100路段右侧建设1340m排水边沟，在K7+775~K8+025左侧建设250m排水边沟。用于路基路面排水。边沟工程永久占地面积4197.6m</w:t>
                  </w:r>
                  <w:r>
                    <w:rPr>
                      <w:rFonts w:hint="eastAsia" w:ascii="宋体" w:hAnsi="宋体" w:eastAsia="宋体" w:cs="宋体"/>
                      <w:smallCaps w:val="0"/>
                      <w:color w:val="auto"/>
                      <w:sz w:val="21"/>
                      <w:szCs w:val="21"/>
                      <w:highlight w:val="none"/>
                      <w:vertAlign w:val="superscript"/>
                      <w:lang w:val="en-US" w:eastAsia="zh-CN"/>
                    </w:rPr>
                    <w:t>2</w:t>
                  </w:r>
                </w:p>
              </w:tc>
            </w:tr>
            <w:tr w14:paraId="6D2FA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1A2C260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征地拆迁</w:t>
                  </w:r>
                </w:p>
              </w:tc>
              <w:tc>
                <w:tcPr>
                  <w:tcW w:w="1060" w:type="dxa"/>
                  <w:gridSpan w:val="2"/>
                  <w:noWrap w:val="0"/>
                  <w:vAlign w:val="center"/>
                </w:tcPr>
                <w:p w14:paraId="3FE4A09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w:t>
                  </w:r>
                </w:p>
              </w:tc>
              <w:tc>
                <w:tcPr>
                  <w:tcW w:w="6115" w:type="dxa"/>
                  <w:gridSpan w:val="9"/>
                  <w:noWrap w:val="0"/>
                  <w:vAlign w:val="center"/>
                </w:tcPr>
                <w:p w14:paraId="151571E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用地总规模3.7864公顷，其中公路用地3.2012公顷、耕地0.3903公顷、建设用地0.0618公顷、未利用地0.1331公顷。已取得双鸭山市自然资源局出具的黑龙江省双鸭山至时代公路提质改造工程建设项目用地预审与选址意见书（双自然资用字第230503202300001号）。</w:t>
                  </w:r>
                  <w:r>
                    <w:rPr>
                      <w:rFonts w:hint="eastAsia" w:ascii="宋体" w:hAnsi="宋体" w:eastAsia="宋体" w:cs="宋体"/>
                      <w:smallCaps w:val="0"/>
                      <w:color w:val="auto"/>
                      <w:kern w:val="0"/>
                      <w:sz w:val="21"/>
                      <w:szCs w:val="21"/>
                      <w:highlight w:val="yellow"/>
                      <w:lang w:val="en-US" w:eastAsia="zh-CN"/>
                    </w:rPr>
                    <w:t>本项目占用耕地为闲置耕地，不占用水田，不占用永久基本农田。永久占地32055.8m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，其中包括道路永久占地面积21250m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，边沟永久占地面积4197.6m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，特殊路段为弯道处路段，弯道处需进行路基加宽方式处理，加宽方式见附图11。特殊路段路基占地面积6565m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；路基防护墙永久占地面积43.2m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。临时占地5808.2m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，临时施工工场占地面积2131m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；临时弃渣场占地1897.2m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。临时表土堆场占地面积500m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。桥涵施工临时便道面积1280m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w:t>
                  </w:r>
                </w:p>
              </w:tc>
            </w:tr>
            <w:tr w14:paraId="5345D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4642B9E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1060" w:type="dxa"/>
                  <w:gridSpan w:val="2"/>
                  <w:noWrap w:val="0"/>
                  <w:vAlign w:val="center"/>
                </w:tcPr>
                <w:p w14:paraId="4068925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拆迁</w:t>
                  </w:r>
                </w:p>
              </w:tc>
              <w:tc>
                <w:tcPr>
                  <w:tcW w:w="6115" w:type="dxa"/>
                  <w:gridSpan w:val="9"/>
                  <w:noWrap w:val="0"/>
                  <w:vAlign w:val="center"/>
                </w:tcPr>
                <w:p w14:paraId="36DADB3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本项目不涉及拆迁、砍伐。</w:t>
                  </w:r>
                </w:p>
              </w:tc>
            </w:tr>
            <w:tr w14:paraId="69ADD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64DC0AC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临时工程</w:t>
                  </w:r>
                </w:p>
              </w:tc>
              <w:tc>
                <w:tcPr>
                  <w:tcW w:w="1060" w:type="dxa"/>
                  <w:gridSpan w:val="2"/>
                  <w:noWrap w:val="0"/>
                  <w:vAlign w:val="center"/>
                </w:tcPr>
                <w:p w14:paraId="6B56A0A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施工工场</w:t>
                  </w:r>
                </w:p>
              </w:tc>
              <w:tc>
                <w:tcPr>
                  <w:tcW w:w="6115" w:type="dxa"/>
                  <w:gridSpan w:val="9"/>
                  <w:noWrap w:val="0"/>
                  <w:vAlign w:val="center"/>
                </w:tcPr>
                <w:p w14:paraId="013F3AF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位于项目南侧，设置施工工场用于暂存施工材料与施工器械，占地面积2131m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08167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1" w:hRule="atLeast"/>
                <w:jc w:val="center"/>
              </w:trPr>
              <w:tc>
                <w:tcPr>
                  <w:tcW w:w="727" w:type="dxa"/>
                  <w:vMerge w:val="continue"/>
                  <w:noWrap w:val="0"/>
                  <w:vAlign w:val="center"/>
                </w:tcPr>
                <w:p w14:paraId="1767E37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3ACD8FA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施工便道</w:t>
                  </w:r>
                </w:p>
              </w:tc>
              <w:tc>
                <w:tcPr>
                  <w:tcW w:w="6115" w:type="dxa"/>
                  <w:gridSpan w:val="9"/>
                  <w:noWrap w:val="0"/>
                  <w:vAlign w:val="center"/>
                </w:tcPr>
                <w:p w14:paraId="3D33C8FE">
                  <w:pPr>
                    <w:pStyle w:val="73"/>
                    <w:keepNext w:val="0"/>
                    <w:keepLines w:val="0"/>
                    <w:pageBreakBefore w:val="0"/>
                    <w:kinsoku/>
                    <w:wordWrap/>
                    <w:overflowPunct/>
                    <w:topLinePunct w:val="0"/>
                    <w:autoSpaceDE/>
                    <w:autoSpaceDN/>
                    <w:bidi w:val="0"/>
                    <w:adjustRightInd/>
                    <w:snapToGrid/>
                    <w:jc w:val="both"/>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yellow"/>
                      <w:lang w:val="en-US" w:eastAsia="zh-CN"/>
                    </w:rPr>
                    <w:t>本项目主体工程不设施工便道，本项目为对向2车道，单向车道进行施工，保留道路作为施工便道。本项目利用旧路建设，不对原有路面破坏，在施工准备期间已完成挖方工程，因此弃渣运输利用现有道路，不设施工便道。本项目新设2处施工便道，位于桩号K6+240、K6+757。K6+240处便道长度80m，K6+757处便道长度80m。宽度8m。施工便道总占地面积1280m</w:t>
                  </w:r>
                  <w:r>
                    <w:rPr>
                      <w:rFonts w:hint="eastAsia" w:ascii="宋体" w:hAnsi="宋体" w:eastAsia="宋体" w:cs="宋体"/>
                      <w:smallCaps w:val="0"/>
                      <w:color w:val="auto"/>
                      <w:kern w:val="0"/>
                      <w:sz w:val="21"/>
                      <w:szCs w:val="21"/>
                      <w:highlight w:val="yellow"/>
                      <w:vertAlign w:val="superscript"/>
                      <w:lang w:val="en-US" w:eastAsia="zh-CN"/>
                    </w:rPr>
                    <w:t>2</w:t>
                  </w:r>
                  <w:r>
                    <w:rPr>
                      <w:rFonts w:hint="eastAsia" w:ascii="宋体" w:hAnsi="宋体" w:eastAsia="宋体" w:cs="宋体"/>
                      <w:smallCaps w:val="0"/>
                      <w:color w:val="auto"/>
                      <w:kern w:val="0"/>
                      <w:sz w:val="21"/>
                      <w:szCs w:val="21"/>
                      <w:highlight w:val="yellow"/>
                      <w:lang w:val="en-US" w:eastAsia="zh-CN"/>
                    </w:rPr>
                    <w:t>。此处为涵洞处施工地，设立临时便道用于涵洞施工期间的材料以及弃渣运输。</w:t>
                  </w:r>
                </w:p>
              </w:tc>
            </w:tr>
            <w:tr w14:paraId="39ECB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4E590BD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1ACC949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施工营地</w:t>
                  </w:r>
                </w:p>
              </w:tc>
              <w:tc>
                <w:tcPr>
                  <w:tcW w:w="6115" w:type="dxa"/>
                  <w:gridSpan w:val="9"/>
                  <w:noWrap w:val="0"/>
                  <w:vAlign w:val="center"/>
                </w:tcPr>
                <w:p w14:paraId="05F87BC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本项目不设置施工营地。</w:t>
                  </w:r>
                </w:p>
              </w:tc>
            </w:tr>
            <w:tr w14:paraId="712A8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1AAEB7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2A1B5A4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料场</w:t>
                  </w:r>
                </w:p>
              </w:tc>
              <w:tc>
                <w:tcPr>
                  <w:tcW w:w="6115" w:type="dxa"/>
                  <w:gridSpan w:val="9"/>
                  <w:noWrap w:val="0"/>
                  <w:vAlign w:val="center"/>
                </w:tcPr>
                <w:p w14:paraId="2245A65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本工程所需筑路材料片石、碎石由合鑫采石场购进，运距5km；所选用的中粗砂有富锦砂场购进。</w:t>
                  </w:r>
                </w:p>
              </w:tc>
            </w:tr>
            <w:tr w14:paraId="4EBAD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5785997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02A4B76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弃渣场</w:t>
                  </w:r>
                </w:p>
              </w:tc>
              <w:tc>
                <w:tcPr>
                  <w:tcW w:w="6115" w:type="dxa"/>
                  <w:gridSpan w:val="9"/>
                  <w:noWrap w:val="0"/>
                  <w:vAlign w:val="center"/>
                </w:tcPr>
                <w:p w14:paraId="1D6E780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施工期废渣土，废砂石及时清理，设置临时弃渣场，占地面积1897.2m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，弃渣定期转运。不设永久废弃渣场。临时表土堆场占地面积500m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50C38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1B64508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环保工程</w:t>
                  </w:r>
                </w:p>
              </w:tc>
              <w:tc>
                <w:tcPr>
                  <w:tcW w:w="407" w:type="dxa"/>
                  <w:vMerge w:val="restart"/>
                  <w:noWrap w:val="0"/>
                  <w:vAlign w:val="center"/>
                </w:tcPr>
                <w:p w14:paraId="0F2B163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施工期</w:t>
                  </w:r>
                </w:p>
              </w:tc>
              <w:tc>
                <w:tcPr>
                  <w:tcW w:w="653" w:type="dxa"/>
                  <w:noWrap w:val="0"/>
                  <w:vAlign w:val="center"/>
                </w:tcPr>
                <w:p w14:paraId="7B34E79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废气处理</w:t>
                  </w:r>
                </w:p>
              </w:tc>
              <w:tc>
                <w:tcPr>
                  <w:tcW w:w="6115" w:type="dxa"/>
                  <w:gridSpan w:val="9"/>
                  <w:noWrap w:val="0"/>
                  <w:vAlign w:val="center"/>
                </w:tcPr>
                <w:p w14:paraId="0419550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施工点周围应当设置连续、密闭的围挡，围挡高度不得低于</w:t>
                  </w:r>
                  <w:r>
                    <w:rPr>
                      <w:rFonts w:hint="eastAsia" w:ascii="宋体" w:hAnsi="宋体" w:eastAsia="宋体" w:cs="宋体"/>
                      <w:smallCaps w:val="0"/>
                      <w:color w:val="auto"/>
                      <w:sz w:val="21"/>
                      <w:szCs w:val="21"/>
                      <w:highlight w:val="none"/>
                      <w:lang w:val="en-US" w:eastAsia="zh-CN"/>
                    </w:rPr>
                    <w:t>2</w:t>
                  </w:r>
                  <w:r>
                    <w:rPr>
                      <w:rFonts w:hint="eastAsia" w:ascii="宋体" w:hAnsi="宋体" w:eastAsia="宋体" w:cs="宋体"/>
                      <w:smallCaps w:val="0"/>
                      <w:color w:val="auto"/>
                      <w:sz w:val="21"/>
                      <w:szCs w:val="21"/>
                      <w:highlight w:val="none"/>
                      <w:lang w:val="en-US"/>
                    </w:rPr>
                    <w:t>米；施工道路定期洒水降尘；运输车辆采用苫布遮盖；加强施工管理，降低扬尘影响</w:t>
                  </w:r>
                  <w:r>
                    <w:rPr>
                      <w:rFonts w:hint="eastAsia" w:ascii="宋体" w:hAnsi="宋体" w:eastAsia="宋体" w:cs="宋体"/>
                      <w:smallCaps w:val="0"/>
                      <w:color w:val="auto"/>
                      <w:sz w:val="21"/>
                      <w:szCs w:val="21"/>
                      <w:highlight w:val="none"/>
                      <w:lang w:val="en-US" w:eastAsia="zh-CN"/>
                    </w:rPr>
                    <w:t>。</w:t>
                  </w:r>
                </w:p>
              </w:tc>
            </w:tr>
            <w:tr w14:paraId="56985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71024BE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5040EE5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0AB0AC9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废水处理</w:t>
                  </w:r>
                </w:p>
              </w:tc>
              <w:tc>
                <w:tcPr>
                  <w:tcW w:w="6115" w:type="dxa"/>
                  <w:gridSpan w:val="9"/>
                  <w:noWrap w:val="0"/>
                  <w:vAlign w:val="center"/>
                </w:tcPr>
                <w:p w14:paraId="09AA86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yellow"/>
                    </w:rPr>
                  </w:pPr>
                  <w:r>
                    <w:rPr>
                      <w:rFonts w:hint="eastAsia" w:ascii="宋体" w:hAnsi="宋体" w:eastAsia="宋体" w:cs="宋体"/>
                      <w:smallCaps w:val="0"/>
                      <w:color w:val="auto"/>
                      <w:sz w:val="21"/>
                      <w:szCs w:val="21"/>
                      <w:highlight w:val="yellow"/>
                    </w:rPr>
                    <w:t>施工人员生活污水：</w:t>
                  </w:r>
                  <w:r>
                    <w:rPr>
                      <w:rFonts w:hint="eastAsia" w:ascii="宋体" w:hAnsi="宋体" w:eastAsia="宋体" w:cs="宋体"/>
                      <w:smallCaps w:val="0"/>
                      <w:color w:val="auto"/>
                      <w:sz w:val="21"/>
                      <w:szCs w:val="21"/>
                      <w:highlight w:val="yellow"/>
                      <w:lang w:val="en-US" w:eastAsia="zh-CN"/>
                    </w:rPr>
                    <w:t>施工人员如厕依托南侧平房居民防渗旱厕，盥洗水经沉淀池沉淀处理，处理后回用车辆冲洗</w:t>
                  </w:r>
                  <w:r>
                    <w:rPr>
                      <w:rFonts w:hint="eastAsia" w:ascii="宋体" w:hAnsi="宋体" w:eastAsia="宋体" w:cs="宋体"/>
                      <w:smallCaps w:val="0"/>
                      <w:color w:val="auto"/>
                      <w:sz w:val="21"/>
                      <w:szCs w:val="21"/>
                      <w:highlight w:val="yellow"/>
                    </w:rPr>
                    <w:t>。</w:t>
                  </w:r>
                </w:p>
                <w:p w14:paraId="1897B8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napToGrid w:val="0"/>
                      <w:color w:val="auto"/>
                      <w:kern w:val="0"/>
                      <w:sz w:val="21"/>
                      <w:szCs w:val="21"/>
                      <w:highlight w:val="none"/>
                      <w:lang w:val="en-US" w:eastAsia="zh-CN"/>
                    </w:rPr>
                  </w:pPr>
                  <w:r>
                    <w:rPr>
                      <w:rFonts w:hint="eastAsia" w:ascii="宋体" w:hAnsi="宋体" w:eastAsia="宋体" w:cs="宋体"/>
                      <w:smallCaps w:val="0"/>
                      <w:color w:val="auto"/>
                      <w:sz w:val="21"/>
                      <w:szCs w:val="21"/>
                      <w:highlight w:val="yellow"/>
                    </w:rPr>
                    <w:t>施工过程中，冲洗废水沉淀池沉淀后回用，不外排；</w:t>
                  </w:r>
                  <w:r>
                    <w:rPr>
                      <w:rFonts w:hint="eastAsia" w:ascii="宋体" w:hAnsi="宋体" w:eastAsia="宋体" w:cs="宋体"/>
                      <w:smallCaps w:val="0"/>
                      <w:color w:val="auto"/>
                      <w:sz w:val="21"/>
                      <w:szCs w:val="21"/>
                      <w:highlight w:val="yellow"/>
                      <w:lang w:val="en-US" w:eastAsia="zh-CN"/>
                    </w:rPr>
                    <w:t>车辆维修产生</w:t>
                  </w:r>
                  <w:r>
                    <w:rPr>
                      <w:rFonts w:hint="eastAsia" w:ascii="宋体" w:hAnsi="宋体" w:eastAsia="宋体" w:cs="宋体"/>
                      <w:smallCaps w:val="0"/>
                      <w:color w:val="auto"/>
                      <w:sz w:val="21"/>
                      <w:szCs w:val="21"/>
                      <w:highlight w:val="yellow"/>
                    </w:rPr>
                    <w:t>含油废水</w:t>
                  </w:r>
                  <w:r>
                    <w:rPr>
                      <w:rFonts w:hint="eastAsia" w:ascii="宋体" w:hAnsi="宋体" w:eastAsia="宋体" w:cs="宋体"/>
                      <w:smallCaps w:val="0"/>
                      <w:color w:val="auto"/>
                      <w:sz w:val="21"/>
                      <w:szCs w:val="21"/>
                      <w:highlight w:val="yellow"/>
                      <w:lang w:val="en-US" w:eastAsia="zh-CN"/>
                    </w:rPr>
                    <w:t>集中收集交有资质单位，施工工场不暂存。沉淀池设于施工工场处，沉淀池规格为6m×3m×2m。沉淀池上方为沥水板，车辆冲洗后冲洗水进入沉淀池沉淀，冲洗水经沉底后回用，不外排。施工结束后拆除沉淀池，恢复原有地貌。</w:t>
                  </w:r>
                </w:p>
              </w:tc>
            </w:tr>
            <w:tr w14:paraId="6BB68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2F26B79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1538546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7678E05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噪声处理</w:t>
                  </w:r>
                </w:p>
              </w:tc>
              <w:tc>
                <w:tcPr>
                  <w:tcW w:w="6115" w:type="dxa"/>
                  <w:gridSpan w:val="9"/>
                  <w:noWrap w:val="0"/>
                  <w:vAlign w:val="center"/>
                </w:tcPr>
                <w:p w14:paraId="5B671B5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合理安排施工时间，</w:t>
                  </w:r>
                  <w:r>
                    <w:rPr>
                      <w:rFonts w:hint="eastAsia" w:ascii="宋体" w:hAnsi="宋体" w:eastAsia="宋体" w:cs="宋体"/>
                      <w:smallCaps w:val="0"/>
                      <w:color w:val="auto"/>
                      <w:sz w:val="21"/>
                      <w:szCs w:val="21"/>
                      <w:highlight w:val="none"/>
                      <w:lang w:val="en-US" w:eastAsia="zh-CN"/>
                    </w:rPr>
                    <w:t>夜间、午休期间禁止施工</w:t>
                  </w:r>
                  <w:r>
                    <w:rPr>
                      <w:rFonts w:hint="eastAsia" w:ascii="宋体" w:hAnsi="宋体" w:eastAsia="宋体" w:cs="宋体"/>
                      <w:smallCaps w:val="0"/>
                      <w:color w:val="auto"/>
                      <w:sz w:val="21"/>
                      <w:szCs w:val="21"/>
                      <w:highlight w:val="none"/>
                      <w:lang w:val="en-US"/>
                    </w:rPr>
                    <w:t>，加强施工管理，尽量使用低噪音设备，</w:t>
                  </w:r>
                  <w:r>
                    <w:rPr>
                      <w:rFonts w:hint="eastAsia" w:ascii="宋体" w:hAnsi="宋体" w:eastAsia="宋体" w:cs="宋体"/>
                      <w:smallCaps w:val="0"/>
                      <w:color w:val="auto"/>
                      <w:sz w:val="21"/>
                      <w:szCs w:val="21"/>
                      <w:highlight w:val="none"/>
                      <w:lang w:val="en-US" w:eastAsia="zh-CN"/>
                    </w:rPr>
                    <w:t>施工期加装隔音屏障。</w:t>
                  </w:r>
                </w:p>
              </w:tc>
            </w:tr>
            <w:tr w14:paraId="09892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3243D80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7E1FF3C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0170E9F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固体废物</w:t>
                  </w:r>
                </w:p>
              </w:tc>
              <w:tc>
                <w:tcPr>
                  <w:tcW w:w="6115" w:type="dxa"/>
                  <w:gridSpan w:val="9"/>
                  <w:noWrap w:val="0"/>
                  <w:vAlign w:val="center"/>
                </w:tcPr>
                <w:p w14:paraId="4EA4ABE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rPr>
                  </w:pPr>
                  <w:r>
                    <w:rPr>
                      <w:rFonts w:hint="eastAsia" w:ascii="宋体" w:hAnsi="宋体" w:eastAsia="宋体" w:cs="宋体"/>
                      <w:smallCaps w:val="0"/>
                      <w:color w:val="auto"/>
                      <w:sz w:val="21"/>
                      <w:szCs w:val="21"/>
                      <w:highlight w:val="none"/>
                      <w:lang w:val="en-US"/>
                    </w:rPr>
                    <w:t>施工人员生活垃圾、固体废物统一收集，委托环卫部门处置。建筑垃圾</w:t>
                  </w:r>
                  <w:r>
                    <w:rPr>
                      <w:rFonts w:hint="eastAsia" w:ascii="宋体" w:hAnsi="宋体" w:eastAsia="宋体" w:cs="宋体"/>
                      <w:smallCaps w:val="0"/>
                      <w:color w:val="auto"/>
                      <w:sz w:val="21"/>
                      <w:szCs w:val="21"/>
                      <w:highlight w:val="none"/>
                      <w:lang w:val="en-US" w:eastAsia="zh-CN"/>
                    </w:rPr>
                    <w:t>、弃土、弃渣拉运至双鸭山市建筑垃圾处置消纳场。</w:t>
                  </w:r>
                  <w:r>
                    <w:rPr>
                      <w:rFonts w:hint="eastAsia" w:ascii="宋体" w:hAnsi="宋体" w:eastAsia="宋体" w:cs="宋体"/>
                      <w:smallCaps w:val="0"/>
                      <w:color w:val="auto"/>
                      <w:sz w:val="21"/>
                      <w:szCs w:val="21"/>
                      <w:highlight w:val="yellow"/>
                      <w:lang w:val="en-US" w:eastAsia="zh-CN"/>
                    </w:rPr>
                    <w:t>建筑垃圾处置消纳场位于尖山区窑地路中段，运距12km，途径双西路、南环路、窑地路；汽车维修产生的油水混合物经</w:t>
                  </w:r>
                  <w:r>
                    <w:rPr>
                      <w:rFonts w:hint="eastAsia" w:ascii="宋体" w:hAnsi="宋体" w:eastAsia="宋体" w:cs="宋体"/>
                      <w:smallCaps w:val="0"/>
                      <w:color w:val="auto"/>
                      <w:sz w:val="21"/>
                      <w:szCs w:val="21"/>
                      <w:highlight w:val="yellow"/>
                      <w:lang w:val="en-US"/>
                    </w:rPr>
                    <w:t>收集后交有资质单位处置，本项目不建设危废</w:t>
                  </w:r>
                  <w:r>
                    <w:rPr>
                      <w:rFonts w:hint="eastAsia" w:ascii="宋体" w:hAnsi="宋体" w:eastAsia="宋体" w:cs="宋体"/>
                      <w:smallCaps w:val="0"/>
                      <w:color w:val="auto"/>
                      <w:sz w:val="21"/>
                      <w:szCs w:val="21"/>
                      <w:highlight w:val="yellow"/>
                      <w:lang w:val="en-US" w:eastAsia="zh-CN"/>
                    </w:rPr>
                    <w:t>贮存点</w:t>
                  </w:r>
                  <w:r>
                    <w:rPr>
                      <w:rFonts w:hint="eastAsia" w:ascii="宋体" w:hAnsi="宋体" w:eastAsia="宋体" w:cs="宋体"/>
                      <w:smallCaps w:val="0"/>
                      <w:color w:val="auto"/>
                      <w:sz w:val="21"/>
                      <w:szCs w:val="21"/>
                      <w:highlight w:val="yellow"/>
                      <w:lang w:val="en-US"/>
                    </w:rPr>
                    <w:t>，危险废物</w:t>
                  </w:r>
                  <w:r>
                    <w:rPr>
                      <w:rFonts w:hint="eastAsia" w:ascii="宋体" w:hAnsi="宋体" w:eastAsia="宋体" w:cs="宋体"/>
                      <w:smallCaps w:val="0"/>
                      <w:color w:val="auto"/>
                      <w:sz w:val="21"/>
                      <w:szCs w:val="21"/>
                      <w:highlight w:val="yellow"/>
                      <w:lang w:val="en-US" w:eastAsia="zh-CN"/>
                    </w:rPr>
                    <w:t>由施工单位</w:t>
                  </w:r>
                  <w:r>
                    <w:rPr>
                      <w:rFonts w:hint="eastAsia" w:ascii="宋体" w:hAnsi="宋体" w:eastAsia="宋体" w:cs="宋体"/>
                      <w:smallCaps w:val="0"/>
                      <w:color w:val="auto"/>
                      <w:sz w:val="21"/>
                      <w:szCs w:val="21"/>
                      <w:highlight w:val="yellow"/>
                      <w:lang w:val="en-US"/>
                    </w:rPr>
                    <w:t>统一收集后委托有资质单位处置。</w:t>
                  </w:r>
                </w:p>
              </w:tc>
            </w:tr>
            <w:tr w14:paraId="7AF76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727" w:type="dxa"/>
                  <w:vMerge w:val="continue"/>
                  <w:noWrap w:val="0"/>
                  <w:vAlign w:val="center"/>
                </w:tcPr>
                <w:p w14:paraId="6C86805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2D708F9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20F3453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生态环境</w:t>
                  </w:r>
                </w:p>
              </w:tc>
              <w:tc>
                <w:tcPr>
                  <w:tcW w:w="6115" w:type="dxa"/>
                  <w:gridSpan w:val="9"/>
                  <w:noWrap w:val="0"/>
                  <w:vAlign w:val="center"/>
                </w:tcPr>
                <w:p w14:paraId="13A951DB">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施工期生态保护措施</w:t>
                  </w:r>
                </w:p>
                <w:p w14:paraId="3CA7227B">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植被保护：严格依据设计文件明确施工范围，禁止施工人员与车辆进入非施工区域，避免破坏周边植被。优化施工方案，加快施工进度，减少对植被影响时长，同时避开雨天施工。严格控制路基开挖作业面，减少水土流失。定期检查维护施工机械、车辆，防止油污污染土壤。及时处理各类固体废物，杜绝超范围用地。施工结束后，清理施工痕迹，恢复地表原貌。若施工中发现重点保护野生植物，应立即报告相关部门并实施保护、移栽。</w:t>
                  </w:r>
                </w:p>
                <w:p w14:paraId="329538F6">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动物保护：加强施工人员教育，使其遵守野生动物保护法，严禁在施工区及周边捕猎野生动物，发现保护动物及时上报。明确施工用地范围并标桩划界，禁止施工人员和机械进入非施工区，减少对野生动物干扰。合理安排施工时间，避开野生动物繁殖期，选用低噪声机械，减少噪声惊扰。设立环保监督机构和专职人员，加强监管和教育，依法处置违法行为。</w:t>
                  </w:r>
                </w:p>
                <w:p w14:paraId="37E2D445">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占地恢复：施工单位严格按设计施工，减少占地面积。施工监理按标准和设计文件监督施工。施工前剥离表土并集中堆存、覆盖，用于后期绿化。临时占地需依法办理手续，施工结束后恢复土地功能和原有地貌。项目在投资估算中考虑占地补偿及耕地复垦费用，按规定缴纳相关费用，弥补耕地损失。</w:t>
                  </w:r>
                </w:p>
                <w:p w14:paraId="035F9C08">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sz w:val="21"/>
                      <w:szCs w:val="21"/>
                      <w:highlight w:val="yellow"/>
                      <w:lang w:val="en-US"/>
                    </w:rPr>
                  </w:pPr>
                  <w:r>
                    <w:rPr>
                      <w:rFonts w:hint="eastAsia" w:ascii="宋体" w:hAnsi="宋体" w:eastAsia="宋体" w:cs="宋体"/>
                      <w:smallCaps w:val="0"/>
                      <w:color w:val="auto"/>
                      <w:kern w:val="0"/>
                      <w:sz w:val="21"/>
                      <w:szCs w:val="21"/>
                      <w:highlight w:val="yellow"/>
                      <w:lang w:val="en-US" w:eastAsia="zh-CN"/>
                    </w:rPr>
                    <w:t>水土保持：合理安排工期，避免雨季开挖路基，减少土石方堆放。完善排水工程，确保排水通畅。路基工程区两侧设边沟排水，施工后进行边坡防护；挖方弃渣临时堆放并做好防护。表土暂存场区施工结束后进行植被恢复，临时堆土做好拦挡、苫盖及排水、沉砂措施。施工工场施工前剥离表土，结束后用于植被恢复，临时堆土防护，周边设排水沟和沉砂池。</w:t>
                  </w:r>
                </w:p>
              </w:tc>
            </w:tr>
            <w:tr w14:paraId="4E8E8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5792974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restart"/>
                  <w:noWrap w:val="0"/>
                  <w:vAlign w:val="center"/>
                </w:tcPr>
                <w:p w14:paraId="787B5E7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运营期</w:t>
                  </w:r>
                </w:p>
              </w:tc>
              <w:tc>
                <w:tcPr>
                  <w:tcW w:w="653" w:type="dxa"/>
                  <w:noWrap w:val="0"/>
                  <w:vAlign w:val="center"/>
                </w:tcPr>
                <w:p w14:paraId="55A3876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废水</w:t>
                  </w:r>
                </w:p>
              </w:tc>
              <w:tc>
                <w:tcPr>
                  <w:tcW w:w="6115" w:type="dxa"/>
                  <w:gridSpan w:val="9"/>
                  <w:noWrap w:val="0"/>
                  <w:vAlign w:val="center"/>
                </w:tcPr>
                <w:p w14:paraId="6CB49614">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加强路面洁净度，定期委托环卫工人清理路面，减少因汽车漏油造成地面污染，减少因降雨导致地表径流经雨水排放口排放至马蹄河造成污染。</w:t>
                  </w:r>
                </w:p>
              </w:tc>
            </w:tr>
            <w:tr w14:paraId="02D33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3653ED2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0C8208E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731BE7C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废气</w:t>
                  </w:r>
                </w:p>
              </w:tc>
              <w:tc>
                <w:tcPr>
                  <w:tcW w:w="6115" w:type="dxa"/>
                  <w:gridSpan w:val="9"/>
                  <w:noWrap w:val="0"/>
                  <w:vAlign w:val="center"/>
                </w:tcPr>
                <w:p w14:paraId="121F2017">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定期路面养护，市政部门定期安排洒水车等洒水降尘。控制车速，减少车辆行驶起尘。控制车辆速度，车轮携带大量泥沙禁止上路上桥。</w:t>
                  </w:r>
                </w:p>
              </w:tc>
            </w:tr>
            <w:tr w14:paraId="4F114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0E1ECE5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69FEAB1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292DB4C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噪声</w:t>
                  </w:r>
                </w:p>
              </w:tc>
              <w:tc>
                <w:tcPr>
                  <w:tcW w:w="6115" w:type="dxa"/>
                  <w:gridSpan w:val="9"/>
                  <w:noWrap w:val="0"/>
                  <w:vAlign w:val="center"/>
                </w:tcPr>
                <w:p w14:paraId="597740A3">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控制车速，道路沿线禁止鸣笛，种植绿植，降低噪声对环境影响。</w:t>
                  </w:r>
                </w:p>
              </w:tc>
            </w:tr>
            <w:tr w14:paraId="4FE42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4CDAD5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20FC96D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24B312D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lang w:val="en-US"/>
                    </w:rPr>
                    <w:t>固废</w:t>
                  </w:r>
                </w:p>
              </w:tc>
              <w:tc>
                <w:tcPr>
                  <w:tcW w:w="6115" w:type="dxa"/>
                  <w:gridSpan w:val="9"/>
                  <w:noWrap w:val="0"/>
                  <w:vAlign w:val="center"/>
                </w:tcPr>
                <w:p w14:paraId="16EFF3C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道路沿线设置垃圾桶，定期清掏外运至垃圾填埋场。委托环卫工人清扫，减少垃圾对环境的污染。</w:t>
                  </w:r>
                </w:p>
              </w:tc>
            </w:tr>
            <w:tr w14:paraId="395D2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66892DC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7BBAE3F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6B45E75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生态环境</w:t>
                  </w:r>
                </w:p>
              </w:tc>
              <w:tc>
                <w:tcPr>
                  <w:tcW w:w="6115" w:type="dxa"/>
                  <w:gridSpan w:val="9"/>
                  <w:noWrap w:val="0"/>
                  <w:vAlign w:val="center"/>
                </w:tcPr>
                <w:p w14:paraId="7CD63C22">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运营期生态保护措施</w:t>
                  </w:r>
                </w:p>
                <w:p w14:paraId="3262F2E9">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道路维护与生态保护：加强道路维护，确保排水工程和涵洞正常运行，防止植被受淹，保障水路畅通。</w:t>
                  </w:r>
                </w:p>
                <w:p w14:paraId="648EEA2E">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运输管理与生态防护：强化运输车辆管理，防止车辆对自然生态造成破坏，预防林火和树木病虫害发生。</w:t>
                  </w:r>
                </w:p>
                <w:p w14:paraId="539BF560">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防止侵占与植被恢复：在道路沿线设置标识牌，禁止在林地内非法开垦、放牧、砍伐。加强道路巡查，及时发现和制止侵占林地、破坏植被行为。对因道路建设或运营造成的植被破坏，及时选用与周边相似的植物进行恢复种植，保障生态连贯性。</w:t>
                  </w:r>
                </w:p>
              </w:tc>
            </w:tr>
          </w:tbl>
          <w:p w14:paraId="657C23C1">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rPr>
              <w:t>三、</w:t>
            </w:r>
            <w:r>
              <w:rPr>
                <w:rFonts w:hint="eastAsia" w:ascii="宋体" w:hAnsi="宋体" w:eastAsia="宋体" w:cs="宋体"/>
                <w:b/>
                <w:bCs/>
                <w:smallCaps w:val="0"/>
                <w:color w:val="auto"/>
                <w:szCs w:val="24"/>
                <w:highlight w:val="none"/>
                <w:lang w:val="en-US" w:eastAsia="zh-CN"/>
              </w:rPr>
              <w:t>道路工程</w:t>
            </w:r>
          </w:p>
          <w:p w14:paraId="3BAD802D">
            <w:pPr>
              <w:keepNext w:val="0"/>
              <w:keepLines w:val="0"/>
              <w:pageBreakBefore w:val="0"/>
              <w:widowControl w:val="0"/>
              <w:numPr>
                <w:ilvl w:val="0"/>
                <w:numId w:val="0"/>
              </w:numPr>
              <w:kinsoku/>
              <w:wordWrap/>
              <w:overflowPunct/>
              <w:topLinePunct w:val="0"/>
              <w:autoSpaceDE/>
              <w:autoSpaceDN/>
              <w:bidi w:val="0"/>
              <w:adjustRightInd w:val="0"/>
              <w:snapToGrid w:val="0"/>
              <w:ind w:firstLine="482" w:firstLineChars="200"/>
              <w:jc w:val="left"/>
              <w:textAlignment w:val="auto"/>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1、路基横断面</w:t>
            </w:r>
          </w:p>
          <w:p w14:paraId="09890E17">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（1）路基宽度</w:t>
            </w:r>
          </w:p>
          <w:p w14:paraId="5496583D">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路基宽度为10m。</w:t>
            </w:r>
          </w:p>
          <w:p w14:paraId="1C812EE4">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（2）路拱横坡</w:t>
            </w:r>
          </w:p>
          <w:p w14:paraId="60F32256">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全线路基设计线为路基中心线，设计标高为路基中心线处路面顶标高。行车道、硬路肩横坡为1.5%，土路肩为2.5%。</w:t>
            </w:r>
          </w:p>
          <w:p w14:paraId="3117D4D4">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smallCaps w:val="0"/>
                <w:color w:val="auto"/>
                <w:sz w:val="21"/>
                <w:szCs w:val="16"/>
                <w:highlight w:val="none"/>
              </w:rPr>
              <w:drawing>
                <wp:inline distT="0" distB="0" distL="114300" distR="114300">
                  <wp:extent cx="5094605" cy="2088515"/>
                  <wp:effectExtent l="0" t="0" r="10795" b="698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22"/>
                          <a:stretch>
                            <a:fillRect/>
                          </a:stretch>
                        </pic:blipFill>
                        <pic:spPr>
                          <a:xfrm>
                            <a:off x="0" y="0"/>
                            <a:ext cx="5094605" cy="2088515"/>
                          </a:xfrm>
                          <a:prstGeom prst="rect">
                            <a:avLst/>
                          </a:prstGeom>
                          <a:noFill/>
                          <a:ln>
                            <a:noFill/>
                          </a:ln>
                        </pic:spPr>
                      </pic:pic>
                    </a:graphicData>
                  </a:graphic>
                </wp:inline>
              </w:drawing>
            </w:r>
          </w:p>
          <w:p w14:paraId="1DD1EA2F">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图2-1 路基标准横断面图</w:t>
            </w:r>
          </w:p>
          <w:p w14:paraId="40E286F4">
            <w:pPr>
              <w:keepNext w:val="0"/>
              <w:keepLines w:val="0"/>
              <w:pageBreakBefore w:val="0"/>
              <w:widowControl w:val="0"/>
              <w:kinsoku/>
              <w:wordWrap/>
              <w:overflowPunct/>
              <w:topLinePunct w:val="0"/>
              <w:autoSpaceDE w:val="0"/>
              <w:autoSpaceDN w:val="0"/>
              <w:bidi w:val="0"/>
              <w:adjustRightInd w:val="0"/>
              <w:snapToGrid w:val="0"/>
              <w:ind w:firstLine="480" w:firstLineChars="200"/>
              <w:jc w:val="left"/>
              <w:textAlignment w:val="auto"/>
              <w:rPr>
                <w:rFonts w:hint="eastAsia" w:ascii="宋体" w:hAnsi="宋体" w:eastAsia="宋体" w:cs="宋体"/>
                <w:b w:val="0"/>
                <w:bCs w:val="0"/>
                <w:smallCaps w:val="0"/>
                <w:color w:val="auto"/>
                <w:szCs w:val="24"/>
                <w:highlight w:val="none"/>
                <w:lang w:val="en-US" w:eastAsia="zh-CN"/>
              </w:rPr>
            </w:pPr>
            <w:r>
              <w:rPr>
                <w:rFonts w:hint="eastAsia" w:ascii="宋体" w:hAnsi="宋体" w:eastAsia="宋体" w:cs="宋体"/>
                <w:b w:val="0"/>
                <w:bCs w:val="0"/>
                <w:smallCaps w:val="0"/>
                <w:color w:val="auto"/>
                <w:szCs w:val="24"/>
                <w:highlight w:val="none"/>
                <w:lang w:val="en-US" w:eastAsia="zh-CN"/>
              </w:rPr>
              <w:t>（3）路基高度</w:t>
            </w:r>
          </w:p>
          <w:p w14:paraId="2E61E35E">
            <w:pPr>
              <w:keepNext w:val="0"/>
              <w:keepLines w:val="0"/>
              <w:pageBreakBefore w:val="0"/>
              <w:widowControl w:val="0"/>
              <w:kinsoku/>
              <w:wordWrap/>
              <w:overflowPunct/>
              <w:topLinePunct w:val="0"/>
              <w:autoSpaceDE w:val="0"/>
              <w:autoSpaceDN w:val="0"/>
              <w:bidi w:val="0"/>
              <w:adjustRightInd w:val="0"/>
              <w:snapToGrid w:val="0"/>
              <w:ind w:firstLine="480" w:firstLineChars="200"/>
              <w:jc w:val="left"/>
              <w:textAlignment w:val="auto"/>
              <w:rPr>
                <w:rFonts w:hint="eastAsia" w:ascii="宋体" w:hAnsi="宋体" w:eastAsia="宋体" w:cs="宋体"/>
                <w:b/>
                <w:bCs/>
                <w:smallCaps w:val="0"/>
                <w:color w:val="auto"/>
                <w:szCs w:val="24"/>
                <w:highlight w:val="none"/>
                <w:lang w:val="en-US" w:eastAsia="zh-CN"/>
              </w:rPr>
            </w:pPr>
            <w:r>
              <w:rPr>
                <w:rFonts w:hint="eastAsia" w:ascii="宋体" w:hAnsi="宋体" w:eastAsia="宋体" w:cs="宋体"/>
                <w:b w:val="0"/>
                <w:bCs w:val="0"/>
                <w:smallCaps w:val="0"/>
                <w:color w:val="auto"/>
                <w:szCs w:val="24"/>
                <w:highlight w:val="none"/>
                <w:lang w:val="en-US" w:eastAsia="zh-CN"/>
              </w:rPr>
              <w:t>本路段所经地带属平原微丘区，路基高度主要受地形、大型构造物、主要被交叉道路、路线平面线形及路线纵坡等控制。主线路基设计标高为路基中心线标高，二级公路路基设计洪水频率为1/25。</w:t>
            </w:r>
          </w:p>
          <w:p w14:paraId="6C32238B">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2、路面工程</w:t>
            </w:r>
          </w:p>
          <w:p w14:paraId="1D27996F">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2.1路面类型</w:t>
            </w:r>
          </w:p>
          <w:p w14:paraId="5F4EFD5D">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根据道路等级、沿线气候、水文、地质、交通量和筑路材料等条件，拟建项目路段经常走重车因此本项目采用重点交通设计拟定了路面方案：</w:t>
            </w:r>
          </w:p>
          <w:p w14:paraId="06D30744">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面层：24cm普通水泥混凝土</w:t>
            </w:r>
          </w:p>
          <w:p w14:paraId="6DFDE393">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基层：20cm4.5%水泥稳定级配碎石</w:t>
            </w:r>
          </w:p>
          <w:p w14:paraId="60C652FE">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底基层：20cm4.0%水泥稳定级配碎石</w:t>
            </w:r>
          </w:p>
          <w:p w14:paraId="6BC8A780">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为了提高路面抗滑能力，采用普通硅酸盐水泥混凝土路面并做拉毛处理，路面表面构造深度控制在0.50-1.00mm之间。水泥混凝土道路路面横向缩缝采用假缝形式。横向胀缝设置在不同道路衔接处，本项目在道路起终点处设置了2对胀缝，邻近胀缝的3道缩缝设置传力杆。</w:t>
            </w:r>
          </w:p>
          <w:p w14:paraId="673CD022">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2.2道路平面</w:t>
            </w:r>
          </w:p>
          <w:p w14:paraId="0445CF20">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smallCaps w:val="0"/>
                <w:color w:val="auto"/>
                <w:highlight w:val="none"/>
              </w:rPr>
              <w:t>本项目路线为现有道路改造建设项目，按照以充分利用现有旧路不侵占基本农田为原则，将旧路线形采用凸型曲线、圆曲线等拟合回归后均满足设计速度40</w:t>
            </w:r>
            <w:r>
              <w:rPr>
                <w:rFonts w:hint="eastAsia" w:ascii="宋体" w:hAnsi="宋体" w:eastAsia="宋体" w:cs="宋体"/>
                <w:smallCaps w:val="0"/>
                <w:color w:val="auto"/>
                <w:highlight w:val="none"/>
                <w:lang w:val="en-US" w:eastAsia="zh-CN"/>
              </w:rPr>
              <w:t>k</w:t>
            </w:r>
            <w:r>
              <w:rPr>
                <w:rFonts w:hint="eastAsia" w:ascii="宋体" w:hAnsi="宋体" w:eastAsia="宋体" w:cs="宋体"/>
                <w:smallCaps w:val="0"/>
                <w:color w:val="auto"/>
                <w:highlight w:val="none"/>
              </w:rPr>
              <w:t>m/h的线形指标，旧路线型利用率100%，全长为2.125</w:t>
            </w:r>
            <w:r>
              <w:rPr>
                <w:rFonts w:hint="eastAsia" w:ascii="宋体" w:hAnsi="宋体" w:eastAsia="宋体" w:cs="宋体"/>
                <w:smallCaps w:val="0"/>
                <w:color w:val="auto"/>
                <w:highlight w:val="none"/>
                <w:lang w:val="en-US" w:eastAsia="zh-CN"/>
              </w:rPr>
              <w:t>k</w:t>
            </w:r>
            <w:r>
              <w:rPr>
                <w:rFonts w:hint="eastAsia" w:ascii="宋体" w:hAnsi="宋体" w:eastAsia="宋体" w:cs="宋体"/>
                <w:smallCaps w:val="0"/>
                <w:color w:val="auto"/>
                <w:highlight w:val="none"/>
              </w:rPr>
              <w:t>m。该平面线形控制仍以旧路线形回归为原则</w:t>
            </w:r>
            <w:r>
              <w:rPr>
                <w:rFonts w:hint="eastAsia" w:ascii="宋体" w:hAnsi="宋体" w:eastAsia="宋体" w:cs="宋体"/>
                <w:smallCaps w:val="0"/>
                <w:color w:val="auto"/>
                <w:highlight w:val="none"/>
                <w:lang w:eastAsia="zh-CN"/>
              </w:rPr>
              <w:t>，</w:t>
            </w:r>
            <w:r>
              <w:rPr>
                <w:rFonts w:hint="eastAsia" w:ascii="宋体" w:hAnsi="宋体" w:eastAsia="宋体" w:cs="宋体"/>
                <w:smallCaps w:val="0"/>
                <w:color w:val="auto"/>
                <w:highlight w:val="none"/>
              </w:rPr>
              <w:t>维持旧路线形不变。全线设圆曲线8个</w:t>
            </w:r>
            <w:r>
              <w:rPr>
                <w:rFonts w:hint="eastAsia" w:ascii="宋体" w:hAnsi="宋体" w:eastAsia="宋体" w:cs="宋体"/>
                <w:smallCaps w:val="0"/>
                <w:color w:val="auto"/>
                <w:highlight w:val="none"/>
                <w:lang w:eastAsia="zh-CN"/>
              </w:rPr>
              <w:t>，</w:t>
            </w:r>
            <w:r>
              <w:rPr>
                <w:rFonts w:hint="eastAsia" w:ascii="宋体" w:hAnsi="宋体" w:eastAsia="宋体" w:cs="宋体"/>
                <w:smallCaps w:val="0"/>
                <w:color w:val="auto"/>
                <w:highlight w:val="none"/>
              </w:rPr>
              <w:t>最小半径90m。</w:t>
            </w:r>
          </w:p>
          <w:p w14:paraId="5F1EE23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p>
          <w:p w14:paraId="6A5F491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表2-2 平面设计指标及采用值</w:t>
            </w:r>
          </w:p>
          <w:tbl>
            <w:tblPr>
              <w:tblStyle w:val="33"/>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2670"/>
              <w:gridCol w:w="1617"/>
              <w:gridCol w:w="1405"/>
              <w:gridCol w:w="1132"/>
            </w:tblGrid>
            <w:tr w14:paraId="26244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restart"/>
                  <w:tcBorders>
                    <w:top w:val="single" w:color="auto" w:sz="12" w:space="0"/>
                    <w:left w:val="nil"/>
                  </w:tcBorders>
                  <w:noWrap w:val="0"/>
                  <w:vAlign w:val="center"/>
                </w:tcPr>
                <w:p w14:paraId="201C38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项目</w:t>
                  </w:r>
                </w:p>
              </w:tc>
              <w:tc>
                <w:tcPr>
                  <w:tcW w:w="2708" w:type="pct"/>
                  <w:gridSpan w:val="2"/>
                  <w:tcBorders>
                    <w:top w:val="single" w:color="auto" w:sz="12" w:space="0"/>
                  </w:tcBorders>
                  <w:noWrap w:val="0"/>
                  <w:vAlign w:val="center"/>
                </w:tcPr>
                <w:p w14:paraId="3D6D6F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设计速度（km/h）</w:t>
                  </w:r>
                </w:p>
              </w:tc>
              <w:tc>
                <w:tcPr>
                  <w:tcW w:w="1603" w:type="pct"/>
                  <w:gridSpan w:val="2"/>
                  <w:tcBorders>
                    <w:top w:val="single" w:color="auto" w:sz="12" w:space="0"/>
                    <w:right w:val="nil"/>
                  </w:tcBorders>
                  <w:noWrap w:val="0"/>
                  <w:vAlign w:val="center"/>
                </w:tcPr>
                <w:p w14:paraId="667A62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40</w:t>
                  </w:r>
                </w:p>
              </w:tc>
            </w:tr>
            <w:tr w14:paraId="12C15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0"/>
                  <w:vAlign w:val="center"/>
                </w:tcPr>
                <w:p w14:paraId="4A3CC5D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2708" w:type="pct"/>
                  <w:gridSpan w:val="2"/>
                  <w:noWrap w:val="0"/>
                  <w:vAlign w:val="center"/>
                </w:tcPr>
                <w:p w14:paraId="4B73EA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线性指标值</w:t>
                  </w:r>
                </w:p>
              </w:tc>
              <w:tc>
                <w:tcPr>
                  <w:tcW w:w="887" w:type="pct"/>
                  <w:noWrap w:val="0"/>
                  <w:vAlign w:val="center"/>
                </w:tcPr>
                <w:p w14:paraId="1472F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规范规定值</w:t>
                  </w:r>
                </w:p>
              </w:tc>
              <w:tc>
                <w:tcPr>
                  <w:tcW w:w="715" w:type="pct"/>
                  <w:tcBorders>
                    <w:right w:val="nil"/>
                  </w:tcBorders>
                  <w:noWrap w:val="0"/>
                  <w:vAlign w:val="center"/>
                </w:tcPr>
                <w:p w14:paraId="44C00F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采用值</w:t>
                  </w:r>
                </w:p>
              </w:tc>
            </w:tr>
            <w:tr w14:paraId="426B1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restart"/>
                  <w:tcBorders>
                    <w:left w:val="nil"/>
                  </w:tcBorders>
                  <w:noWrap w:val="0"/>
                  <w:vAlign w:val="center"/>
                </w:tcPr>
                <w:p w14:paraId="22371C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kern w:val="0"/>
                      <w:sz w:val="21"/>
                      <w:szCs w:val="21"/>
                      <w:highlight w:val="none"/>
                      <w:u w:val="none"/>
                      <w:lang w:val="en-US" w:eastAsia="zh-CN" w:bidi="ar"/>
                    </w:rPr>
                  </w:pPr>
                  <w:r>
                    <w:rPr>
                      <w:rFonts w:hint="eastAsia" w:ascii="宋体" w:hAnsi="宋体" w:eastAsia="宋体" w:cs="宋体"/>
                      <w:i w:val="0"/>
                      <w:iCs w:val="0"/>
                      <w:smallCaps w:val="0"/>
                      <w:color w:val="auto"/>
                      <w:kern w:val="0"/>
                      <w:sz w:val="21"/>
                      <w:szCs w:val="21"/>
                      <w:highlight w:val="none"/>
                      <w:u w:val="none"/>
                      <w:lang w:val="en-US" w:eastAsia="zh-CN" w:bidi="ar"/>
                    </w:rPr>
                    <w:t>圆曲线</w:t>
                  </w:r>
                </w:p>
                <w:p w14:paraId="518A88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半径</w:t>
                  </w:r>
                </w:p>
              </w:tc>
              <w:tc>
                <w:tcPr>
                  <w:tcW w:w="2708" w:type="pct"/>
                  <w:gridSpan w:val="2"/>
                  <w:noWrap w:val="0"/>
                  <w:vAlign w:val="center"/>
                </w:tcPr>
                <w:p w14:paraId="7E77E7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不设超高最小半径（m）</w:t>
                  </w:r>
                </w:p>
              </w:tc>
              <w:tc>
                <w:tcPr>
                  <w:tcW w:w="887" w:type="pct"/>
                  <w:noWrap w:val="0"/>
                  <w:vAlign w:val="center"/>
                </w:tcPr>
                <w:p w14:paraId="2CA483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300</w:t>
                  </w:r>
                </w:p>
              </w:tc>
              <w:tc>
                <w:tcPr>
                  <w:tcW w:w="715" w:type="pct"/>
                  <w:tcBorders>
                    <w:right w:val="nil"/>
                  </w:tcBorders>
                  <w:noWrap w:val="0"/>
                  <w:vAlign w:val="center"/>
                </w:tcPr>
                <w:p w14:paraId="0E72B1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p>
              </w:tc>
            </w:tr>
            <w:tr w14:paraId="27DE6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0"/>
                  <w:vAlign w:val="center"/>
                </w:tcPr>
                <w:p w14:paraId="1535A5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p>
              </w:tc>
              <w:tc>
                <w:tcPr>
                  <w:tcW w:w="1687" w:type="pct"/>
                  <w:vMerge w:val="restart"/>
                  <w:noWrap w:val="0"/>
                  <w:vAlign w:val="center"/>
                </w:tcPr>
                <w:p w14:paraId="3E895A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设超高最小半径</w:t>
                  </w:r>
                </w:p>
              </w:tc>
              <w:tc>
                <w:tcPr>
                  <w:tcW w:w="1021" w:type="pct"/>
                  <w:noWrap w:val="0"/>
                  <w:vAlign w:val="center"/>
                </w:tcPr>
                <w:p w14:paraId="19C413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一般值（m）</w:t>
                  </w:r>
                </w:p>
              </w:tc>
              <w:tc>
                <w:tcPr>
                  <w:tcW w:w="887" w:type="pct"/>
                  <w:noWrap w:val="0"/>
                  <w:vAlign w:val="center"/>
                </w:tcPr>
                <w:p w14:paraId="7B396F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150</w:t>
                  </w:r>
                </w:p>
              </w:tc>
              <w:tc>
                <w:tcPr>
                  <w:tcW w:w="715" w:type="pct"/>
                  <w:tcBorders>
                    <w:right w:val="nil"/>
                  </w:tcBorders>
                  <w:noWrap w:val="0"/>
                  <w:vAlign w:val="center"/>
                </w:tcPr>
                <w:p w14:paraId="431FEC6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lang w:val="en-US" w:eastAsia="zh-CN"/>
                    </w:rPr>
                  </w:pPr>
                  <w:r>
                    <w:rPr>
                      <w:rFonts w:hint="eastAsia" w:ascii="宋体" w:hAnsi="宋体" w:eastAsia="宋体" w:cs="宋体"/>
                      <w:i w:val="0"/>
                      <w:iCs w:val="0"/>
                      <w:smallCaps w:val="0"/>
                      <w:color w:val="auto"/>
                      <w:sz w:val="21"/>
                      <w:szCs w:val="21"/>
                      <w:highlight w:val="none"/>
                      <w:u w:val="none"/>
                      <w:lang w:val="en-US" w:eastAsia="zh-CN"/>
                    </w:rPr>
                    <w:t>90</w:t>
                  </w:r>
                </w:p>
              </w:tc>
            </w:tr>
            <w:tr w14:paraId="09C9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ign w:val="center"/>
                </w:tcPr>
                <w:p w14:paraId="72AEA40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687" w:type="pct"/>
                  <w:vMerge w:val="continue"/>
                  <w:noWrap w:val="0"/>
                  <w:vAlign w:val="center"/>
                </w:tcPr>
                <w:p w14:paraId="75D5215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21" w:type="pct"/>
                  <w:noWrap w:val="0"/>
                  <w:vAlign w:val="center"/>
                </w:tcPr>
                <w:p w14:paraId="0B124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极限值（m）</w:t>
                  </w:r>
                </w:p>
              </w:tc>
              <w:tc>
                <w:tcPr>
                  <w:tcW w:w="887" w:type="pct"/>
                  <w:noWrap w:val="0"/>
                  <w:vAlign w:val="center"/>
                </w:tcPr>
                <w:p w14:paraId="69DD8C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70</w:t>
                  </w:r>
                </w:p>
              </w:tc>
              <w:tc>
                <w:tcPr>
                  <w:tcW w:w="715" w:type="pct"/>
                  <w:tcBorders>
                    <w:right w:val="nil"/>
                  </w:tcBorders>
                  <w:noWrap w:val="0"/>
                  <w:vAlign w:val="center"/>
                </w:tcPr>
                <w:p w14:paraId="69D76CB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08D7E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ign w:val="center"/>
                </w:tcPr>
                <w:p w14:paraId="68D599E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687" w:type="pct"/>
                  <w:noWrap w:val="0"/>
                  <w:vAlign w:val="center"/>
                </w:tcPr>
                <w:p w14:paraId="0B2282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不设缓和曲线最小半径（m）</w:t>
                  </w:r>
                </w:p>
              </w:tc>
              <w:tc>
                <w:tcPr>
                  <w:tcW w:w="1021" w:type="pct"/>
                  <w:noWrap w:val="0"/>
                  <w:vAlign w:val="center"/>
                </w:tcPr>
                <w:p w14:paraId="6D0099F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887" w:type="pct"/>
                  <w:noWrap w:val="0"/>
                  <w:vAlign w:val="center"/>
                </w:tcPr>
                <w:p w14:paraId="129798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500</w:t>
                  </w:r>
                </w:p>
              </w:tc>
              <w:tc>
                <w:tcPr>
                  <w:tcW w:w="715" w:type="pct"/>
                  <w:tcBorders>
                    <w:right w:val="nil"/>
                  </w:tcBorders>
                  <w:noWrap w:val="0"/>
                  <w:vAlign w:val="center"/>
                </w:tcPr>
                <w:p w14:paraId="5DF9FD8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1546C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restart"/>
                  <w:tcBorders>
                    <w:left w:val="nil"/>
                  </w:tcBorders>
                  <w:noWrap w:val="0"/>
                  <w:vAlign w:val="center"/>
                </w:tcPr>
                <w:p w14:paraId="0AFBAA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曲线长度</w:t>
                  </w:r>
                </w:p>
              </w:tc>
              <w:tc>
                <w:tcPr>
                  <w:tcW w:w="1687" w:type="pct"/>
                  <w:vMerge w:val="restart"/>
                  <w:noWrap w:val="0"/>
                  <w:vAlign w:val="center"/>
                </w:tcPr>
                <w:p w14:paraId="5C8BE7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平曲线最小长度</w:t>
                  </w:r>
                </w:p>
              </w:tc>
              <w:tc>
                <w:tcPr>
                  <w:tcW w:w="1021" w:type="pct"/>
                  <w:noWrap w:val="0"/>
                  <w:vAlign w:val="center"/>
                </w:tcPr>
                <w:p w14:paraId="0C6F94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一般值（m）</w:t>
                  </w:r>
                </w:p>
              </w:tc>
              <w:tc>
                <w:tcPr>
                  <w:tcW w:w="887" w:type="pct"/>
                  <w:noWrap w:val="0"/>
                  <w:vAlign w:val="center"/>
                </w:tcPr>
                <w:p w14:paraId="143F7E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110</w:t>
                  </w:r>
                </w:p>
              </w:tc>
              <w:tc>
                <w:tcPr>
                  <w:tcW w:w="715" w:type="pct"/>
                  <w:tcBorders>
                    <w:right w:val="nil"/>
                  </w:tcBorders>
                  <w:noWrap w:val="0"/>
                  <w:vAlign w:val="center"/>
                </w:tcPr>
                <w:p w14:paraId="7794802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4C21D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0"/>
                  <w:vAlign w:val="center"/>
                </w:tcPr>
                <w:p w14:paraId="04FF6E7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687" w:type="pct"/>
                  <w:vMerge w:val="continue"/>
                  <w:noWrap w:val="0"/>
                  <w:vAlign w:val="center"/>
                </w:tcPr>
                <w:p w14:paraId="66996F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21" w:type="pct"/>
                  <w:noWrap w:val="0"/>
                  <w:vAlign w:val="center"/>
                </w:tcPr>
                <w:p w14:paraId="5B9DA2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极限值（m）</w:t>
                  </w:r>
                </w:p>
              </w:tc>
              <w:tc>
                <w:tcPr>
                  <w:tcW w:w="887" w:type="pct"/>
                  <w:noWrap w:val="0"/>
                  <w:vAlign w:val="center"/>
                </w:tcPr>
                <w:p w14:paraId="1BDD9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70</w:t>
                  </w:r>
                </w:p>
              </w:tc>
              <w:tc>
                <w:tcPr>
                  <w:tcW w:w="715" w:type="pct"/>
                  <w:tcBorders>
                    <w:right w:val="nil"/>
                  </w:tcBorders>
                  <w:noWrap w:val="0"/>
                  <w:vAlign w:val="center"/>
                </w:tcPr>
                <w:p w14:paraId="4C9C6D8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08777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0"/>
                  <w:vAlign w:val="center"/>
                </w:tcPr>
                <w:p w14:paraId="22C198F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2708" w:type="pct"/>
                  <w:gridSpan w:val="2"/>
                  <w:noWrap w:val="0"/>
                  <w:vAlign w:val="center"/>
                </w:tcPr>
                <w:p w14:paraId="0CA68B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圆曲线最小长度（m）</w:t>
                  </w:r>
                </w:p>
              </w:tc>
              <w:tc>
                <w:tcPr>
                  <w:tcW w:w="887" w:type="pct"/>
                  <w:noWrap w:val="0"/>
                  <w:vAlign w:val="center"/>
                </w:tcPr>
                <w:p w14:paraId="6057B2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35</w:t>
                  </w:r>
                </w:p>
              </w:tc>
              <w:tc>
                <w:tcPr>
                  <w:tcW w:w="715" w:type="pct"/>
                  <w:tcBorders>
                    <w:right w:val="nil"/>
                  </w:tcBorders>
                  <w:noWrap w:val="0"/>
                  <w:vAlign w:val="center"/>
                </w:tcPr>
                <w:p w14:paraId="3C5377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p>
              </w:tc>
            </w:tr>
            <w:tr w14:paraId="360E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vMerge w:val="continue"/>
                  <w:tcBorders>
                    <w:left w:val="nil"/>
                  </w:tcBorders>
                  <w:noWrap w:val="0"/>
                  <w:vAlign w:val="center"/>
                </w:tcPr>
                <w:p w14:paraId="1D0AB0B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2708" w:type="pct"/>
                  <w:gridSpan w:val="2"/>
                  <w:noWrap w:val="0"/>
                  <w:vAlign w:val="center"/>
                </w:tcPr>
                <w:p w14:paraId="514720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缓和曲线最小长度（m）</w:t>
                  </w:r>
                </w:p>
              </w:tc>
              <w:tc>
                <w:tcPr>
                  <w:tcW w:w="887" w:type="pct"/>
                  <w:noWrap w:val="0"/>
                  <w:vAlign w:val="center"/>
                </w:tcPr>
                <w:p w14:paraId="791BE9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35</w:t>
                  </w:r>
                </w:p>
              </w:tc>
              <w:tc>
                <w:tcPr>
                  <w:tcW w:w="715" w:type="pct"/>
                  <w:tcBorders>
                    <w:right w:val="nil"/>
                  </w:tcBorders>
                  <w:noWrap w:val="0"/>
                  <w:vAlign w:val="center"/>
                </w:tcPr>
                <w:p w14:paraId="3723F14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08AB2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7" w:type="pct"/>
                  <w:tcBorders>
                    <w:left w:val="nil"/>
                    <w:bottom w:val="single" w:color="auto" w:sz="12" w:space="0"/>
                  </w:tcBorders>
                  <w:noWrap w:val="0"/>
                  <w:vAlign w:val="center"/>
                </w:tcPr>
                <w:p w14:paraId="0D34A4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超高横坡</w:t>
                  </w:r>
                </w:p>
              </w:tc>
              <w:tc>
                <w:tcPr>
                  <w:tcW w:w="2708" w:type="pct"/>
                  <w:gridSpan w:val="2"/>
                  <w:tcBorders>
                    <w:bottom w:val="single" w:color="auto" w:sz="12" w:space="0"/>
                  </w:tcBorders>
                  <w:noWrap w:val="0"/>
                  <w:vAlign w:val="center"/>
                </w:tcPr>
                <w:p w14:paraId="76A49E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最大超高横坡（%）</w:t>
                  </w:r>
                </w:p>
              </w:tc>
              <w:tc>
                <w:tcPr>
                  <w:tcW w:w="887" w:type="pct"/>
                  <w:tcBorders>
                    <w:bottom w:val="single" w:color="auto" w:sz="12" w:space="0"/>
                  </w:tcBorders>
                  <w:noWrap w:val="0"/>
                  <w:vAlign w:val="center"/>
                </w:tcPr>
                <w:p w14:paraId="512266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2</w:t>
                  </w:r>
                </w:p>
              </w:tc>
              <w:tc>
                <w:tcPr>
                  <w:tcW w:w="715" w:type="pct"/>
                  <w:tcBorders>
                    <w:bottom w:val="single" w:color="auto" w:sz="12" w:space="0"/>
                    <w:right w:val="nil"/>
                  </w:tcBorders>
                  <w:noWrap w:val="0"/>
                  <w:vAlign w:val="center"/>
                </w:tcPr>
                <w:p w14:paraId="59E3CEE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bl>
          <w:p w14:paraId="3263A118">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2.3道路纵断面</w:t>
            </w:r>
          </w:p>
          <w:p w14:paraId="5740A84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表2-3 纵断面设计指标及采用值</w:t>
            </w:r>
          </w:p>
          <w:tbl>
            <w:tblPr>
              <w:tblStyle w:val="33"/>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1603"/>
              <w:gridCol w:w="1919"/>
              <w:gridCol w:w="738"/>
              <w:gridCol w:w="1410"/>
              <w:gridCol w:w="1154"/>
            </w:tblGrid>
            <w:tr w14:paraId="0E2A2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restart"/>
                  <w:tcBorders>
                    <w:top w:val="single" w:color="auto" w:sz="12" w:space="0"/>
                    <w:left w:val="nil"/>
                  </w:tcBorders>
                  <w:noWrap w:val="0"/>
                  <w:vAlign w:val="center"/>
                </w:tcPr>
                <w:p w14:paraId="3700E7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项目</w:t>
                  </w:r>
                </w:p>
              </w:tc>
              <w:tc>
                <w:tcPr>
                  <w:tcW w:w="2682" w:type="pct"/>
                  <w:gridSpan w:val="3"/>
                  <w:tcBorders>
                    <w:top w:val="single" w:color="auto" w:sz="12" w:space="0"/>
                  </w:tcBorders>
                  <w:noWrap w:val="0"/>
                  <w:vAlign w:val="center"/>
                </w:tcPr>
                <w:p w14:paraId="3067C3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设计速度（km/h）</w:t>
                  </w:r>
                </w:p>
              </w:tc>
              <w:tc>
                <w:tcPr>
                  <w:tcW w:w="1614" w:type="pct"/>
                  <w:gridSpan w:val="2"/>
                  <w:tcBorders>
                    <w:top w:val="single" w:color="auto" w:sz="12" w:space="0"/>
                    <w:right w:val="nil"/>
                  </w:tcBorders>
                  <w:noWrap w:val="0"/>
                  <w:vAlign w:val="center"/>
                </w:tcPr>
                <w:p w14:paraId="3FBC07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smallCaps w:val="0"/>
                      <w:color w:val="auto"/>
                      <w:sz w:val="21"/>
                      <w:szCs w:val="21"/>
                      <w:highlight w:val="none"/>
                      <w:u w:val="none"/>
                    </w:rPr>
                  </w:pPr>
                  <w:r>
                    <w:rPr>
                      <w:rFonts w:hint="eastAsia" w:ascii="宋体" w:hAnsi="宋体" w:eastAsia="宋体" w:cs="宋体"/>
                      <w:b/>
                      <w:bCs/>
                      <w:i w:val="0"/>
                      <w:iCs w:val="0"/>
                      <w:smallCaps w:val="0"/>
                      <w:color w:val="auto"/>
                      <w:kern w:val="0"/>
                      <w:sz w:val="21"/>
                      <w:szCs w:val="21"/>
                      <w:highlight w:val="none"/>
                      <w:u w:val="none"/>
                      <w:lang w:val="en-US" w:eastAsia="zh-CN" w:bidi="ar"/>
                    </w:rPr>
                    <w:t>40</w:t>
                  </w:r>
                </w:p>
              </w:tc>
            </w:tr>
            <w:tr w14:paraId="6128E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continue"/>
                  <w:tcBorders>
                    <w:left w:val="nil"/>
                  </w:tcBorders>
                  <w:noWrap w:val="0"/>
                  <w:vAlign w:val="center"/>
                </w:tcPr>
                <w:p w14:paraId="480831C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09" w:type="pct"/>
                  <w:noWrap w:val="0"/>
                  <w:vAlign w:val="center"/>
                </w:tcPr>
                <w:p w14:paraId="78538E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线形指标</w:t>
                  </w:r>
                </w:p>
              </w:tc>
              <w:tc>
                <w:tcPr>
                  <w:tcW w:w="1208" w:type="pct"/>
                  <w:noWrap w:val="0"/>
                  <w:vAlign w:val="center"/>
                </w:tcPr>
                <w:p w14:paraId="55195B7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464" w:type="pct"/>
                  <w:noWrap w:val="0"/>
                  <w:vAlign w:val="center"/>
                </w:tcPr>
                <w:p w14:paraId="6D4B6E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887" w:type="pct"/>
                  <w:noWrap w:val="0"/>
                  <w:vAlign w:val="center"/>
                </w:tcPr>
                <w:p w14:paraId="51E51B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规范规定值</w:t>
                  </w:r>
                </w:p>
              </w:tc>
              <w:tc>
                <w:tcPr>
                  <w:tcW w:w="726" w:type="pct"/>
                  <w:tcBorders>
                    <w:right w:val="nil"/>
                  </w:tcBorders>
                  <w:noWrap w:val="0"/>
                  <w:vAlign w:val="center"/>
                </w:tcPr>
                <w:p w14:paraId="65BB35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采用值</w:t>
                  </w:r>
                </w:p>
              </w:tc>
            </w:tr>
            <w:tr w14:paraId="2C93D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restart"/>
                  <w:tcBorders>
                    <w:left w:val="nil"/>
                  </w:tcBorders>
                  <w:noWrap w:val="0"/>
                  <w:vAlign w:val="center"/>
                </w:tcPr>
                <w:p w14:paraId="221C47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坡度</w:t>
                  </w:r>
                </w:p>
              </w:tc>
              <w:tc>
                <w:tcPr>
                  <w:tcW w:w="1009" w:type="pct"/>
                  <w:noWrap w:val="0"/>
                  <w:vAlign w:val="center"/>
                </w:tcPr>
                <w:p w14:paraId="03C5C1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最小纵坡</w:t>
                  </w:r>
                </w:p>
              </w:tc>
              <w:tc>
                <w:tcPr>
                  <w:tcW w:w="1208" w:type="pct"/>
                  <w:noWrap w:val="0"/>
                  <w:vAlign w:val="center"/>
                </w:tcPr>
                <w:p w14:paraId="05BD86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w:t>
                  </w:r>
                </w:p>
              </w:tc>
              <w:tc>
                <w:tcPr>
                  <w:tcW w:w="464" w:type="pct"/>
                  <w:noWrap w:val="0"/>
                  <w:vAlign w:val="center"/>
                </w:tcPr>
                <w:p w14:paraId="1CC02E3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887" w:type="pct"/>
                  <w:noWrap w:val="0"/>
                  <w:vAlign w:val="center"/>
                </w:tcPr>
                <w:p w14:paraId="61D224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0.3</w:t>
                  </w:r>
                </w:p>
              </w:tc>
              <w:tc>
                <w:tcPr>
                  <w:tcW w:w="726" w:type="pct"/>
                  <w:tcBorders>
                    <w:right w:val="nil"/>
                  </w:tcBorders>
                  <w:noWrap w:val="0"/>
                  <w:vAlign w:val="center"/>
                </w:tcPr>
                <w:p w14:paraId="78EBA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p>
              </w:tc>
            </w:tr>
            <w:tr w14:paraId="2461A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continue"/>
                  <w:tcBorders>
                    <w:left w:val="nil"/>
                  </w:tcBorders>
                  <w:noWrap w:val="0"/>
                  <w:vAlign w:val="center"/>
                </w:tcPr>
                <w:p w14:paraId="73F25F8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09" w:type="pct"/>
                  <w:noWrap w:val="0"/>
                  <w:vAlign w:val="center"/>
                </w:tcPr>
                <w:p w14:paraId="4C4753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最大超高横坡</w:t>
                  </w:r>
                </w:p>
              </w:tc>
              <w:tc>
                <w:tcPr>
                  <w:tcW w:w="1208" w:type="pct"/>
                  <w:noWrap w:val="0"/>
                  <w:vAlign w:val="center"/>
                </w:tcPr>
                <w:p w14:paraId="3B0A3D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w:t>
                  </w:r>
                </w:p>
              </w:tc>
              <w:tc>
                <w:tcPr>
                  <w:tcW w:w="464" w:type="pct"/>
                  <w:noWrap w:val="0"/>
                  <w:vAlign w:val="center"/>
                </w:tcPr>
                <w:p w14:paraId="6FAD43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887" w:type="pct"/>
                  <w:noWrap w:val="0"/>
                  <w:vAlign w:val="center"/>
                </w:tcPr>
                <w:p w14:paraId="6EE79D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2</w:t>
                  </w:r>
                </w:p>
              </w:tc>
              <w:tc>
                <w:tcPr>
                  <w:tcW w:w="726" w:type="pct"/>
                  <w:tcBorders>
                    <w:right w:val="nil"/>
                  </w:tcBorders>
                  <w:noWrap w:val="0"/>
                  <w:vAlign w:val="center"/>
                </w:tcPr>
                <w:p w14:paraId="194B435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1381B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continue"/>
                  <w:tcBorders>
                    <w:left w:val="nil"/>
                  </w:tcBorders>
                  <w:noWrap w:val="0"/>
                  <w:vAlign w:val="center"/>
                </w:tcPr>
                <w:p w14:paraId="77E8EDC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09" w:type="pct"/>
                  <w:vMerge w:val="restart"/>
                  <w:noWrap w:val="0"/>
                  <w:vAlign w:val="center"/>
                </w:tcPr>
                <w:p w14:paraId="056F25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最大纵坡</w:t>
                  </w:r>
                </w:p>
              </w:tc>
              <w:tc>
                <w:tcPr>
                  <w:tcW w:w="1208" w:type="pct"/>
                  <w:noWrap w:val="0"/>
                  <w:vAlign w:val="center"/>
                </w:tcPr>
                <w:p w14:paraId="79E8A6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一般值</w:t>
                  </w:r>
                </w:p>
              </w:tc>
              <w:tc>
                <w:tcPr>
                  <w:tcW w:w="464" w:type="pct"/>
                  <w:noWrap w:val="0"/>
                  <w:vAlign w:val="center"/>
                </w:tcPr>
                <w:p w14:paraId="2C5C09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w:t>
                  </w:r>
                </w:p>
              </w:tc>
              <w:tc>
                <w:tcPr>
                  <w:tcW w:w="887" w:type="pct"/>
                  <w:noWrap w:val="0"/>
                  <w:vAlign w:val="center"/>
                </w:tcPr>
                <w:p w14:paraId="0E094D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6</w:t>
                  </w:r>
                </w:p>
              </w:tc>
              <w:tc>
                <w:tcPr>
                  <w:tcW w:w="726" w:type="pct"/>
                  <w:tcBorders>
                    <w:right w:val="nil"/>
                  </w:tcBorders>
                  <w:noWrap w:val="0"/>
                  <w:vAlign w:val="center"/>
                </w:tcPr>
                <w:p w14:paraId="73F624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lang w:val="en-US" w:eastAsia="zh-CN"/>
                    </w:rPr>
                  </w:pPr>
                  <w:r>
                    <w:rPr>
                      <w:rFonts w:hint="eastAsia" w:ascii="宋体" w:hAnsi="宋体" w:eastAsia="宋体" w:cs="宋体"/>
                      <w:i w:val="0"/>
                      <w:iCs w:val="0"/>
                      <w:smallCaps w:val="0"/>
                      <w:color w:val="auto"/>
                      <w:sz w:val="21"/>
                      <w:szCs w:val="21"/>
                      <w:highlight w:val="none"/>
                      <w:u w:val="none"/>
                      <w:lang w:val="en-US" w:eastAsia="zh-CN"/>
                    </w:rPr>
                    <w:t>2.21</w:t>
                  </w:r>
                </w:p>
              </w:tc>
            </w:tr>
            <w:tr w14:paraId="25DC3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2" w:type="pct"/>
                  <w:vMerge w:val="continue"/>
                  <w:tcBorders>
                    <w:left w:val="nil"/>
                  </w:tcBorders>
                  <w:noWrap w:val="0"/>
                  <w:vAlign w:val="center"/>
                </w:tcPr>
                <w:p w14:paraId="61099D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009" w:type="pct"/>
                  <w:vMerge w:val="continue"/>
                  <w:noWrap w:val="0"/>
                  <w:vAlign w:val="center"/>
                </w:tcPr>
                <w:p w14:paraId="5298CEC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208" w:type="pct"/>
                  <w:noWrap w:val="0"/>
                  <w:vAlign w:val="center"/>
                </w:tcPr>
                <w:p w14:paraId="589287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极限值</w:t>
                  </w:r>
                </w:p>
              </w:tc>
              <w:tc>
                <w:tcPr>
                  <w:tcW w:w="464" w:type="pct"/>
                  <w:noWrap w:val="0"/>
                  <w:vAlign w:val="center"/>
                </w:tcPr>
                <w:p w14:paraId="4438EE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w:t>
                  </w:r>
                </w:p>
              </w:tc>
              <w:tc>
                <w:tcPr>
                  <w:tcW w:w="887" w:type="pct"/>
                  <w:noWrap w:val="0"/>
                  <w:vAlign w:val="center"/>
                </w:tcPr>
                <w:p w14:paraId="066C50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7</w:t>
                  </w:r>
                </w:p>
              </w:tc>
              <w:tc>
                <w:tcPr>
                  <w:tcW w:w="726" w:type="pct"/>
                  <w:tcBorders>
                    <w:right w:val="nil"/>
                  </w:tcBorders>
                  <w:noWrap w:val="0"/>
                  <w:vAlign w:val="center"/>
                </w:tcPr>
                <w:p w14:paraId="032D46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51CA3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tcBorders>
                    <w:left w:val="nil"/>
                  </w:tcBorders>
                  <w:noWrap w:val="0"/>
                  <w:vAlign w:val="center"/>
                </w:tcPr>
                <w:p w14:paraId="50D7B9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纵坡最小坡长</w:t>
                  </w:r>
                </w:p>
              </w:tc>
              <w:tc>
                <w:tcPr>
                  <w:tcW w:w="1208" w:type="pct"/>
                  <w:noWrap w:val="0"/>
                  <w:vAlign w:val="center"/>
                </w:tcPr>
                <w:p w14:paraId="0D42A9A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464" w:type="pct"/>
                  <w:noWrap w:val="0"/>
                  <w:vAlign w:val="center"/>
                </w:tcPr>
                <w:p w14:paraId="599015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45CB07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110</w:t>
                  </w:r>
                </w:p>
              </w:tc>
              <w:tc>
                <w:tcPr>
                  <w:tcW w:w="726" w:type="pct"/>
                  <w:tcBorders>
                    <w:right w:val="nil"/>
                  </w:tcBorders>
                  <w:noWrap w:val="0"/>
                  <w:vAlign w:val="center"/>
                </w:tcPr>
                <w:p w14:paraId="3FF284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lang w:val="en-US" w:eastAsia="zh-CN"/>
                    </w:rPr>
                  </w:pPr>
                  <w:r>
                    <w:rPr>
                      <w:rFonts w:hint="eastAsia" w:ascii="宋体" w:hAnsi="宋体" w:eastAsia="宋体" w:cs="宋体"/>
                      <w:i w:val="0"/>
                      <w:iCs w:val="0"/>
                      <w:smallCaps w:val="0"/>
                      <w:color w:val="auto"/>
                      <w:sz w:val="21"/>
                      <w:szCs w:val="21"/>
                      <w:highlight w:val="none"/>
                      <w:u w:val="none"/>
                      <w:lang w:val="en-US" w:eastAsia="zh-CN"/>
                    </w:rPr>
                    <w:t>150</w:t>
                  </w:r>
                </w:p>
              </w:tc>
            </w:tr>
            <w:tr w14:paraId="2C5E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restart"/>
                  <w:tcBorders>
                    <w:left w:val="nil"/>
                  </w:tcBorders>
                  <w:noWrap w:val="0"/>
                  <w:vAlign w:val="center"/>
                </w:tcPr>
                <w:p w14:paraId="658FB8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凸形竖曲线半径</w:t>
                  </w:r>
                </w:p>
              </w:tc>
              <w:tc>
                <w:tcPr>
                  <w:tcW w:w="1208" w:type="pct"/>
                  <w:noWrap w:val="0"/>
                  <w:vAlign w:val="center"/>
                </w:tcPr>
                <w:p w14:paraId="39E34B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一般最小半径</w:t>
                  </w:r>
                </w:p>
              </w:tc>
              <w:tc>
                <w:tcPr>
                  <w:tcW w:w="464" w:type="pct"/>
                  <w:noWrap w:val="0"/>
                  <w:vAlign w:val="center"/>
                </w:tcPr>
                <w:p w14:paraId="3FE3F3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24D4D1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600</w:t>
                  </w:r>
                </w:p>
              </w:tc>
              <w:tc>
                <w:tcPr>
                  <w:tcW w:w="726" w:type="pct"/>
                  <w:tcBorders>
                    <w:right w:val="nil"/>
                  </w:tcBorders>
                  <w:noWrap w:val="0"/>
                  <w:vAlign w:val="center"/>
                </w:tcPr>
                <w:p w14:paraId="1B35E1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lang w:val="en-US" w:eastAsia="zh-CN"/>
                    </w:rPr>
                  </w:pPr>
                  <w:r>
                    <w:rPr>
                      <w:rFonts w:hint="eastAsia" w:ascii="宋体" w:hAnsi="宋体" w:eastAsia="宋体" w:cs="宋体"/>
                      <w:i w:val="0"/>
                      <w:iCs w:val="0"/>
                      <w:smallCaps w:val="0"/>
                      <w:color w:val="auto"/>
                      <w:sz w:val="21"/>
                      <w:szCs w:val="21"/>
                      <w:highlight w:val="none"/>
                      <w:u w:val="none"/>
                      <w:lang w:val="en-US" w:eastAsia="zh-CN"/>
                    </w:rPr>
                    <w:t>6000</w:t>
                  </w:r>
                </w:p>
              </w:tc>
            </w:tr>
            <w:tr w14:paraId="40910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continue"/>
                  <w:tcBorders>
                    <w:left w:val="nil"/>
                  </w:tcBorders>
                  <w:noWrap w:val="0"/>
                  <w:vAlign w:val="center"/>
                </w:tcPr>
                <w:p w14:paraId="434E96D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208" w:type="pct"/>
                  <w:noWrap w:val="0"/>
                  <w:vAlign w:val="center"/>
                </w:tcPr>
                <w:p w14:paraId="78118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极限最小半径</w:t>
                  </w:r>
                </w:p>
              </w:tc>
              <w:tc>
                <w:tcPr>
                  <w:tcW w:w="464" w:type="pct"/>
                  <w:noWrap w:val="0"/>
                  <w:vAlign w:val="center"/>
                </w:tcPr>
                <w:p w14:paraId="19CBDD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063ABF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400</w:t>
                  </w:r>
                </w:p>
              </w:tc>
              <w:tc>
                <w:tcPr>
                  <w:tcW w:w="726" w:type="pct"/>
                  <w:tcBorders>
                    <w:right w:val="nil"/>
                  </w:tcBorders>
                  <w:noWrap w:val="0"/>
                  <w:vAlign w:val="center"/>
                </w:tcPr>
                <w:p w14:paraId="7C1DCB8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2BFFE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restart"/>
                  <w:tcBorders>
                    <w:left w:val="nil"/>
                  </w:tcBorders>
                  <w:noWrap w:val="0"/>
                  <w:vAlign w:val="center"/>
                </w:tcPr>
                <w:p w14:paraId="75A753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凹形竖曲线半径</w:t>
                  </w:r>
                </w:p>
              </w:tc>
              <w:tc>
                <w:tcPr>
                  <w:tcW w:w="1208" w:type="pct"/>
                  <w:noWrap w:val="0"/>
                  <w:vAlign w:val="center"/>
                </w:tcPr>
                <w:p w14:paraId="3F81FF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一般最小半径</w:t>
                  </w:r>
                </w:p>
              </w:tc>
              <w:tc>
                <w:tcPr>
                  <w:tcW w:w="464" w:type="pct"/>
                  <w:noWrap w:val="0"/>
                  <w:vAlign w:val="center"/>
                </w:tcPr>
                <w:p w14:paraId="5664F5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1468D1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700</w:t>
                  </w:r>
                </w:p>
              </w:tc>
              <w:tc>
                <w:tcPr>
                  <w:tcW w:w="726" w:type="pct"/>
                  <w:tcBorders>
                    <w:right w:val="nil"/>
                  </w:tcBorders>
                  <w:noWrap w:val="0"/>
                  <w:vAlign w:val="center"/>
                </w:tcPr>
                <w:p w14:paraId="189B84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lang w:val="en-US" w:eastAsia="zh-CN"/>
                    </w:rPr>
                  </w:pPr>
                  <w:r>
                    <w:rPr>
                      <w:rFonts w:hint="eastAsia" w:ascii="宋体" w:hAnsi="宋体" w:eastAsia="宋体" w:cs="宋体"/>
                      <w:i w:val="0"/>
                      <w:iCs w:val="0"/>
                      <w:smallCaps w:val="0"/>
                      <w:color w:val="auto"/>
                      <w:sz w:val="21"/>
                      <w:szCs w:val="21"/>
                      <w:highlight w:val="none"/>
                      <w:u w:val="none"/>
                      <w:lang w:val="en-US" w:eastAsia="zh-CN"/>
                    </w:rPr>
                    <w:t>6000</w:t>
                  </w:r>
                </w:p>
              </w:tc>
            </w:tr>
            <w:tr w14:paraId="29FBE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continue"/>
                  <w:tcBorders>
                    <w:left w:val="nil"/>
                  </w:tcBorders>
                  <w:noWrap w:val="0"/>
                  <w:vAlign w:val="center"/>
                </w:tcPr>
                <w:p w14:paraId="061A3B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208" w:type="pct"/>
                  <w:noWrap w:val="0"/>
                  <w:vAlign w:val="center"/>
                </w:tcPr>
                <w:p w14:paraId="3F59DE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极限最小半径</w:t>
                  </w:r>
                </w:p>
              </w:tc>
              <w:tc>
                <w:tcPr>
                  <w:tcW w:w="464" w:type="pct"/>
                  <w:noWrap w:val="0"/>
                  <w:vAlign w:val="center"/>
                </w:tcPr>
                <w:p w14:paraId="393C2B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2E2998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450</w:t>
                  </w:r>
                </w:p>
              </w:tc>
              <w:tc>
                <w:tcPr>
                  <w:tcW w:w="726" w:type="pct"/>
                  <w:tcBorders>
                    <w:right w:val="nil"/>
                  </w:tcBorders>
                  <w:noWrap w:val="0"/>
                  <w:vAlign w:val="center"/>
                </w:tcPr>
                <w:p w14:paraId="6A1C065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3F1DB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restart"/>
                  <w:tcBorders>
                    <w:left w:val="nil"/>
                  </w:tcBorders>
                  <w:noWrap w:val="0"/>
                  <w:vAlign w:val="center"/>
                </w:tcPr>
                <w:p w14:paraId="1847D5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竖曲线最小长度</w:t>
                  </w:r>
                </w:p>
              </w:tc>
              <w:tc>
                <w:tcPr>
                  <w:tcW w:w="1208" w:type="pct"/>
                  <w:noWrap w:val="0"/>
                  <w:vAlign w:val="center"/>
                </w:tcPr>
                <w:p w14:paraId="7755C6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一般值</w:t>
                  </w:r>
                </w:p>
              </w:tc>
              <w:tc>
                <w:tcPr>
                  <w:tcW w:w="464" w:type="pct"/>
                  <w:noWrap w:val="0"/>
                  <w:vAlign w:val="center"/>
                </w:tcPr>
                <w:p w14:paraId="2F7F2C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noWrap w:val="0"/>
                  <w:vAlign w:val="center"/>
                </w:tcPr>
                <w:p w14:paraId="2E9EB1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90</w:t>
                  </w:r>
                </w:p>
              </w:tc>
              <w:tc>
                <w:tcPr>
                  <w:tcW w:w="726" w:type="pct"/>
                  <w:tcBorders>
                    <w:right w:val="nil"/>
                  </w:tcBorders>
                  <w:noWrap w:val="0"/>
                  <w:vAlign w:val="center"/>
                </w:tcPr>
                <w:p w14:paraId="398C856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r>
            <w:tr w14:paraId="3F3C0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gridSpan w:val="2"/>
                  <w:vMerge w:val="continue"/>
                  <w:tcBorders>
                    <w:left w:val="nil"/>
                    <w:bottom w:val="single" w:color="auto" w:sz="12" w:space="0"/>
                  </w:tcBorders>
                  <w:noWrap w:val="0"/>
                  <w:vAlign w:val="center"/>
                </w:tcPr>
                <w:p w14:paraId="6BB132F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smallCaps w:val="0"/>
                      <w:color w:val="auto"/>
                      <w:sz w:val="21"/>
                      <w:szCs w:val="21"/>
                      <w:highlight w:val="none"/>
                      <w:u w:val="none"/>
                    </w:rPr>
                  </w:pPr>
                </w:p>
              </w:tc>
              <w:tc>
                <w:tcPr>
                  <w:tcW w:w="1208" w:type="pct"/>
                  <w:tcBorders>
                    <w:bottom w:val="single" w:color="auto" w:sz="12" w:space="0"/>
                  </w:tcBorders>
                  <w:noWrap w:val="0"/>
                  <w:vAlign w:val="center"/>
                </w:tcPr>
                <w:p w14:paraId="37496B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极限值</w:t>
                  </w:r>
                </w:p>
              </w:tc>
              <w:tc>
                <w:tcPr>
                  <w:tcW w:w="464" w:type="pct"/>
                  <w:tcBorders>
                    <w:bottom w:val="single" w:color="auto" w:sz="12" w:space="0"/>
                  </w:tcBorders>
                  <w:noWrap w:val="0"/>
                  <w:vAlign w:val="center"/>
                </w:tcPr>
                <w:p w14:paraId="3088BC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m</w:t>
                  </w:r>
                </w:p>
              </w:tc>
              <w:tc>
                <w:tcPr>
                  <w:tcW w:w="887" w:type="pct"/>
                  <w:tcBorders>
                    <w:bottom w:val="single" w:color="auto" w:sz="12" w:space="0"/>
                  </w:tcBorders>
                  <w:noWrap w:val="0"/>
                  <w:vAlign w:val="center"/>
                </w:tcPr>
                <w:p w14:paraId="6E3C6F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35</w:t>
                  </w:r>
                </w:p>
              </w:tc>
              <w:tc>
                <w:tcPr>
                  <w:tcW w:w="726" w:type="pct"/>
                  <w:tcBorders>
                    <w:bottom w:val="single" w:color="auto" w:sz="12" w:space="0"/>
                    <w:right w:val="nil"/>
                  </w:tcBorders>
                  <w:noWrap w:val="0"/>
                  <w:vAlign w:val="center"/>
                </w:tcPr>
                <w:p w14:paraId="0F28F2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lang w:val="en-US" w:eastAsia="zh-CN"/>
                    </w:rPr>
                  </w:pPr>
                </w:p>
              </w:tc>
            </w:tr>
          </w:tbl>
          <w:p w14:paraId="4D13F108">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2.4拉毛设计</w:t>
            </w:r>
          </w:p>
          <w:p w14:paraId="48B0DDB0">
            <w:pPr>
              <w:keepNext w:val="0"/>
              <w:keepLines w:val="0"/>
              <w:pageBreakBefore w:val="0"/>
              <w:widowControl w:val="0"/>
              <w:kinsoku/>
              <w:wordWrap/>
              <w:overflowPunct/>
              <w:topLinePunct w:val="0"/>
              <w:autoSpaceDE w:val="0"/>
              <w:autoSpaceDN w:val="0"/>
              <w:bidi w:val="0"/>
              <w:adjustRightInd w:val="0"/>
              <w:snapToGrid w:val="0"/>
              <w:ind w:firstLine="480" w:firstLineChars="200"/>
              <w:jc w:val="both"/>
              <w:textAlignment w:val="auto"/>
              <w:rPr>
                <w:rFonts w:hint="eastAsia" w:ascii="宋体" w:hAnsi="宋体" w:eastAsia="宋体" w:cs="宋体"/>
                <w:smallCaps w:val="0"/>
                <w:color w:val="auto"/>
                <w:kern w:val="2"/>
                <w:sz w:val="24"/>
                <w:highlight w:val="none"/>
                <w:lang w:val="en-US" w:eastAsia="zh-CN" w:bidi="ar-SA"/>
              </w:rPr>
            </w:pPr>
            <w:r>
              <w:rPr>
                <w:rFonts w:hint="eastAsia" w:ascii="宋体" w:hAnsi="宋体" w:eastAsia="宋体" w:cs="宋体"/>
                <w:b w:val="0"/>
                <w:bCs w:val="0"/>
                <w:smallCaps w:val="0"/>
                <w:color w:val="auto"/>
                <w:szCs w:val="24"/>
                <w:highlight w:val="none"/>
                <w:lang w:val="en-US" w:eastAsia="zh-CN"/>
              </w:rPr>
              <w:t>为</w:t>
            </w:r>
            <w:r>
              <w:rPr>
                <w:rFonts w:hint="eastAsia" w:ascii="宋体" w:hAnsi="宋体" w:eastAsia="宋体" w:cs="宋体"/>
                <w:smallCaps w:val="0"/>
                <w:color w:val="auto"/>
                <w:kern w:val="2"/>
                <w:sz w:val="24"/>
                <w:highlight w:val="none"/>
                <w:lang w:val="en-US" w:eastAsia="zh-CN" w:bidi="ar-SA"/>
              </w:rPr>
              <w:t>了提高水泥混凝土路面抗滑能力，在确保混凝土强度和石料抗磨耗能力下（与普通水泥混凝土路面要求基本相同），采用人工拉毛表面处理技术。控制槽深（控制在0.5-1.00mm之间），同时在拉毛操作过程中，速度均匀，中间不宜停顿，形成粗糙的路面表面构造。</w:t>
            </w:r>
          </w:p>
          <w:p w14:paraId="1861C53F">
            <w:pPr>
              <w:keepNext w:val="0"/>
              <w:keepLines w:val="0"/>
              <w:pageBreakBefore w:val="0"/>
              <w:widowControl w:val="0"/>
              <w:kinsoku/>
              <w:wordWrap/>
              <w:overflowPunct/>
              <w:topLinePunct w:val="0"/>
              <w:autoSpaceDE w:val="0"/>
              <w:autoSpaceDN w:val="0"/>
              <w:bidi w:val="0"/>
              <w:adjustRightInd w:val="0"/>
              <w:snapToGrid w:val="0"/>
              <w:ind w:firstLine="482" w:firstLineChars="200"/>
              <w:jc w:val="both"/>
              <w:textAlignment w:val="auto"/>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2.5材料要求</w:t>
            </w:r>
          </w:p>
          <w:p w14:paraId="57638B53">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kern w:val="2"/>
                <w:sz w:val="24"/>
                <w:highlight w:val="none"/>
                <w:lang w:val="en-US" w:eastAsia="zh-CN" w:bidi="ar-SA"/>
              </w:rPr>
            </w:pPr>
            <w:r>
              <w:rPr>
                <w:rFonts w:hint="eastAsia" w:ascii="宋体" w:hAnsi="宋体" w:eastAsia="宋体" w:cs="宋体"/>
                <w:smallCaps w:val="0"/>
                <w:color w:val="auto"/>
                <w:kern w:val="2"/>
                <w:sz w:val="24"/>
                <w:highlight w:val="none"/>
                <w:lang w:val="en-US" w:eastAsia="zh-CN" w:bidi="ar-SA"/>
              </w:rPr>
              <w:t>A.水泥混凝土面层材料要求</w:t>
            </w:r>
          </w:p>
          <w:p w14:paraId="0C913E9A">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kern w:val="2"/>
                <w:sz w:val="24"/>
                <w:highlight w:val="none"/>
                <w:lang w:val="en-US" w:eastAsia="zh-CN" w:bidi="ar-SA"/>
              </w:rPr>
            </w:pPr>
            <w:r>
              <w:rPr>
                <w:rFonts w:hint="eastAsia" w:ascii="宋体" w:hAnsi="宋体" w:eastAsia="宋体" w:cs="宋体"/>
                <w:smallCaps w:val="0"/>
                <w:color w:val="auto"/>
                <w:kern w:val="2"/>
                <w:sz w:val="24"/>
                <w:highlight w:val="none"/>
                <w:lang w:val="en-US" w:eastAsia="zh-CN" w:bidi="ar-SA"/>
              </w:rPr>
              <w:t>水泥混凝土面层混凝土的集料公称最大粒径不大于26.5mm，水泥用量不得少于320kg/m</w:t>
            </w:r>
            <w:r>
              <w:rPr>
                <w:rFonts w:hint="eastAsia" w:ascii="宋体" w:hAnsi="宋体" w:eastAsia="宋体" w:cs="宋体"/>
                <w:smallCaps w:val="0"/>
                <w:color w:val="auto"/>
                <w:kern w:val="2"/>
                <w:sz w:val="24"/>
                <w:highlight w:val="none"/>
                <w:vertAlign w:val="superscript"/>
                <w:lang w:val="en-US" w:eastAsia="zh-CN" w:bidi="ar-SA"/>
              </w:rPr>
              <w:t>3</w:t>
            </w:r>
            <w:r>
              <w:rPr>
                <w:rFonts w:hint="eastAsia" w:ascii="宋体" w:hAnsi="宋体" w:eastAsia="宋体" w:cs="宋体"/>
                <w:smallCaps w:val="0"/>
                <w:color w:val="auto"/>
                <w:kern w:val="2"/>
                <w:sz w:val="24"/>
                <w:highlight w:val="none"/>
                <w:lang w:val="en-US" w:eastAsia="zh-CN" w:bidi="ar-SA"/>
              </w:rPr>
              <w:t>，混凝土板弯拉强度4.0MPa。混凝土中必须掺加引气剂，引气剂掺加量根据混凝土的含气量并经试验确定。</w:t>
            </w:r>
          </w:p>
          <w:p w14:paraId="17674C7B">
            <w:pPr>
              <w:pStyle w:val="30"/>
              <w:keepNext w:val="0"/>
              <w:keepLines w:val="0"/>
              <w:pageBreakBefore w:val="0"/>
              <w:widowControl w:val="0"/>
              <w:kinsoku/>
              <w:wordWrap/>
              <w:overflowPunct/>
              <w:topLinePunct w:val="0"/>
              <w:autoSpaceDE/>
              <w:autoSpaceDN/>
              <w:bidi w:val="0"/>
              <w:adjustRightInd/>
              <w:snapToGrid/>
              <w:spacing w:after="0"/>
              <w:ind w:firstLine="0" w:firstLineChars="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a.水泥料</w:t>
            </w:r>
          </w:p>
          <w:p w14:paraId="64BBF0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表2-4 水泥性能表</w:t>
            </w:r>
          </w:p>
          <w:tbl>
            <w:tblPr>
              <w:tblStyle w:val="3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3"/>
              <w:gridCol w:w="5148"/>
            </w:tblGrid>
            <w:tr w14:paraId="26419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top w:val="single" w:color="auto" w:sz="12" w:space="0"/>
                    <w:left w:val="nil"/>
                  </w:tcBorders>
                  <w:noWrap w:val="0"/>
                  <w:vAlign w:val="center"/>
                </w:tcPr>
                <w:p w14:paraId="343E02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水泥指标项目</w:t>
                  </w:r>
                </w:p>
              </w:tc>
              <w:tc>
                <w:tcPr>
                  <w:tcW w:w="5149" w:type="dxa"/>
                  <w:tcBorders>
                    <w:top w:val="single" w:color="auto" w:sz="12" w:space="0"/>
                    <w:right w:val="nil"/>
                  </w:tcBorders>
                  <w:noWrap w:val="0"/>
                  <w:vAlign w:val="center"/>
                </w:tcPr>
                <w:p w14:paraId="106A30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品质要求</w:t>
                  </w:r>
                </w:p>
              </w:tc>
            </w:tr>
            <w:tr w14:paraId="1E32A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520578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铝酸三钙</w:t>
                  </w:r>
                </w:p>
              </w:tc>
              <w:tc>
                <w:tcPr>
                  <w:tcW w:w="5149" w:type="dxa"/>
                  <w:tcBorders>
                    <w:right w:val="nil"/>
                  </w:tcBorders>
                  <w:noWrap w:val="0"/>
                  <w:vAlign w:val="center"/>
                </w:tcPr>
                <w:p w14:paraId="5E38A9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不得&gt;7.0%</w:t>
                  </w:r>
                </w:p>
              </w:tc>
            </w:tr>
            <w:tr w14:paraId="04AE6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72D5AE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铁铝酸四钙</w:t>
                  </w:r>
                </w:p>
              </w:tc>
              <w:tc>
                <w:tcPr>
                  <w:tcW w:w="5149" w:type="dxa"/>
                  <w:tcBorders>
                    <w:right w:val="nil"/>
                  </w:tcBorders>
                  <w:noWrap w:val="0"/>
                  <w:vAlign w:val="center"/>
                </w:tcPr>
                <w:p w14:paraId="5BE80F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不得〈15.0%</w:t>
                  </w:r>
                </w:p>
              </w:tc>
            </w:tr>
            <w:tr w14:paraId="17FE9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4BE496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游离氧化钙</w:t>
                  </w:r>
                </w:p>
              </w:tc>
              <w:tc>
                <w:tcPr>
                  <w:tcW w:w="5149" w:type="dxa"/>
                  <w:tcBorders>
                    <w:right w:val="nil"/>
                  </w:tcBorders>
                  <w:noWrap w:val="0"/>
                  <w:vAlign w:val="center"/>
                </w:tcPr>
                <w:p w14:paraId="673D04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不得〉1.0%</w:t>
                  </w:r>
                </w:p>
              </w:tc>
            </w:tr>
            <w:tr w14:paraId="06970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4967D4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氧化镁</w:t>
                  </w:r>
                </w:p>
              </w:tc>
              <w:tc>
                <w:tcPr>
                  <w:tcW w:w="5149" w:type="dxa"/>
                  <w:tcBorders>
                    <w:right w:val="nil"/>
                  </w:tcBorders>
                  <w:noWrap w:val="0"/>
                  <w:vAlign w:val="center"/>
                </w:tcPr>
                <w:p w14:paraId="5EF1BA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不得&gt;5.0%</w:t>
                  </w:r>
                </w:p>
              </w:tc>
            </w:tr>
            <w:tr w14:paraId="06919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79B44D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三氧化硫</w:t>
                  </w:r>
                </w:p>
              </w:tc>
              <w:tc>
                <w:tcPr>
                  <w:tcW w:w="5149" w:type="dxa"/>
                  <w:tcBorders>
                    <w:right w:val="nil"/>
                  </w:tcBorders>
                  <w:noWrap w:val="0"/>
                  <w:vAlign w:val="center"/>
                </w:tcPr>
                <w:p w14:paraId="01D4C0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不得&gt;3.5%</w:t>
                  </w:r>
                </w:p>
              </w:tc>
            </w:tr>
            <w:tr w14:paraId="65E12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07C966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碱含量</w:t>
                  </w:r>
                </w:p>
              </w:tc>
              <w:tc>
                <w:tcPr>
                  <w:tcW w:w="5149" w:type="dxa"/>
                  <w:tcBorders>
                    <w:right w:val="nil"/>
                  </w:tcBorders>
                  <w:noWrap w:val="0"/>
                  <w:vAlign w:val="center"/>
                </w:tcPr>
                <w:p w14:paraId="57C5EB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Na</w:t>
                  </w:r>
                  <w:r>
                    <w:rPr>
                      <w:rFonts w:hint="eastAsia" w:ascii="宋体" w:hAnsi="宋体" w:eastAsia="宋体" w:cs="宋体"/>
                      <w:i w:val="0"/>
                      <w:iCs w:val="0"/>
                      <w:smallCaps w:val="0"/>
                      <w:color w:val="auto"/>
                      <w:kern w:val="0"/>
                      <w:sz w:val="21"/>
                      <w:szCs w:val="21"/>
                      <w:highlight w:val="none"/>
                      <w:u w:val="none"/>
                      <w:vertAlign w:val="subscript"/>
                      <w:lang w:val="en-US" w:eastAsia="zh-CN" w:bidi="ar"/>
                    </w:rPr>
                    <w:t>2</w:t>
                  </w:r>
                  <w:r>
                    <w:rPr>
                      <w:rFonts w:hint="eastAsia" w:ascii="宋体" w:hAnsi="宋体" w:eastAsia="宋体" w:cs="宋体"/>
                      <w:i w:val="0"/>
                      <w:iCs w:val="0"/>
                      <w:smallCaps w:val="0"/>
                      <w:color w:val="auto"/>
                      <w:kern w:val="0"/>
                      <w:sz w:val="21"/>
                      <w:szCs w:val="21"/>
                      <w:highlight w:val="none"/>
                      <w:u w:val="none"/>
                      <w:lang w:val="en-US" w:eastAsia="zh-CN" w:bidi="ar"/>
                    </w:rPr>
                    <w:t>O+0.658K</w:t>
                  </w:r>
                  <w:r>
                    <w:rPr>
                      <w:rFonts w:hint="eastAsia" w:ascii="宋体" w:hAnsi="宋体" w:eastAsia="宋体" w:cs="宋体"/>
                      <w:i w:val="0"/>
                      <w:iCs w:val="0"/>
                      <w:smallCaps w:val="0"/>
                      <w:color w:val="auto"/>
                      <w:kern w:val="0"/>
                      <w:sz w:val="21"/>
                      <w:szCs w:val="21"/>
                      <w:highlight w:val="none"/>
                      <w:u w:val="none"/>
                      <w:vertAlign w:val="subscript"/>
                      <w:lang w:val="en-US" w:eastAsia="zh-CN" w:bidi="ar"/>
                    </w:rPr>
                    <w:t>2</w:t>
                  </w:r>
                  <w:r>
                    <w:rPr>
                      <w:rFonts w:hint="eastAsia" w:ascii="宋体" w:hAnsi="宋体" w:eastAsia="宋体" w:cs="宋体"/>
                      <w:i w:val="0"/>
                      <w:iCs w:val="0"/>
                      <w:smallCaps w:val="0"/>
                      <w:color w:val="auto"/>
                      <w:kern w:val="0"/>
                      <w:sz w:val="21"/>
                      <w:szCs w:val="21"/>
                      <w:highlight w:val="none"/>
                      <w:u w:val="none"/>
                      <w:lang w:val="en-US" w:eastAsia="zh-CN" w:bidi="ar"/>
                    </w:rPr>
                    <w:t>O≤0.6%</w:t>
                  </w:r>
                </w:p>
              </w:tc>
            </w:tr>
            <w:tr w14:paraId="57210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4CD619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混合材料种类</w:t>
                  </w:r>
                </w:p>
              </w:tc>
              <w:tc>
                <w:tcPr>
                  <w:tcW w:w="5149" w:type="dxa"/>
                  <w:tcBorders>
                    <w:right w:val="nil"/>
                  </w:tcBorders>
                  <w:noWrap w:val="0"/>
                  <w:vAlign w:val="center"/>
                </w:tcPr>
                <w:p w14:paraId="401C81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不得掺窑灰、煤矸石、火山灰、石灰、石粉和粘土</w:t>
                  </w:r>
                </w:p>
              </w:tc>
            </w:tr>
            <w:tr w14:paraId="478EC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3B8407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出磨时安定性</w:t>
                  </w:r>
                </w:p>
              </w:tc>
              <w:tc>
                <w:tcPr>
                  <w:tcW w:w="5149" w:type="dxa"/>
                  <w:tcBorders>
                    <w:right w:val="nil"/>
                  </w:tcBorders>
                  <w:noWrap w:val="0"/>
                  <w:vAlign w:val="center"/>
                </w:tcPr>
                <w:p w14:paraId="042AE5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雷氏夹或蒸煮法检验必须合格</w:t>
                  </w:r>
                </w:p>
              </w:tc>
            </w:tr>
            <w:tr w14:paraId="645A5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5FAD76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标准稠度需水量</w:t>
                  </w:r>
                </w:p>
              </w:tc>
              <w:tc>
                <w:tcPr>
                  <w:tcW w:w="5149" w:type="dxa"/>
                  <w:tcBorders>
                    <w:right w:val="nil"/>
                  </w:tcBorders>
                  <w:noWrap w:val="0"/>
                  <w:vAlign w:val="center"/>
                </w:tcPr>
                <w:p w14:paraId="04E77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不&gt;28%</w:t>
                  </w:r>
                </w:p>
              </w:tc>
            </w:tr>
            <w:tr w14:paraId="19E1C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1BC101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烧矢量</w:t>
                  </w:r>
                </w:p>
              </w:tc>
              <w:tc>
                <w:tcPr>
                  <w:tcW w:w="5149" w:type="dxa"/>
                  <w:tcBorders>
                    <w:right w:val="nil"/>
                  </w:tcBorders>
                  <w:noWrap w:val="0"/>
                  <w:vAlign w:val="center"/>
                </w:tcPr>
                <w:p w14:paraId="5D75A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不得&gt;3.0%</w:t>
                  </w:r>
                </w:p>
              </w:tc>
            </w:tr>
            <w:tr w14:paraId="1E92B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64C297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比表面积</w:t>
                  </w:r>
                </w:p>
              </w:tc>
              <w:tc>
                <w:tcPr>
                  <w:tcW w:w="5149" w:type="dxa"/>
                  <w:tcBorders>
                    <w:right w:val="nil"/>
                  </w:tcBorders>
                  <w:noWrap w:val="0"/>
                  <w:vAlign w:val="center"/>
                </w:tcPr>
                <w:p w14:paraId="2D2767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300~450m</w:t>
                  </w:r>
                  <w:r>
                    <w:rPr>
                      <w:rFonts w:hint="eastAsia" w:ascii="宋体" w:hAnsi="宋体" w:eastAsia="宋体" w:cs="宋体"/>
                      <w:i w:val="0"/>
                      <w:iCs w:val="0"/>
                      <w:smallCaps w:val="0"/>
                      <w:color w:val="auto"/>
                      <w:kern w:val="0"/>
                      <w:sz w:val="21"/>
                      <w:szCs w:val="21"/>
                      <w:highlight w:val="none"/>
                      <w:u w:val="none"/>
                      <w:vertAlign w:val="superscript"/>
                      <w:lang w:val="en-US" w:eastAsia="zh-CN" w:bidi="ar"/>
                    </w:rPr>
                    <w:t>2</w:t>
                  </w:r>
                  <w:r>
                    <w:rPr>
                      <w:rFonts w:hint="eastAsia" w:ascii="宋体" w:hAnsi="宋体" w:eastAsia="宋体" w:cs="宋体"/>
                      <w:i w:val="0"/>
                      <w:iCs w:val="0"/>
                      <w:smallCaps w:val="0"/>
                      <w:color w:val="auto"/>
                      <w:kern w:val="0"/>
                      <w:sz w:val="21"/>
                      <w:szCs w:val="21"/>
                      <w:highlight w:val="none"/>
                      <w:u w:val="none"/>
                      <w:lang w:val="en-US" w:eastAsia="zh-CN" w:bidi="ar"/>
                    </w:rPr>
                    <w:t>/kg</w:t>
                  </w:r>
                </w:p>
              </w:tc>
            </w:tr>
            <w:tr w14:paraId="3267E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75FC06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细度（80μm）</w:t>
                  </w:r>
                </w:p>
              </w:tc>
              <w:tc>
                <w:tcPr>
                  <w:tcW w:w="5149" w:type="dxa"/>
                  <w:tcBorders>
                    <w:right w:val="nil"/>
                  </w:tcBorders>
                  <w:noWrap w:val="0"/>
                  <w:vAlign w:val="center"/>
                </w:tcPr>
                <w:p w14:paraId="59C62B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筛余量&gt;10%</w:t>
                  </w:r>
                </w:p>
              </w:tc>
            </w:tr>
            <w:tr w14:paraId="1B55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66B3C7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初凝时间</w:t>
                  </w:r>
                </w:p>
              </w:tc>
              <w:tc>
                <w:tcPr>
                  <w:tcW w:w="5149" w:type="dxa"/>
                  <w:tcBorders>
                    <w:right w:val="nil"/>
                  </w:tcBorders>
                  <w:noWrap w:val="0"/>
                  <w:vAlign w:val="center"/>
                </w:tcPr>
                <w:p w14:paraId="38073E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不早于1.5h</w:t>
                  </w:r>
                </w:p>
              </w:tc>
            </w:tr>
            <w:tr w14:paraId="4C98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3B2190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终凝时间</w:t>
                  </w:r>
                </w:p>
              </w:tc>
              <w:tc>
                <w:tcPr>
                  <w:tcW w:w="5149" w:type="dxa"/>
                  <w:tcBorders>
                    <w:right w:val="nil"/>
                  </w:tcBorders>
                  <w:noWrap w:val="0"/>
                  <w:vAlign w:val="center"/>
                </w:tcPr>
                <w:p w14:paraId="283F5C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不迟于10h</w:t>
                  </w:r>
                </w:p>
              </w:tc>
            </w:tr>
            <w:tr w14:paraId="05941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tcBorders>
                  <w:noWrap w:val="0"/>
                  <w:vAlign w:val="center"/>
                </w:tcPr>
                <w:p w14:paraId="502CF6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28d干缩率</w:t>
                  </w:r>
                </w:p>
              </w:tc>
              <w:tc>
                <w:tcPr>
                  <w:tcW w:w="5149" w:type="dxa"/>
                  <w:tcBorders>
                    <w:right w:val="nil"/>
                  </w:tcBorders>
                  <w:noWrap w:val="0"/>
                  <w:vAlign w:val="center"/>
                </w:tcPr>
                <w:p w14:paraId="43507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不得&gt;0.09%</w:t>
                  </w:r>
                </w:p>
              </w:tc>
            </w:tr>
            <w:tr w14:paraId="55723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3" w:type="dxa"/>
                  <w:tcBorders>
                    <w:left w:val="nil"/>
                    <w:bottom w:val="single" w:color="auto" w:sz="12" w:space="0"/>
                  </w:tcBorders>
                  <w:noWrap w:val="0"/>
                  <w:vAlign w:val="center"/>
                </w:tcPr>
                <w:p w14:paraId="7C6C01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耐磨性</w:t>
                  </w:r>
                </w:p>
              </w:tc>
              <w:tc>
                <w:tcPr>
                  <w:tcW w:w="5149" w:type="dxa"/>
                  <w:tcBorders>
                    <w:bottom w:val="single" w:color="auto" w:sz="12" w:space="0"/>
                    <w:right w:val="nil"/>
                  </w:tcBorders>
                  <w:noWrap w:val="0"/>
                  <w:vAlign w:val="center"/>
                </w:tcPr>
                <w:p w14:paraId="6E9BCD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不得&gt;3.6kg/m</w:t>
                  </w:r>
                  <w:r>
                    <w:rPr>
                      <w:rFonts w:hint="eastAsia" w:ascii="宋体" w:hAnsi="宋体" w:eastAsia="宋体" w:cs="宋体"/>
                      <w:i w:val="0"/>
                      <w:iCs w:val="0"/>
                      <w:smallCaps w:val="0"/>
                      <w:color w:val="auto"/>
                      <w:kern w:val="0"/>
                      <w:sz w:val="21"/>
                      <w:szCs w:val="21"/>
                      <w:highlight w:val="none"/>
                      <w:u w:val="none"/>
                      <w:vertAlign w:val="superscript"/>
                      <w:lang w:val="en-US" w:eastAsia="zh-CN" w:bidi="ar"/>
                    </w:rPr>
                    <w:t>2</w:t>
                  </w:r>
                </w:p>
              </w:tc>
            </w:tr>
          </w:tbl>
          <w:p w14:paraId="5F69B582">
            <w:pPr>
              <w:ind w:left="0" w:leftChars="0" w:firstLine="0" w:firstLineChars="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b.路面用粗集料要求</w:t>
            </w:r>
          </w:p>
          <w:p w14:paraId="14EA6046">
            <w:pPr>
              <w:pStyle w:val="3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碎石：要求具有良好的颗粒形状，以接近立方体和多棱角为宜。路面碎石应质地坚硬、耐久、洁净。</w:t>
            </w:r>
          </w:p>
          <w:p w14:paraId="73BE4149">
            <w:pPr>
              <w:pStyle w:val="30"/>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宋体" w:hAnsi="宋体" w:eastAsia="宋体" w:cs="宋体"/>
                <w:b/>
                <w:bCs/>
                <w:smallCaps w:val="0"/>
                <w:color w:val="auto"/>
                <w:highlight w:val="none"/>
                <w:lang w:val="en-US" w:eastAsia="zh-CN"/>
              </w:rPr>
            </w:pPr>
          </w:p>
          <w:p w14:paraId="63043E28">
            <w:pPr>
              <w:pStyle w:val="30"/>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表2-5 碎石技术要求</w:t>
            </w:r>
          </w:p>
          <w:tbl>
            <w:tblPr>
              <w:tblStyle w:val="33"/>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986"/>
              <w:gridCol w:w="986"/>
              <w:gridCol w:w="986"/>
              <w:gridCol w:w="986"/>
              <w:gridCol w:w="986"/>
              <w:gridCol w:w="986"/>
              <w:gridCol w:w="990"/>
            </w:tblGrid>
            <w:tr w14:paraId="7E9DE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1" w:hRule="atLeast"/>
                <w:jc w:val="center"/>
              </w:trPr>
              <w:tc>
                <w:tcPr>
                  <w:tcW w:w="985" w:type="dxa"/>
                  <w:tcBorders>
                    <w:top w:val="single" w:color="auto" w:sz="12" w:space="0"/>
                    <w:left w:val="nil"/>
                  </w:tcBorders>
                  <w:noWrap w:val="0"/>
                  <w:vAlign w:val="center"/>
                </w:tcPr>
                <w:p w14:paraId="4AFC48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项目</w:t>
                  </w:r>
                </w:p>
              </w:tc>
              <w:tc>
                <w:tcPr>
                  <w:tcW w:w="985" w:type="dxa"/>
                  <w:tcBorders>
                    <w:top w:val="single" w:color="auto" w:sz="12" w:space="0"/>
                  </w:tcBorders>
                  <w:noWrap w:val="0"/>
                  <w:vAlign w:val="center"/>
                </w:tcPr>
                <w:p w14:paraId="18D7EC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石料等级</w:t>
                  </w:r>
                </w:p>
              </w:tc>
              <w:tc>
                <w:tcPr>
                  <w:tcW w:w="985" w:type="dxa"/>
                  <w:tcBorders>
                    <w:top w:val="single" w:color="auto" w:sz="12" w:space="0"/>
                  </w:tcBorders>
                  <w:noWrap w:val="0"/>
                  <w:vAlign w:val="center"/>
                </w:tcPr>
                <w:p w14:paraId="19F538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碎石压碎指标（％）</w:t>
                  </w:r>
                </w:p>
              </w:tc>
              <w:tc>
                <w:tcPr>
                  <w:tcW w:w="985" w:type="dxa"/>
                  <w:tcBorders>
                    <w:top w:val="single" w:color="auto" w:sz="12" w:space="0"/>
                  </w:tcBorders>
                  <w:noWrap w:val="0"/>
                  <w:vAlign w:val="center"/>
                </w:tcPr>
                <w:p w14:paraId="0DF29A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坚固性（按质量损失计％）</w:t>
                  </w:r>
                </w:p>
              </w:tc>
              <w:tc>
                <w:tcPr>
                  <w:tcW w:w="985" w:type="dxa"/>
                  <w:tcBorders>
                    <w:top w:val="single" w:color="auto" w:sz="12" w:space="0"/>
                  </w:tcBorders>
                  <w:noWrap w:val="0"/>
                  <w:vAlign w:val="center"/>
                </w:tcPr>
                <w:p w14:paraId="5D1A68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针片状颗粒含量（按质量计％）</w:t>
                  </w:r>
                </w:p>
              </w:tc>
              <w:tc>
                <w:tcPr>
                  <w:tcW w:w="985" w:type="dxa"/>
                  <w:tcBorders>
                    <w:top w:val="single" w:color="auto" w:sz="12" w:space="0"/>
                  </w:tcBorders>
                  <w:noWrap w:val="0"/>
                  <w:vAlign w:val="center"/>
                </w:tcPr>
                <w:p w14:paraId="16D4F6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硫化物及硫酸盐（按SO</w:t>
                  </w:r>
                  <w:r>
                    <w:rPr>
                      <w:rFonts w:hint="eastAsia" w:ascii="宋体" w:hAnsi="宋体" w:eastAsia="宋体" w:cs="宋体"/>
                      <w:i w:val="0"/>
                      <w:iCs w:val="0"/>
                      <w:smallCaps w:val="0"/>
                      <w:color w:val="auto"/>
                      <w:kern w:val="0"/>
                      <w:sz w:val="21"/>
                      <w:szCs w:val="21"/>
                      <w:highlight w:val="none"/>
                      <w:u w:val="none"/>
                      <w:vertAlign w:val="subscript"/>
                      <w:lang w:val="en-US" w:eastAsia="zh-CN" w:bidi="ar"/>
                    </w:rPr>
                    <w:t>3</w:t>
                  </w:r>
                  <w:r>
                    <w:rPr>
                      <w:rFonts w:hint="eastAsia" w:ascii="宋体" w:hAnsi="宋体" w:eastAsia="宋体" w:cs="宋体"/>
                      <w:i w:val="0"/>
                      <w:iCs w:val="0"/>
                      <w:smallCaps w:val="0"/>
                      <w:color w:val="auto"/>
                      <w:kern w:val="0"/>
                      <w:sz w:val="21"/>
                      <w:szCs w:val="21"/>
                      <w:highlight w:val="none"/>
                      <w:u w:val="none"/>
                      <w:lang w:val="en-US" w:eastAsia="zh-CN" w:bidi="ar"/>
                    </w:rPr>
                    <w:t>质量计％）</w:t>
                  </w:r>
                </w:p>
              </w:tc>
              <w:tc>
                <w:tcPr>
                  <w:tcW w:w="985" w:type="dxa"/>
                  <w:tcBorders>
                    <w:top w:val="single" w:color="auto" w:sz="12" w:space="0"/>
                  </w:tcBorders>
                  <w:noWrap w:val="0"/>
                  <w:vAlign w:val="center"/>
                </w:tcPr>
                <w:p w14:paraId="158954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有机物含量（比色法）</w:t>
                  </w:r>
                </w:p>
              </w:tc>
              <w:tc>
                <w:tcPr>
                  <w:tcW w:w="989" w:type="dxa"/>
                  <w:tcBorders>
                    <w:top w:val="single" w:color="auto" w:sz="12" w:space="0"/>
                    <w:right w:val="nil"/>
                  </w:tcBorders>
                  <w:noWrap w:val="0"/>
                  <w:vAlign w:val="center"/>
                </w:tcPr>
                <w:p w14:paraId="22B133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含泥量（按质量计％）</w:t>
                  </w:r>
                </w:p>
              </w:tc>
            </w:tr>
            <w:tr w14:paraId="057D1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985" w:type="dxa"/>
                  <w:tcBorders>
                    <w:left w:val="nil"/>
                    <w:bottom w:val="single" w:color="auto" w:sz="12" w:space="0"/>
                  </w:tcBorders>
                  <w:noWrap w:val="0"/>
                  <w:vAlign w:val="center"/>
                </w:tcPr>
                <w:p w14:paraId="04823C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技术要求</w:t>
                  </w:r>
                </w:p>
              </w:tc>
              <w:tc>
                <w:tcPr>
                  <w:tcW w:w="985" w:type="dxa"/>
                  <w:tcBorders>
                    <w:bottom w:val="single" w:color="auto" w:sz="12" w:space="0"/>
                  </w:tcBorders>
                  <w:noWrap w:val="0"/>
                  <w:vAlign w:val="center"/>
                </w:tcPr>
                <w:p w14:paraId="7AE4CC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Ⅱ级</w:t>
                  </w:r>
                </w:p>
              </w:tc>
              <w:tc>
                <w:tcPr>
                  <w:tcW w:w="985" w:type="dxa"/>
                  <w:tcBorders>
                    <w:bottom w:val="single" w:color="auto" w:sz="12" w:space="0"/>
                  </w:tcBorders>
                  <w:noWrap w:val="0"/>
                  <w:vAlign w:val="center"/>
                </w:tcPr>
                <w:p w14:paraId="5114D5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&lt;15</w:t>
                  </w:r>
                </w:p>
              </w:tc>
              <w:tc>
                <w:tcPr>
                  <w:tcW w:w="985" w:type="dxa"/>
                  <w:tcBorders>
                    <w:bottom w:val="single" w:color="auto" w:sz="12" w:space="0"/>
                  </w:tcBorders>
                  <w:noWrap w:val="0"/>
                  <w:vAlign w:val="center"/>
                </w:tcPr>
                <w:p w14:paraId="307E0D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&lt;8</w:t>
                  </w:r>
                </w:p>
              </w:tc>
              <w:tc>
                <w:tcPr>
                  <w:tcW w:w="985" w:type="dxa"/>
                  <w:tcBorders>
                    <w:bottom w:val="single" w:color="auto" w:sz="12" w:space="0"/>
                  </w:tcBorders>
                  <w:noWrap w:val="0"/>
                  <w:vAlign w:val="center"/>
                </w:tcPr>
                <w:p w14:paraId="28C86A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&lt;15</w:t>
                  </w:r>
                </w:p>
              </w:tc>
              <w:tc>
                <w:tcPr>
                  <w:tcW w:w="985" w:type="dxa"/>
                  <w:tcBorders>
                    <w:bottom w:val="single" w:color="auto" w:sz="12" w:space="0"/>
                  </w:tcBorders>
                  <w:noWrap w:val="0"/>
                  <w:vAlign w:val="center"/>
                </w:tcPr>
                <w:p w14:paraId="351BBA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&lt;1.0</w:t>
                  </w:r>
                </w:p>
              </w:tc>
              <w:tc>
                <w:tcPr>
                  <w:tcW w:w="985" w:type="dxa"/>
                  <w:tcBorders>
                    <w:bottom w:val="single" w:color="auto" w:sz="12" w:space="0"/>
                  </w:tcBorders>
                  <w:noWrap w:val="0"/>
                  <w:vAlign w:val="center"/>
                </w:tcPr>
                <w:p w14:paraId="140DD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合格</w:t>
                  </w:r>
                </w:p>
              </w:tc>
              <w:tc>
                <w:tcPr>
                  <w:tcW w:w="989" w:type="dxa"/>
                  <w:tcBorders>
                    <w:bottom w:val="single" w:color="auto" w:sz="12" w:space="0"/>
                    <w:right w:val="nil"/>
                  </w:tcBorders>
                  <w:noWrap w:val="0"/>
                  <w:vAlign w:val="center"/>
                </w:tcPr>
                <w:p w14:paraId="475CE9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&lt;1.0</w:t>
                  </w:r>
                </w:p>
              </w:tc>
            </w:tr>
          </w:tbl>
          <w:p w14:paraId="39BA76F5">
            <w:pPr>
              <w:ind w:left="0" w:leftChars="0" w:firstLine="0" w:firstLineChars="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c.路面用细集料要求</w:t>
            </w:r>
          </w:p>
          <w:p w14:paraId="02E26BAA">
            <w:pPr>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砂的质量应质地坚硬、耐久、洁净、干燥、无风化、无杂质，应有适当级配的天然砂</w:t>
            </w:r>
          </w:p>
          <w:p w14:paraId="7ED31F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表2-6 路面用砂技术要求</w:t>
            </w:r>
          </w:p>
          <w:tbl>
            <w:tblPr>
              <w:tblStyle w:val="33"/>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949"/>
              <w:gridCol w:w="1485"/>
              <w:gridCol w:w="2006"/>
              <w:gridCol w:w="1304"/>
              <w:gridCol w:w="1372"/>
            </w:tblGrid>
            <w:tr w14:paraId="3745C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44" w:type="dxa"/>
                  <w:tcBorders>
                    <w:top w:val="single" w:color="auto" w:sz="12" w:space="0"/>
                    <w:left w:val="nil"/>
                  </w:tcBorders>
                  <w:noWrap w:val="0"/>
                  <w:vAlign w:val="center"/>
                </w:tcPr>
                <w:p w14:paraId="54BAD6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项目</w:t>
                  </w:r>
                </w:p>
              </w:tc>
              <w:tc>
                <w:tcPr>
                  <w:tcW w:w="950" w:type="dxa"/>
                  <w:tcBorders>
                    <w:top w:val="single" w:color="auto" w:sz="12" w:space="0"/>
                  </w:tcBorders>
                  <w:noWrap w:val="0"/>
                  <w:vAlign w:val="center"/>
                </w:tcPr>
                <w:p w14:paraId="5B47D4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细度模数</w:t>
                  </w:r>
                </w:p>
              </w:tc>
              <w:tc>
                <w:tcPr>
                  <w:tcW w:w="1487" w:type="dxa"/>
                  <w:tcBorders>
                    <w:top w:val="single" w:color="auto" w:sz="12" w:space="0"/>
                  </w:tcBorders>
                  <w:noWrap w:val="0"/>
                  <w:vAlign w:val="center"/>
                </w:tcPr>
                <w:p w14:paraId="73D9C6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含泥量（按质量计％）</w:t>
                  </w:r>
                </w:p>
              </w:tc>
              <w:tc>
                <w:tcPr>
                  <w:tcW w:w="2009" w:type="dxa"/>
                  <w:tcBorders>
                    <w:top w:val="single" w:color="auto" w:sz="12" w:space="0"/>
                  </w:tcBorders>
                  <w:noWrap w:val="0"/>
                  <w:vAlign w:val="center"/>
                </w:tcPr>
                <w:p w14:paraId="00E8D2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硫化物及硫酸盐（按SO</w:t>
                  </w:r>
                  <w:r>
                    <w:rPr>
                      <w:rFonts w:hint="eastAsia" w:ascii="宋体" w:hAnsi="宋体" w:eastAsia="宋体" w:cs="宋体"/>
                      <w:i w:val="0"/>
                      <w:iCs w:val="0"/>
                      <w:smallCaps w:val="0"/>
                      <w:color w:val="auto"/>
                      <w:kern w:val="0"/>
                      <w:sz w:val="21"/>
                      <w:szCs w:val="21"/>
                      <w:highlight w:val="none"/>
                      <w:u w:val="none"/>
                      <w:vertAlign w:val="subscript"/>
                      <w:lang w:val="en-US" w:eastAsia="zh-CN" w:bidi="ar"/>
                    </w:rPr>
                    <w:t>3</w:t>
                  </w:r>
                  <w:r>
                    <w:rPr>
                      <w:rFonts w:hint="eastAsia" w:ascii="宋体" w:hAnsi="宋体" w:eastAsia="宋体" w:cs="宋体"/>
                      <w:i w:val="0"/>
                      <w:iCs w:val="0"/>
                      <w:smallCaps w:val="0"/>
                      <w:color w:val="auto"/>
                      <w:kern w:val="0"/>
                      <w:sz w:val="21"/>
                      <w:szCs w:val="21"/>
                      <w:highlight w:val="none"/>
                      <w:u w:val="none"/>
                      <w:lang w:val="en-US" w:eastAsia="zh-CN" w:bidi="ar"/>
                    </w:rPr>
                    <w:t>质量计％）</w:t>
                  </w:r>
                </w:p>
              </w:tc>
              <w:tc>
                <w:tcPr>
                  <w:tcW w:w="1306" w:type="dxa"/>
                  <w:tcBorders>
                    <w:top w:val="single" w:color="auto" w:sz="12" w:space="0"/>
                  </w:tcBorders>
                  <w:noWrap w:val="0"/>
                  <w:vAlign w:val="center"/>
                </w:tcPr>
                <w:p w14:paraId="70930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有机物含量（比色法）</w:t>
                  </w:r>
                </w:p>
              </w:tc>
              <w:tc>
                <w:tcPr>
                  <w:tcW w:w="1374" w:type="dxa"/>
                  <w:tcBorders>
                    <w:top w:val="single" w:color="auto" w:sz="12" w:space="0"/>
                    <w:right w:val="nil"/>
                  </w:tcBorders>
                  <w:noWrap w:val="0"/>
                  <w:vAlign w:val="center"/>
                </w:tcPr>
                <w:p w14:paraId="7F7752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轻物质（按质量计％）</w:t>
                  </w:r>
                </w:p>
              </w:tc>
            </w:tr>
            <w:tr w14:paraId="39290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44" w:type="dxa"/>
                  <w:tcBorders>
                    <w:left w:val="nil"/>
                    <w:bottom w:val="single" w:color="auto" w:sz="12" w:space="0"/>
                  </w:tcBorders>
                  <w:noWrap w:val="0"/>
                  <w:vAlign w:val="center"/>
                </w:tcPr>
                <w:p w14:paraId="600072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技术要求</w:t>
                  </w:r>
                </w:p>
              </w:tc>
              <w:tc>
                <w:tcPr>
                  <w:tcW w:w="950" w:type="dxa"/>
                  <w:tcBorders>
                    <w:bottom w:val="single" w:color="auto" w:sz="12" w:space="0"/>
                  </w:tcBorders>
                  <w:noWrap w:val="0"/>
                  <w:vAlign w:val="center"/>
                </w:tcPr>
                <w:p w14:paraId="702D00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2.0-3.5</w:t>
                  </w:r>
                </w:p>
              </w:tc>
              <w:tc>
                <w:tcPr>
                  <w:tcW w:w="1487" w:type="dxa"/>
                  <w:tcBorders>
                    <w:bottom w:val="single" w:color="auto" w:sz="12" w:space="0"/>
                  </w:tcBorders>
                  <w:noWrap w:val="0"/>
                  <w:vAlign w:val="center"/>
                </w:tcPr>
                <w:p w14:paraId="4E3FB7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&lt;2.0</w:t>
                  </w:r>
                </w:p>
              </w:tc>
              <w:tc>
                <w:tcPr>
                  <w:tcW w:w="2009" w:type="dxa"/>
                  <w:tcBorders>
                    <w:bottom w:val="single" w:color="auto" w:sz="12" w:space="0"/>
                  </w:tcBorders>
                  <w:noWrap w:val="0"/>
                  <w:vAlign w:val="center"/>
                </w:tcPr>
                <w:p w14:paraId="2A549B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&lt;0.5</w:t>
                  </w:r>
                </w:p>
              </w:tc>
              <w:tc>
                <w:tcPr>
                  <w:tcW w:w="1306" w:type="dxa"/>
                  <w:tcBorders>
                    <w:bottom w:val="single" w:color="auto" w:sz="12" w:space="0"/>
                  </w:tcBorders>
                  <w:noWrap w:val="0"/>
                  <w:vAlign w:val="center"/>
                </w:tcPr>
                <w:p w14:paraId="1808C1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合格</w:t>
                  </w:r>
                </w:p>
              </w:tc>
              <w:tc>
                <w:tcPr>
                  <w:tcW w:w="1374" w:type="dxa"/>
                  <w:tcBorders>
                    <w:bottom w:val="single" w:color="auto" w:sz="12" w:space="0"/>
                    <w:right w:val="nil"/>
                  </w:tcBorders>
                  <w:noWrap w:val="0"/>
                  <w:vAlign w:val="center"/>
                </w:tcPr>
                <w:p w14:paraId="2552A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smallCaps w:val="0"/>
                      <w:color w:val="auto"/>
                      <w:sz w:val="21"/>
                      <w:szCs w:val="21"/>
                      <w:highlight w:val="none"/>
                      <w:u w:val="none"/>
                    </w:rPr>
                  </w:pPr>
                  <w:r>
                    <w:rPr>
                      <w:rFonts w:hint="eastAsia" w:ascii="宋体" w:hAnsi="宋体" w:eastAsia="宋体" w:cs="宋体"/>
                      <w:i w:val="0"/>
                      <w:iCs w:val="0"/>
                      <w:smallCaps w:val="0"/>
                      <w:color w:val="auto"/>
                      <w:kern w:val="0"/>
                      <w:sz w:val="21"/>
                      <w:szCs w:val="21"/>
                      <w:highlight w:val="none"/>
                      <w:u w:val="none"/>
                      <w:lang w:val="en-US" w:eastAsia="zh-CN" w:bidi="ar"/>
                    </w:rPr>
                    <w:t>&lt;1.0</w:t>
                  </w:r>
                </w:p>
              </w:tc>
            </w:tr>
          </w:tbl>
          <w:p w14:paraId="1CEFA69C">
            <w:pPr>
              <w:pStyle w:val="3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d.材料级配</w:t>
            </w:r>
          </w:p>
          <w:p w14:paraId="44AB470B">
            <w:pPr>
              <w:pStyle w:val="30"/>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水泥混凝土路面碎石的级配采用连续式级配标准，最大粒径不应超过19.0mm，水泥混凝土路面碎石和砂级配如下</w:t>
            </w:r>
          </w:p>
          <w:p w14:paraId="7B5CBDD4">
            <w:pPr>
              <w:spacing w:line="360" w:lineRule="auto"/>
              <w:ind w:firstLine="0" w:firstLineChars="0"/>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lang w:val="en-US" w:eastAsia="zh-CN"/>
              </w:rPr>
              <w:t>碎石</w:t>
            </w:r>
          </w:p>
          <w:p w14:paraId="56773C97">
            <w:pPr>
              <w:pStyle w:val="3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rPr>
              <w:drawing>
                <wp:inline distT="0" distB="0" distL="114300" distR="114300">
                  <wp:extent cx="5039995" cy="1167765"/>
                  <wp:effectExtent l="0" t="0" r="8255" b="13335"/>
                  <wp:docPr id="39"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8"/>
                          <pic:cNvPicPr>
                            <a:picLocks noChangeAspect="1"/>
                          </pic:cNvPicPr>
                        </pic:nvPicPr>
                        <pic:blipFill>
                          <a:blip r:embed="rId23"/>
                          <a:stretch>
                            <a:fillRect/>
                          </a:stretch>
                        </pic:blipFill>
                        <pic:spPr>
                          <a:xfrm>
                            <a:off x="0" y="0"/>
                            <a:ext cx="5039995" cy="1167765"/>
                          </a:xfrm>
                          <a:prstGeom prst="rect">
                            <a:avLst/>
                          </a:prstGeom>
                          <a:noFill/>
                          <a:ln>
                            <a:noFill/>
                          </a:ln>
                        </pic:spPr>
                      </pic:pic>
                    </a:graphicData>
                  </a:graphic>
                </wp:inline>
              </w:drawing>
            </w:r>
          </w:p>
          <w:p w14:paraId="652BE950">
            <w:pPr>
              <w:spacing w:line="360" w:lineRule="auto"/>
              <w:ind w:firstLine="0" w:firstLineChars="0"/>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lang w:val="en-US" w:eastAsia="zh-CN"/>
              </w:rPr>
              <w:t>砂</w:t>
            </w:r>
          </w:p>
          <w:p w14:paraId="1E814AA9">
            <w:pPr>
              <w:pStyle w:val="3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rPr>
              <w:drawing>
                <wp:inline distT="0" distB="0" distL="114300" distR="114300">
                  <wp:extent cx="5039995" cy="1066165"/>
                  <wp:effectExtent l="0" t="0" r="8255" b="635"/>
                  <wp:docPr id="40"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9"/>
                          <pic:cNvPicPr>
                            <a:picLocks noChangeAspect="1"/>
                          </pic:cNvPicPr>
                        </pic:nvPicPr>
                        <pic:blipFill>
                          <a:blip r:embed="rId24"/>
                          <a:stretch>
                            <a:fillRect/>
                          </a:stretch>
                        </pic:blipFill>
                        <pic:spPr>
                          <a:xfrm>
                            <a:off x="0" y="0"/>
                            <a:ext cx="5039995" cy="1066165"/>
                          </a:xfrm>
                          <a:prstGeom prst="rect">
                            <a:avLst/>
                          </a:prstGeom>
                          <a:noFill/>
                          <a:ln>
                            <a:noFill/>
                          </a:ln>
                        </pic:spPr>
                      </pic:pic>
                    </a:graphicData>
                  </a:graphic>
                </wp:inline>
              </w:drawing>
            </w:r>
          </w:p>
          <w:p w14:paraId="1F5734B6">
            <w:pPr>
              <w:pStyle w:val="3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e.填缝料：采用沥青玛蹄脂。</w:t>
            </w:r>
          </w:p>
          <w:p w14:paraId="334D0AF5">
            <w:pPr>
              <w:pStyle w:val="3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f.钢筋：水泥混凝土路面所用钢筋应顺直，不得有裂纹、断伤、刻痕、表面油污和锈蚀。传力杆钢筋加工应锯断，不得挤压切断，断口应垂直、光圆，用砂轮打磨掉毛刺，并加工成2～3mm圆倒角。钢筋应符合国家有关标准的技术要求。</w:t>
            </w:r>
          </w:p>
          <w:p w14:paraId="23F5DCC9">
            <w:pPr>
              <w:pStyle w:val="30"/>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B.水泥稳定碎石基层材料要求</w:t>
            </w:r>
          </w:p>
          <w:p w14:paraId="5693A5B5">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b w:val="0"/>
                <w:bCs w:val="0"/>
                <w:smallCaps w:val="0"/>
                <w:color w:val="auto"/>
                <w:kern w:val="2"/>
                <w:sz w:val="24"/>
                <w:szCs w:val="24"/>
                <w:highlight w:val="yellow"/>
                <w:lang w:val="en-US" w:eastAsia="zh-CN" w:bidi="ar-SA"/>
              </w:rPr>
            </w:pPr>
            <w:r>
              <w:rPr>
                <w:rFonts w:hint="eastAsia" w:ascii="宋体" w:hAnsi="宋体" w:eastAsia="宋体" w:cs="宋体"/>
                <w:b w:val="0"/>
                <w:bCs w:val="0"/>
                <w:smallCaps w:val="0"/>
                <w:color w:val="auto"/>
                <w:kern w:val="2"/>
                <w:sz w:val="24"/>
                <w:szCs w:val="24"/>
                <w:highlight w:val="yellow"/>
                <w:lang w:val="en-US" w:eastAsia="zh-CN" w:bidi="ar-SA"/>
              </w:rPr>
              <w:t>水泥：基层、底基层采用42.5级普通硅酸盐水泥，物理性能与化学成分指标应符合现行国家规定标准，各层混合料级配应满足下表要求</w:t>
            </w:r>
          </w:p>
          <w:p w14:paraId="6C5542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mallCaps w:val="0"/>
                <w:sz w:val="21"/>
                <w:szCs w:val="21"/>
                <w:highlight w:val="yellow"/>
                <w:lang w:val="en-US" w:eastAsia="zh-CN"/>
              </w:rPr>
            </w:pPr>
            <w:r>
              <w:rPr>
                <w:rFonts w:hint="eastAsia" w:ascii="宋体" w:hAnsi="宋体" w:eastAsia="宋体" w:cs="宋体"/>
                <w:b/>
                <w:bCs/>
                <w:smallCaps w:val="0"/>
                <w:color w:val="auto"/>
                <w:kern w:val="2"/>
                <w:sz w:val="21"/>
                <w:szCs w:val="21"/>
                <w:highlight w:val="yellow"/>
                <w:lang w:val="en-US" w:eastAsia="zh-CN" w:bidi="ar-SA"/>
              </w:rPr>
              <w:t>表2-7 集料颗粒组成范围</w:t>
            </w:r>
          </w:p>
          <w:tbl>
            <w:tblPr>
              <w:tblStyle w:val="33"/>
              <w:tblW w:w="494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1"/>
              <w:gridCol w:w="595"/>
              <w:gridCol w:w="587"/>
              <w:gridCol w:w="595"/>
              <w:gridCol w:w="595"/>
              <w:gridCol w:w="587"/>
              <w:gridCol w:w="657"/>
              <w:gridCol w:w="587"/>
              <w:gridCol w:w="587"/>
              <w:gridCol w:w="587"/>
              <w:gridCol w:w="663"/>
              <w:gridCol w:w="634"/>
              <w:gridCol w:w="567"/>
            </w:tblGrid>
            <w:tr w14:paraId="07E0F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661" w:type="dxa"/>
                  <w:vMerge w:val="restart"/>
                  <w:tcBorders>
                    <w:top w:val="single" w:color="000000" w:sz="12" w:space="0"/>
                    <w:left w:val="nil"/>
                    <w:bottom w:val="single" w:color="000000" w:sz="4" w:space="0"/>
                    <w:right w:val="single" w:color="000000" w:sz="4" w:space="0"/>
                  </w:tcBorders>
                  <w:shd w:val="clear" w:color="auto" w:fill="auto"/>
                  <w:vAlign w:val="center"/>
                </w:tcPr>
                <w:p w14:paraId="1563CFBE">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结构层</w:t>
                  </w:r>
                </w:p>
              </w:tc>
              <w:tc>
                <w:tcPr>
                  <w:tcW w:w="7241" w:type="dxa"/>
                  <w:gridSpan w:val="12"/>
                  <w:tcBorders>
                    <w:top w:val="single" w:color="000000" w:sz="12" w:space="0"/>
                    <w:left w:val="single" w:color="000000" w:sz="4" w:space="0"/>
                    <w:bottom w:val="single" w:color="000000" w:sz="4" w:space="0"/>
                    <w:right w:val="nil"/>
                  </w:tcBorders>
                  <w:shd w:val="clear" w:color="auto" w:fill="auto"/>
                  <w:vAlign w:val="center"/>
                </w:tcPr>
                <w:p w14:paraId="614496E2">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通过下列方孔筛筛孔（mm)质量百分率（%)</w:t>
                  </w:r>
                </w:p>
              </w:tc>
            </w:tr>
            <w:tr w14:paraId="3C69F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661" w:type="dxa"/>
                  <w:vMerge w:val="continue"/>
                  <w:tcBorders>
                    <w:top w:val="single" w:color="000000" w:sz="4" w:space="0"/>
                    <w:left w:val="nil"/>
                    <w:bottom w:val="single" w:color="000000" w:sz="4" w:space="0"/>
                    <w:right w:val="single" w:color="000000" w:sz="4" w:space="0"/>
                  </w:tcBorders>
                  <w:shd w:val="clear" w:color="auto" w:fill="auto"/>
                  <w:vAlign w:val="center"/>
                </w:tcPr>
                <w:p w14:paraId="38D6C44B">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smallCaps w:val="0"/>
                      <w:color w:val="000000"/>
                      <w:sz w:val="21"/>
                      <w:szCs w:val="21"/>
                      <w:highlight w:val="yellow"/>
                      <w:u w:val="none"/>
                    </w:rPr>
                  </w:pP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5E4C5">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26.5</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E1C56">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19</w:t>
                  </w: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7C657">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16</w:t>
                  </w: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0900D">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13.2</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D8163">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9.5</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71FE1">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4.75</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F08B7">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2.36</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10B72">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1.18</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0E05B">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0.6</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E0F73">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0.3</w:t>
                  </w:r>
                </w:p>
              </w:tc>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5DB2A">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0.15</w:t>
                  </w:r>
                </w:p>
              </w:tc>
              <w:tc>
                <w:tcPr>
                  <w:tcW w:w="567" w:type="dxa"/>
                  <w:tcBorders>
                    <w:top w:val="single" w:color="000000" w:sz="4" w:space="0"/>
                    <w:left w:val="single" w:color="000000" w:sz="4" w:space="0"/>
                    <w:bottom w:val="single" w:color="000000" w:sz="4" w:space="0"/>
                    <w:right w:val="nil"/>
                  </w:tcBorders>
                  <w:shd w:val="clear" w:color="auto" w:fill="auto"/>
                  <w:vAlign w:val="center"/>
                </w:tcPr>
                <w:p w14:paraId="5EA28315">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0.075</w:t>
                  </w:r>
                </w:p>
              </w:tc>
            </w:tr>
            <w:tr w14:paraId="1588B7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661" w:type="dxa"/>
                  <w:tcBorders>
                    <w:top w:val="single" w:color="000000" w:sz="4" w:space="0"/>
                    <w:left w:val="nil"/>
                    <w:bottom w:val="single" w:color="000000" w:sz="4" w:space="0"/>
                    <w:right w:val="single" w:color="000000" w:sz="4" w:space="0"/>
                  </w:tcBorders>
                  <w:shd w:val="clear" w:color="auto" w:fill="auto"/>
                  <w:vAlign w:val="center"/>
                </w:tcPr>
                <w:p w14:paraId="0E59A502">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基层</w:t>
                  </w: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88033">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smallCaps w:val="0"/>
                      <w:color w:val="000000"/>
                      <w:sz w:val="21"/>
                      <w:szCs w:val="21"/>
                      <w:highlight w:val="yellow"/>
                      <w:u w:val="none"/>
                    </w:rPr>
                  </w:pP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820B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100</w:t>
                  </w: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CF250">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93-88</w:t>
                  </w:r>
                </w:p>
              </w:tc>
              <w:tc>
                <w:tcPr>
                  <w:tcW w:w="5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63F2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86-76</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F588A">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72-60</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6C3A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45-35</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3CF25">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31-22</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DEE59">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22-13</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0DCCB">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15-8</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A15A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10-5</w:t>
                  </w:r>
                </w:p>
              </w:tc>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07E75">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7-3</w:t>
                  </w:r>
                </w:p>
              </w:tc>
              <w:tc>
                <w:tcPr>
                  <w:tcW w:w="567" w:type="dxa"/>
                  <w:tcBorders>
                    <w:top w:val="single" w:color="000000" w:sz="4" w:space="0"/>
                    <w:left w:val="single" w:color="000000" w:sz="4" w:space="0"/>
                    <w:bottom w:val="single" w:color="000000" w:sz="4" w:space="0"/>
                    <w:right w:val="nil"/>
                  </w:tcBorders>
                  <w:shd w:val="clear" w:color="auto" w:fill="auto"/>
                  <w:vAlign w:val="center"/>
                </w:tcPr>
                <w:p w14:paraId="079BEFEB">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5-2</w:t>
                  </w:r>
                </w:p>
              </w:tc>
            </w:tr>
            <w:tr w14:paraId="28B9E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661" w:type="dxa"/>
                  <w:tcBorders>
                    <w:top w:val="single" w:color="000000" w:sz="4" w:space="0"/>
                    <w:left w:val="nil"/>
                    <w:bottom w:val="single" w:color="000000" w:sz="12" w:space="0"/>
                    <w:right w:val="single" w:color="000000" w:sz="4" w:space="0"/>
                  </w:tcBorders>
                  <w:shd w:val="clear" w:color="auto" w:fill="auto"/>
                  <w:vAlign w:val="center"/>
                </w:tcPr>
                <w:p w14:paraId="0642CF8A">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底基层</w:t>
                  </w:r>
                </w:p>
              </w:tc>
              <w:tc>
                <w:tcPr>
                  <w:tcW w:w="595"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6AFEC46C">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100</w:t>
                  </w:r>
                </w:p>
              </w:tc>
              <w:tc>
                <w:tcPr>
                  <w:tcW w:w="58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21C7B227">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86-82</w:t>
                  </w:r>
                </w:p>
              </w:tc>
              <w:tc>
                <w:tcPr>
                  <w:tcW w:w="595"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0E73A0E4">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79-73</w:t>
                  </w:r>
                </w:p>
              </w:tc>
              <w:tc>
                <w:tcPr>
                  <w:tcW w:w="595"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6A8E6256">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72-65</w:t>
                  </w:r>
                </w:p>
              </w:tc>
              <w:tc>
                <w:tcPr>
                  <w:tcW w:w="58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6814AB49">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62-53</w:t>
                  </w:r>
                </w:p>
              </w:tc>
              <w:tc>
                <w:tcPr>
                  <w:tcW w:w="65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0786D564">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45-35</w:t>
                  </w:r>
                </w:p>
              </w:tc>
              <w:tc>
                <w:tcPr>
                  <w:tcW w:w="58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3796DE4E">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31-22</w:t>
                  </w:r>
                </w:p>
              </w:tc>
              <w:tc>
                <w:tcPr>
                  <w:tcW w:w="58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2E7EE11E">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22-13</w:t>
                  </w:r>
                </w:p>
              </w:tc>
              <w:tc>
                <w:tcPr>
                  <w:tcW w:w="587"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0C11B822">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15-8</w:t>
                  </w:r>
                </w:p>
              </w:tc>
              <w:tc>
                <w:tcPr>
                  <w:tcW w:w="663"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2A787A0B">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10-5</w:t>
                  </w:r>
                </w:p>
              </w:tc>
              <w:tc>
                <w:tcPr>
                  <w:tcW w:w="634"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1F27FE1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7-3</w:t>
                  </w:r>
                </w:p>
              </w:tc>
              <w:tc>
                <w:tcPr>
                  <w:tcW w:w="567" w:type="dxa"/>
                  <w:tcBorders>
                    <w:top w:val="single" w:color="000000" w:sz="4" w:space="0"/>
                    <w:left w:val="single" w:color="000000" w:sz="4" w:space="0"/>
                    <w:bottom w:val="single" w:color="000000" w:sz="12" w:space="0"/>
                    <w:right w:val="nil"/>
                  </w:tcBorders>
                  <w:shd w:val="clear" w:color="auto" w:fill="auto"/>
                  <w:vAlign w:val="center"/>
                </w:tcPr>
                <w:p w14:paraId="0B96604C">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smallCaps w:val="0"/>
                      <w:color w:val="000000"/>
                      <w:sz w:val="21"/>
                      <w:szCs w:val="21"/>
                      <w:highlight w:val="yellow"/>
                      <w:u w:val="none"/>
                    </w:rPr>
                  </w:pPr>
                  <w:r>
                    <w:rPr>
                      <w:rFonts w:hint="eastAsia" w:ascii="宋体" w:hAnsi="宋体" w:eastAsia="宋体" w:cs="宋体"/>
                      <w:i w:val="0"/>
                      <w:iCs w:val="0"/>
                      <w:smallCaps w:val="0"/>
                      <w:color w:val="000000"/>
                      <w:kern w:val="0"/>
                      <w:sz w:val="21"/>
                      <w:szCs w:val="21"/>
                      <w:highlight w:val="yellow"/>
                      <w:u w:val="none"/>
                      <w:lang w:val="en-US" w:eastAsia="zh-CN" w:bidi="ar"/>
                    </w:rPr>
                    <w:t>5-2</w:t>
                  </w:r>
                </w:p>
              </w:tc>
            </w:tr>
          </w:tbl>
          <w:p w14:paraId="7717B657">
            <w:pPr>
              <w:rPr>
                <w:rFonts w:hint="eastAsia" w:ascii="宋体" w:hAnsi="宋体" w:eastAsia="宋体" w:cs="宋体"/>
                <w:smallCaps w:val="0"/>
                <w:highlight w:val="yellow"/>
                <w:lang w:val="en-US" w:eastAsia="zh-CN"/>
              </w:rPr>
            </w:pPr>
            <w:r>
              <w:rPr>
                <w:rFonts w:hint="eastAsia" w:ascii="宋体" w:hAnsi="宋体" w:eastAsia="宋体" w:cs="宋体"/>
                <w:smallCaps w:val="0"/>
                <w:highlight w:val="yellow"/>
                <w:lang w:val="en-US" w:eastAsia="zh-CN"/>
              </w:rPr>
              <w:t>基层压实度不小于97%，无侧限抗压强度不小于3.0MPa。底基层压实度不小于95%，无侧限抗压强度不小于2.0MPa。</w:t>
            </w:r>
          </w:p>
          <w:p w14:paraId="65F76AE1">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b/>
                <w:bCs/>
                <w:smallCaps w:val="0"/>
                <w:color w:val="auto"/>
                <w:kern w:val="2"/>
                <w:sz w:val="24"/>
                <w:szCs w:val="24"/>
                <w:highlight w:val="none"/>
                <w:lang w:val="en-US" w:eastAsia="zh-CN" w:bidi="ar-SA"/>
              </w:rPr>
            </w:pPr>
            <w:r>
              <w:rPr>
                <w:rFonts w:hint="eastAsia" w:ascii="宋体" w:hAnsi="宋体" w:eastAsia="宋体" w:cs="宋体"/>
                <w:b/>
                <w:bCs/>
                <w:smallCaps w:val="0"/>
                <w:color w:val="auto"/>
                <w:kern w:val="2"/>
                <w:sz w:val="24"/>
                <w:szCs w:val="24"/>
                <w:highlight w:val="none"/>
                <w:lang w:val="en-US" w:eastAsia="zh-CN" w:bidi="ar-SA"/>
              </w:rPr>
              <w:t>3、技术指标</w:t>
            </w:r>
          </w:p>
          <w:p w14:paraId="4E15A3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表2-8 工程技术指标</w:t>
            </w:r>
          </w:p>
          <w:tbl>
            <w:tblPr>
              <w:tblStyle w:val="34"/>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880"/>
              <w:gridCol w:w="1136"/>
              <w:gridCol w:w="1090"/>
              <w:gridCol w:w="1112"/>
              <w:gridCol w:w="1020"/>
              <w:gridCol w:w="927"/>
              <w:gridCol w:w="635"/>
            </w:tblGrid>
            <w:tr w14:paraId="5AE73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092" w:type="dxa"/>
                  <w:tcBorders>
                    <w:top w:val="single" w:color="auto" w:sz="12" w:space="0"/>
                    <w:left w:val="nil"/>
                  </w:tcBorders>
                  <w:noWrap w:val="0"/>
                  <w:vAlign w:val="center"/>
                </w:tcPr>
                <w:p w14:paraId="4C61AB84">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道路名称</w:t>
                  </w:r>
                </w:p>
              </w:tc>
              <w:tc>
                <w:tcPr>
                  <w:tcW w:w="880" w:type="dxa"/>
                  <w:tcBorders>
                    <w:top w:val="single" w:color="auto" w:sz="12" w:space="0"/>
                  </w:tcBorders>
                  <w:noWrap w:val="0"/>
                  <w:vAlign w:val="center"/>
                </w:tcPr>
                <w:p w14:paraId="6B2A70E6">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道路等级</w:t>
                  </w:r>
                </w:p>
              </w:tc>
              <w:tc>
                <w:tcPr>
                  <w:tcW w:w="1136" w:type="dxa"/>
                  <w:tcBorders>
                    <w:top w:val="single" w:color="auto" w:sz="12" w:space="0"/>
                  </w:tcBorders>
                  <w:noWrap w:val="0"/>
                  <w:vAlign w:val="center"/>
                </w:tcPr>
                <w:p w14:paraId="6CEB8A86">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设计车速（km/h）</w:t>
                  </w:r>
                </w:p>
              </w:tc>
              <w:tc>
                <w:tcPr>
                  <w:tcW w:w="1090" w:type="dxa"/>
                  <w:tcBorders>
                    <w:top w:val="single" w:color="auto" w:sz="12" w:space="0"/>
                  </w:tcBorders>
                  <w:noWrap w:val="0"/>
                  <w:vAlign w:val="center"/>
                </w:tcPr>
                <w:p w14:paraId="3B524EB9">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规划红线宽度（m）</w:t>
                  </w:r>
                </w:p>
              </w:tc>
              <w:tc>
                <w:tcPr>
                  <w:tcW w:w="1112" w:type="dxa"/>
                  <w:tcBorders>
                    <w:top w:val="single" w:color="auto" w:sz="12" w:space="0"/>
                  </w:tcBorders>
                  <w:noWrap w:val="0"/>
                  <w:vAlign w:val="center"/>
                </w:tcPr>
                <w:p w14:paraId="1EE3E755">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设计长度（m）</w:t>
                  </w:r>
                </w:p>
              </w:tc>
              <w:tc>
                <w:tcPr>
                  <w:tcW w:w="1020" w:type="dxa"/>
                  <w:tcBorders>
                    <w:top w:val="single" w:color="auto" w:sz="12" w:space="0"/>
                  </w:tcBorders>
                  <w:noWrap w:val="0"/>
                  <w:vAlign w:val="center"/>
                </w:tcPr>
                <w:p w14:paraId="5F844EAF">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车道</w:t>
                  </w:r>
                </w:p>
              </w:tc>
              <w:tc>
                <w:tcPr>
                  <w:tcW w:w="927" w:type="dxa"/>
                  <w:tcBorders>
                    <w:top w:val="single" w:color="auto" w:sz="12" w:space="0"/>
                  </w:tcBorders>
                  <w:noWrap w:val="0"/>
                  <w:vAlign w:val="center"/>
                </w:tcPr>
                <w:p w14:paraId="05390715">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路面</w:t>
                  </w:r>
                </w:p>
              </w:tc>
              <w:tc>
                <w:tcPr>
                  <w:tcW w:w="635" w:type="dxa"/>
                  <w:tcBorders>
                    <w:top w:val="single" w:color="auto" w:sz="12" w:space="0"/>
                    <w:right w:val="nil"/>
                  </w:tcBorders>
                  <w:noWrap w:val="0"/>
                  <w:vAlign w:val="center"/>
                </w:tcPr>
                <w:p w14:paraId="4CABAA94">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eastAsia" w:ascii="宋体" w:hAnsi="宋体" w:eastAsia="宋体" w:cs="宋体"/>
                      <w:b/>
                      <w:bCs/>
                      <w:i w:val="0"/>
                      <w:iCs w:val="0"/>
                      <w:smallCaps w:val="0"/>
                      <w:color w:val="auto"/>
                      <w:kern w:val="2"/>
                      <w:sz w:val="21"/>
                      <w:szCs w:val="21"/>
                      <w:highlight w:val="none"/>
                      <w:u w:val="none"/>
                      <w:lang w:val="en-US" w:eastAsia="zh-CN" w:bidi="ar-SA"/>
                    </w:rPr>
                  </w:pPr>
                  <w:r>
                    <w:rPr>
                      <w:rFonts w:hint="eastAsia" w:ascii="宋体" w:hAnsi="宋体" w:eastAsia="宋体" w:cs="宋体"/>
                      <w:b/>
                      <w:bCs/>
                      <w:i w:val="0"/>
                      <w:iCs w:val="0"/>
                      <w:smallCaps w:val="0"/>
                      <w:color w:val="auto"/>
                      <w:kern w:val="0"/>
                      <w:sz w:val="21"/>
                      <w:szCs w:val="21"/>
                      <w:highlight w:val="none"/>
                      <w:u w:val="none"/>
                      <w:lang w:val="en-US" w:eastAsia="zh-CN" w:bidi="ar"/>
                    </w:rPr>
                    <w:t>备注</w:t>
                  </w:r>
                </w:p>
              </w:tc>
            </w:tr>
            <w:tr w14:paraId="28DD5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2" w:type="dxa"/>
                  <w:tcBorders>
                    <w:left w:val="nil"/>
                    <w:bottom w:val="single" w:color="auto" w:sz="12" w:space="0"/>
                  </w:tcBorders>
                  <w:noWrap w:val="0"/>
                  <w:vAlign w:val="center"/>
                </w:tcPr>
                <w:p w14:paraId="7CFC118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bCs/>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双鸭山至时代公路提质改造工程</w:t>
                  </w:r>
                </w:p>
              </w:tc>
              <w:tc>
                <w:tcPr>
                  <w:tcW w:w="880" w:type="dxa"/>
                  <w:tcBorders>
                    <w:bottom w:val="single" w:color="auto" w:sz="12" w:space="0"/>
                  </w:tcBorders>
                  <w:noWrap w:val="0"/>
                  <w:vAlign w:val="center"/>
                </w:tcPr>
                <w:p w14:paraId="415E266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二级公路</w:t>
                  </w:r>
                </w:p>
              </w:tc>
              <w:tc>
                <w:tcPr>
                  <w:tcW w:w="1136" w:type="dxa"/>
                  <w:tcBorders>
                    <w:bottom w:val="single" w:color="auto" w:sz="12" w:space="0"/>
                  </w:tcBorders>
                  <w:noWrap w:val="0"/>
                  <w:vAlign w:val="center"/>
                </w:tcPr>
                <w:p w14:paraId="11EE13B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40</w:t>
                  </w:r>
                </w:p>
              </w:tc>
              <w:tc>
                <w:tcPr>
                  <w:tcW w:w="1090" w:type="dxa"/>
                  <w:tcBorders>
                    <w:bottom w:val="single" w:color="auto" w:sz="12" w:space="0"/>
                  </w:tcBorders>
                  <w:noWrap w:val="0"/>
                  <w:vAlign w:val="center"/>
                </w:tcPr>
                <w:p w14:paraId="2D7BE32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18</w:t>
                  </w:r>
                </w:p>
              </w:tc>
              <w:tc>
                <w:tcPr>
                  <w:tcW w:w="1112" w:type="dxa"/>
                  <w:tcBorders>
                    <w:bottom w:val="single" w:color="auto" w:sz="12" w:space="0"/>
                  </w:tcBorders>
                  <w:noWrap w:val="0"/>
                  <w:vAlign w:val="center"/>
                </w:tcPr>
                <w:p w14:paraId="3110248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2125</w:t>
                  </w:r>
                </w:p>
              </w:tc>
              <w:tc>
                <w:tcPr>
                  <w:tcW w:w="1020" w:type="dxa"/>
                  <w:tcBorders>
                    <w:bottom w:val="single" w:color="auto" w:sz="12" w:space="0"/>
                  </w:tcBorders>
                  <w:noWrap w:val="0"/>
                  <w:vAlign w:val="center"/>
                </w:tcPr>
                <w:p w14:paraId="4F66ABB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对向双车道</w:t>
                  </w:r>
                </w:p>
              </w:tc>
              <w:tc>
                <w:tcPr>
                  <w:tcW w:w="927" w:type="dxa"/>
                  <w:tcBorders>
                    <w:bottom w:val="single" w:color="auto" w:sz="12" w:space="0"/>
                  </w:tcBorders>
                  <w:noWrap w:val="0"/>
                  <w:vAlign w:val="center"/>
                </w:tcPr>
                <w:p w14:paraId="62F44E3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混凝土路面</w:t>
                  </w:r>
                </w:p>
              </w:tc>
              <w:tc>
                <w:tcPr>
                  <w:tcW w:w="635" w:type="dxa"/>
                  <w:tcBorders>
                    <w:bottom w:val="single" w:color="auto" w:sz="12" w:space="0"/>
                    <w:right w:val="nil"/>
                  </w:tcBorders>
                  <w:noWrap w:val="0"/>
                  <w:vAlign w:val="center"/>
                </w:tcPr>
                <w:p w14:paraId="051D703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eastAsia" w:ascii="宋体" w:hAnsi="宋体" w:eastAsia="宋体" w:cs="宋体"/>
                      <w:b w:val="0"/>
                      <w:bCs w:val="0"/>
                      <w:smallCaps w:val="0"/>
                      <w:color w:val="auto"/>
                      <w:sz w:val="21"/>
                      <w:szCs w:val="21"/>
                      <w:highlight w:val="none"/>
                      <w:vertAlign w:val="baseline"/>
                      <w:lang w:val="en-US" w:eastAsia="zh-CN"/>
                    </w:rPr>
                  </w:pPr>
                  <w:r>
                    <w:rPr>
                      <w:rFonts w:hint="eastAsia" w:ascii="宋体" w:hAnsi="宋体" w:eastAsia="宋体" w:cs="宋体"/>
                      <w:b w:val="0"/>
                      <w:bCs w:val="0"/>
                      <w:smallCaps w:val="0"/>
                      <w:color w:val="auto"/>
                      <w:sz w:val="21"/>
                      <w:szCs w:val="21"/>
                      <w:highlight w:val="none"/>
                      <w:vertAlign w:val="baseline"/>
                      <w:lang w:val="en-US" w:eastAsia="zh-CN"/>
                    </w:rPr>
                    <w:t>改建</w:t>
                  </w:r>
                </w:p>
              </w:tc>
            </w:tr>
          </w:tbl>
          <w:p w14:paraId="518A4BDA">
            <w:pPr>
              <w:keepNext w:val="0"/>
              <w:keepLines w:val="0"/>
              <w:pageBreakBefore w:val="0"/>
              <w:widowControl w:val="0"/>
              <w:numPr>
                <w:ilvl w:val="0"/>
                <w:numId w:val="0"/>
              </w:numPr>
              <w:kinsoku/>
              <w:wordWrap/>
              <w:overflowPunct/>
              <w:topLinePunct w:val="0"/>
              <w:autoSpaceDE/>
              <w:autoSpaceDN/>
              <w:bidi w:val="0"/>
              <w:adjustRightInd w:val="0"/>
              <w:snapToGrid w:val="0"/>
              <w:ind w:firstLine="482" w:firstLineChars="200"/>
              <w:jc w:val="left"/>
              <w:textAlignment w:val="auto"/>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四、桥涵工程</w:t>
            </w:r>
          </w:p>
          <w:p w14:paraId="67AC7C80">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b w:val="0"/>
                <w:bCs w:val="0"/>
                <w:smallCaps w:val="0"/>
                <w:color w:val="auto"/>
                <w:szCs w:val="24"/>
                <w:highlight w:val="none"/>
                <w:lang w:val="en-US" w:eastAsia="zh-CN"/>
              </w:rPr>
            </w:pPr>
            <w:r>
              <w:rPr>
                <w:rFonts w:hint="eastAsia" w:ascii="宋体" w:hAnsi="宋体" w:eastAsia="宋体" w:cs="宋体"/>
                <w:b w:val="0"/>
                <w:bCs w:val="0"/>
                <w:smallCaps w:val="0"/>
                <w:color w:val="auto"/>
                <w:szCs w:val="24"/>
                <w:highlight w:val="none"/>
                <w:lang w:val="en-US" w:eastAsia="zh-CN"/>
              </w:rPr>
              <w:t>经实地调查，本路段现有涵洞2道，其中1-1.5m流纹管涵1道，2-1.5m流纹管涵1道。近年来，由于车流量的增加，波纹管涵洞破损严重，荷载等级及泄洪能力已不能满足要求。</w:t>
            </w:r>
          </w:p>
          <w:p w14:paraId="1107B60A">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（一）桥涵设计标准及标准采用情况</w:t>
            </w:r>
          </w:p>
          <w:p w14:paraId="760A1143">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汽车荷载等级：公路-Ⅱ级</w:t>
            </w:r>
          </w:p>
          <w:p w14:paraId="4A50050C">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设计基准期：100年</w:t>
            </w:r>
          </w:p>
          <w:p w14:paraId="4BEFCC5D">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设计安全等级：二级</w:t>
            </w:r>
          </w:p>
          <w:p w14:paraId="54785C2A">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环境类别：I类</w:t>
            </w:r>
          </w:p>
          <w:p w14:paraId="7C2B144E">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设计洪水频率：中桥：P=1/50</w:t>
            </w:r>
          </w:p>
          <w:p w14:paraId="3E3D2D09">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地震作用：地震动峰值加速度系数小于0.05g，本次设计只进行构造设防措施，不进行专门抗震设计。</w:t>
            </w:r>
          </w:p>
          <w:p w14:paraId="779DC04C">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（二）建设地点</w:t>
            </w:r>
          </w:p>
          <w:p w14:paraId="6FCDD8FC">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smallCaps w:val="0"/>
                <w:color w:val="auto"/>
                <w:szCs w:val="24"/>
                <w:highlight w:val="none"/>
                <w:lang w:val="en-US" w:eastAsia="zh-CN"/>
              </w:rPr>
            </w:pPr>
            <w:r>
              <w:rPr>
                <w:rFonts w:hint="eastAsia" w:ascii="宋体" w:hAnsi="宋体" w:eastAsia="宋体" w:cs="宋体"/>
                <w:smallCaps w:val="0"/>
                <w:color w:val="auto"/>
                <w:szCs w:val="24"/>
                <w:highlight w:val="none"/>
                <w:lang w:val="en-US" w:eastAsia="zh-CN"/>
              </w:rPr>
              <w:t>拟将K6+240、K6+757处波纹管涵改建为1-5.0x2.0m 钢筋混凝土箱涵。</w:t>
            </w:r>
          </w:p>
          <w:p w14:paraId="6A3F73B4">
            <w:pPr>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五、绿化工程</w:t>
            </w:r>
          </w:p>
          <w:p w14:paraId="046E1635">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双鸭山至时代公路提质改造工程位于双鸭山市岭东区，工程起点为双鸭山至时代公路钢铁桥桥尾，终点与水泥厂水泥混凝土硬化路相接，全长2125m，桩号</w:t>
            </w:r>
            <w:r>
              <w:rPr>
                <w:rFonts w:hint="eastAsia" w:ascii="宋体" w:hAnsi="宋体" w:eastAsia="宋体" w:cs="宋体"/>
                <w:smallCaps w:val="0"/>
                <w:color w:val="auto"/>
                <w:kern w:val="2"/>
                <w:sz w:val="24"/>
                <w:szCs w:val="24"/>
                <w:highlight w:val="none"/>
                <w:shd w:val="clear" w:color="auto" w:fill="auto"/>
                <w:lang w:val="en-US" w:eastAsia="zh-CN" w:bidi="ar-SA"/>
              </w:rPr>
              <w:t>K6+050~K8+175</w:t>
            </w:r>
            <w:r>
              <w:rPr>
                <w:rFonts w:hint="eastAsia" w:ascii="宋体" w:hAnsi="宋体" w:eastAsia="宋体" w:cs="宋体"/>
                <w:smallCaps w:val="0"/>
                <w:color w:val="auto"/>
                <w:kern w:val="2"/>
                <w:sz w:val="24"/>
                <w:szCs w:val="24"/>
                <w:highlight w:val="none"/>
                <w:lang w:val="en-US" w:eastAsia="zh-CN" w:bidi="ar-SA"/>
              </w:rPr>
              <w:t>。道路两侧现状为乔木林地，施工不会破坏现有植被，无须进行绿化工程。</w:t>
            </w:r>
          </w:p>
          <w:p w14:paraId="3EDC3228">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cs="宋体"/>
                <w:b/>
                <w:bCs/>
                <w:smallCaps w:val="0"/>
                <w:color w:val="auto"/>
                <w:szCs w:val="24"/>
                <w:highlight w:val="none"/>
                <w:lang w:val="en-US" w:eastAsia="zh-CN"/>
              </w:rPr>
              <w:t>六</w:t>
            </w:r>
            <w:r>
              <w:rPr>
                <w:rFonts w:hint="eastAsia" w:ascii="宋体" w:hAnsi="宋体" w:eastAsia="宋体" w:cs="宋体"/>
                <w:b/>
                <w:bCs/>
                <w:smallCaps w:val="0"/>
                <w:color w:val="auto"/>
                <w:szCs w:val="24"/>
                <w:highlight w:val="none"/>
                <w:lang w:val="en-US" w:eastAsia="zh-CN"/>
              </w:rPr>
              <w:t>、征地与拆迁</w:t>
            </w:r>
          </w:p>
          <w:p w14:paraId="010C062C">
            <w:pPr>
              <w:autoSpaceDE w:val="0"/>
              <w:autoSpaceDN w:val="0"/>
              <w:adjustRightInd w:val="0"/>
              <w:snapToGrid w:val="0"/>
              <w:ind w:firstLine="482"/>
              <w:jc w:val="left"/>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lang w:val="en-US" w:eastAsia="zh-CN"/>
              </w:rPr>
              <w:t>1、征地</w:t>
            </w:r>
          </w:p>
          <w:p w14:paraId="4ACE1251">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根据双鸭山市自然资源局出具的黑龙江省双鸭山至时代公路提质改造工程建设项目用地预审与选址意见书（</w:t>
            </w:r>
            <w:r>
              <w:rPr>
                <w:rFonts w:hint="eastAsia" w:ascii="宋体" w:hAnsi="宋体" w:eastAsia="宋体" w:cs="宋体"/>
                <w:smallCaps w:val="0"/>
                <w:color w:val="auto"/>
                <w:kern w:val="2"/>
                <w:sz w:val="24"/>
                <w:szCs w:val="24"/>
                <w:highlight w:val="none"/>
                <w:shd w:val="clear" w:color="auto" w:fill="auto"/>
                <w:lang w:val="en-US" w:eastAsia="zh-CN" w:bidi="ar-SA"/>
              </w:rPr>
              <w:t>双自然资用字第230503202300001号</w:t>
            </w:r>
            <w:r>
              <w:rPr>
                <w:rFonts w:hint="eastAsia" w:ascii="宋体" w:hAnsi="宋体" w:eastAsia="宋体" w:cs="宋体"/>
                <w:smallCaps w:val="0"/>
                <w:color w:val="auto"/>
                <w:kern w:val="2"/>
                <w:sz w:val="24"/>
                <w:szCs w:val="24"/>
                <w:highlight w:val="none"/>
                <w:lang w:val="en-US" w:eastAsia="zh-CN" w:bidi="ar-SA"/>
              </w:rPr>
              <w:t>），用地总规模3.7864公顷，其中公路用地3.2012公顷、耕地0.3903公顷、建设用地0.0618公顷、未利用地0.1331公顷。</w:t>
            </w:r>
          </w:p>
          <w:p w14:paraId="418AC0FA">
            <w:pPr>
              <w:rPr>
                <w:rFonts w:hint="eastAsia" w:ascii="宋体" w:hAnsi="宋体" w:eastAsia="宋体" w:cs="宋体"/>
                <w:b/>
                <w:bCs/>
                <w:smallCaps w:val="0"/>
                <w:color w:val="auto"/>
                <w:kern w:val="2"/>
                <w:sz w:val="24"/>
                <w:szCs w:val="24"/>
                <w:highlight w:val="none"/>
                <w:lang w:val="en-US" w:eastAsia="zh-CN" w:bidi="ar-SA"/>
              </w:rPr>
            </w:pPr>
            <w:r>
              <w:rPr>
                <w:rFonts w:hint="eastAsia" w:ascii="宋体" w:hAnsi="宋体" w:eastAsia="宋体" w:cs="宋体"/>
                <w:b/>
                <w:bCs/>
                <w:smallCaps w:val="0"/>
                <w:color w:val="auto"/>
                <w:kern w:val="2"/>
                <w:sz w:val="24"/>
                <w:szCs w:val="24"/>
                <w:highlight w:val="none"/>
                <w:lang w:val="en-US" w:eastAsia="zh-CN" w:bidi="ar-SA"/>
              </w:rPr>
              <w:t>2、拆迁</w:t>
            </w:r>
          </w:p>
          <w:p w14:paraId="5DB1F608">
            <w:pPr>
              <w:pStyle w:val="25"/>
              <w:keepNext w:val="0"/>
              <w:keepLines w:val="0"/>
              <w:pageBreakBefore w:val="0"/>
              <w:widowControl w:val="0"/>
              <w:kinsoku/>
              <w:wordWrap/>
              <w:overflowPunct/>
              <w:topLinePunct w:val="0"/>
              <w:autoSpaceDE/>
              <w:autoSpaceDN/>
              <w:bidi w:val="0"/>
              <w:adjustRightInd/>
              <w:snapToGrid/>
              <w:ind w:left="0"/>
              <w:textAlignment w:val="auto"/>
              <w:rPr>
                <w:rFonts w:hint="eastAsia" w:ascii="宋体" w:hAnsi="宋体" w:eastAsia="宋体" w:cs="宋体"/>
                <w:smallCaps w:val="0"/>
                <w:color w:val="auto"/>
                <w:kern w:val="2"/>
                <w:sz w:val="24"/>
                <w:szCs w:val="24"/>
                <w:highlight w:val="none"/>
                <w:lang w:val="en-US" w:eastAsia="zh-CN" w:bidi="ar-SA"/>
              </w:rPr>
            </w:pPr>
            <w:r>
              <w:rPr>
                <w:rFonts w:hint="eastAsia" w:ascii="宋体" w:hAnsi="宋体" w:eastAsia="宋体" w:cs="宋体"/>
                <w:smallCaps w:val="0"/>
                <w:color w:val="auto"/>
                <w:kern w:val="2"/>
                <w:sz w:val="24"/>
                <w:szCs w:val="24"/>
                <w:highlight w:val="none"/>
                <w:lang w:val="en-US" w:eastAsia="zh-CN" w:bidi="ar-SA"/>
              </w:rPr>
              <w:t>本工程不涉及拆迁和砍伐。</w:t>
            </w:r>
          </w:p>
          <w:p w14:paraId="2FEDBD5E">
            <w:pPr>
              <w:autoSpaceDE w:val="0"/>
              <w:autoSpaceDN w:val="0"/>
              <w:adjustRightInd w:val="0"/>
              <w:snapToGrid w:val="0"/>
              <w:ind w:firstLine="482"/>
              <w:jc w:val="left"/>
              <w:rPr>
                <w:rFonts w:hint="eastAsia" w:ascii="宋体" w:hAnsi="宋体" w:eastAsia="宋体" w:cs="宋体"/>
                <w:b/>
                <w:bCs/>
                <w:smallCaps w:val="0"/>
                <w:color w:val="auto"/>
                <w:szCs w:val="24"/>
                <w:highlight w:val="none"/>
              </w:rPr>
            </w:pPr>
            <w:r>
              <w:rPr>
                <w:rFonts w:hint="eastAsia" w:ascii="宋体" w:hAnsi="宋体" w:cs="宋体"/>
                <w:b/>
                <w:bCs/>
                <w:smallCaps w:val="0"/>
                <w:color w:val="auto"/>
                <w:szCs w:val="24"/>
                <w:highlight w:val="none"/>
                <w:lang w:val="en-US" w:eastAsia="zh-CN"/>
              </w:rPr>
              <w:t>七</w:t>
            </w:r>
            <w:r>
              <w:rPr>
                <w:rFonts w:hint="eastAsia" w:ascii="宋体" w:hAnsi="宋体" w:eastAsia="宋体" w:cs="宋体"/>
                <w:b/>
                <w:bCs/>
                <w:smallCaps w:val="0"/>
                <w:color w:val="auto"/>
                <w:szCs w:val="24"/>
                <w:highlight w:val="none"/>
              </w:rPr>
              <w:t>、土石方平衡分析</w:t>
            </w:r>
          </w:p>
          <w:p w14:paraId="4CCE7AEC">
            <w:pPr>
              <w:ind w:firstLine="480"/>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Cs w:val="21"/>
                <w:highlight w:val="none"/>
                <w:lang w:val="en-US" w:eastAsia="zh-CN"/>
              </w:rPr>
              <w:t>本项目挖方总量为</w:t>
            </w:r>
            <w:r>
              <w:rPr>
                <w:rFonts w:hint="eastAsia" w:ascii="宋体" w:hAnsi="宋体" w:eastAsia="宋体" w:cs="宋体"/>
                <w:smallCaps w:val="0"/>
                <w:color w:val="auto"/>
                <w:kern w:val="0"/>
                <w:sz w:val="24"/>
                <w:szCs w:val="24"/>
                <w:highlight w:val="none"/>
                <w:lang w:val="en-US" w:eastAsia="zh-CN"/>
              </w:rPr>
              <w:t>11531.9m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，表土方挖方量2263.28m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，产生弃方量10101.9m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w:t>
            </w:r>
            <w:r>
              <w:rPr>
                <w:rFonts w:hint="eastAsia" w:ascii="宋体" w:hAnsi="宋体" w:eastAsia="宋体" w:cs="宋体"/>
                <w:smallCaps w:val="0"/>
                <w:color w:val="auto"/>
                <w:kern w:val="0"/>
                <w:sz w:val="24"/>
                <w:szCs w:val="24"/>
                <w:highlight w:val="yellow"/>
                <w:lang w:val="en-US" w:eastAsia="zh-CN"/>
              </w:rPr>
              <w:t>产生弃方暂存临时弃渣场，定期拉运至双鸭山建筑垃圾处置消纳场，建筑垃圾处置消纳场位于尖山区窑地路中段，运距12km，途径双西路、南环路、窑地路。</w:t>
            </w:r>
            <w:r>
              <w:rPr>
                <w:rFonts w:hint="eastAsia" w:ascii="宋体" w:hAnsi="宋体" w:eastAsia="宋体" w:cs="宋体"/>
                <w:smallCaps w:val="0"/>
                <w:color w:val="auto"/>
                <w:kern w:val="0"/>
                <w:sz w:val="24"/>
                <w:szCs w:val="24"/>
                <w:highlight w:val="none"/>
                <w:lang w:val="en-US" w:eastAsia="zh-CN"/>
              </w:rPr>
              <w:t>表土转运用于植被恢复</w:t>
            </w:r>
            <w:r>
              <w:rPr>
                <w:rFonts w:hint="eastAsia" w:ascii="宋体" w:hAnsi="宋体" w:eastAsia="宋体" w:cs="宋体"/>
                <w:smallCaps w:val="0"/>
                <w:color w:val="auto"/>
                <w:kern w:val="0"/>
                <w:szCs w:val="21"/>
                <w:highlight w:val="none"/>
                <w:lang w:val="en-US" w:eastAsia="zh-CN"/>
              </w:rPr>
              <w:t>，本</w:t>
            </w:r>
            <w:r>
              <w:rPr>
                <w:rFonts w:hint="eastAsia" w:ascii="宋体" w:hAnsi="宋体" w:eastAsia="宋体" w:cs="宋体"/>
                <w:smallCaps w:val="0"/>
                <w:color w:val="auto"/>
                <w:kern w:val="0"/>
                <w:szCs w:val="21"/>
                <w:highlight w:val="none"/>
              </w:rPr>
              <w:t>项目土石方及平衡见</w:t>
            </w:r>
            <w:r>
              <w:rPr>
                <w:rFonts w:hint="eastAsia" w:ascii="宋体" w:hAnsi="宋体" w:eastAsia="宋体" w:cs="宋体"/>
                <w:smallCaps w:val="0"/>
                <w:color w:val="auto"/>
                <w:kern w:val="0"/>
                <w:szCs w:val="21"/>
                <w:highlight w:val="none"/>
                <w:lang w:val="en-US" w:eastAsia="zh-CN"/>
              </w:rPr>
              <w:t>下</w:t>
            </w:r>
            <w:r>
              <w:rPr>
                <w:rFonts w:hint="eastAsia" w:ascii="宋体" w:hAnsi="宋体" w:eastAsia="宋体" w:cs="宋体"/>
                <w:smallCaps w:val="0"/>
                <w:color w:val="auto"/>
                <w:kern w:val="0"/>
                <w:szCs w:val="21"/>
                <w:highlight w:val="none"/>
              </w:rPr>
              <w:t>表。</w:t>
            </w:r>
          </w:p>
          <w:p w14:paraId="1EDF9E90">
            <w:pPr>
              <w:pStyle w:val="66"/>
              <w:spacing w:line="240" w:lineRule="auto"/>
              <w:rPr>
                <w:rFonts w:hint="eastAsia" w:ascii="宋体" w:hAnsi="宋体" w:eastAsia="宋体" w:cs="宋体"/>
                <w:b/>
                <w:smallCaps w:val="0"/>
                <w:color w:val="auto"/>
                <w:kern w:val="0"/>
                <w:sz w:val="21"/>
                <w:szCs w:val="21"/>
                <w:highlight w:val="yellow"/>
                <w:lang w:val="en-US" w:eastAsia="zh-CN" w:bidi="ar-SA"/>
              </w:rPr>
            </w:pPr>
            <w:r>
              <w:rPr>
                <w:rFonts w:hint="eastAsia" w:ascii="宋体" w:hAnsi="宋体" w:eastAsia="宋体" w:cs="宋体"/>
                <w:b/>
                <w:smallCaps w:val="0"/>
                <w:color w:val="auto"/>
                <w:kern w:val="0"/>
                <w:sz w:val="21"/>
                <w:szCs w:val="21"/>
                <w:highlight w:val="yellow"/>
                <w:lang w:val="en-US" w:eastAsia="zh-CN" w:bidi="ar-SA"/>
              </w:rPr>
              <w:t>表2-9  本项目整体土石方平衡</w:t>
            </w:r>
          </w:p>
          <w:tbl>
            <w:tblPr>
              <w:tblStyle w:val="33"/>
              <w:tblW w:w="49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2"/>
              <w:gridCol w:w="990"/>
              <w:gridCol w:w="1245"/>
              <w:gridCol w:w="840"/>
              <w:gridCol w:w="715"/>
              <w:gridCol w:w="1036"/>
              <w:gridCol w:w="1057"/>
              <w:gridCol w:w="1057"/>
            </w:tblGrid>
            <w:tr w14:paraId="6F4DB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08" w:type="pct"/>
                  <w:noWrap w:val="0"/>
                  <w:vAlign w:val="center"/>
                </w:tcPr>
                <w:p w14:paraId="6000A2FE">
                  <w:pPr>
                    <w:pStyle w:val="73"/>
                    <w:rPr>
                      <w:rFonts w:hint="eastAsia" w:ascii="宋体" w:hAnsi="宋体" w:eastAsia="宋体" w:cs="宋体"/>
                      <w:b/>
                      <w:bCs/>
                      <w:smallCaps w:val="0"/>
                      <w:color w:val="auto"/>
                      <w:kern w:val="0"/>
                      <w:sz w:val="21"/>
                      <w:szCs w:val="21"/>
                      <w:highlight w:val="yellow"/>
                    </w:rPr>
                  </w:pPr>
                  <w:r>
                    <w:rPr>
                      <w:rFonts w:hint="eastAsia" w:ascii="宋体" w:hAnsi="宋体" w:eastAsia="宋体" w:cs="宋体"/>
                      <w:b/>
                      <w:bCs/>
                      <w:smallCaps w:val="0"/>
                      <w:color w:val="auto"/>
                      <w:kern w:val="0"/>
                      <w:sz w:val="21"/>
                      <w:szCs w:val="21"/>
                      <w:highlight w:val="yellow"/>
                      <w:lang w:val="en-US" w:eastAsia="zh-CN"/>
                    </w:rPr>
                    <w:t>挖方量</w:t>
                  </w:r>
                  <w:r>
                    <w:rPr>
                      <w:rFonts w:hint="eastAsia" w:ascii="宋体" w:hAnsi="宋体" w:eastAsia="宋体" w:cs="宋体"/>
                      <w:b/>
                      <w:bCs/>
                      <w:smallCaps w:val="0"/>
                      <w:color w:val="auto"/>
                      <w:kern w:val="0"/>
                      <w:sz w:val="21"/>
                      <w:szCs w:val="21"/>
                      <w:highlight w:val="yellow"/>
                    </w:rPr>
                    <w:t>m</w:t>
                  </w:r>
                  <w:r>
                    <w:rPr>
                      <w:rFonts w:hint="eastAsia" w:ascii="宋体" w:hAnsi="宋体" w:eastAsia="宋体" w:cs="宋体"/>
                      <w:b/>
                      <w:bCs/>
                      <w:smallCaps w:val="0"/>
                      <w:color w:val="auto"/>
                      <w:kern w:val="0"/>
                      <w:sz w:val="21"/>
                      <w:szCs w:val="21"/>
                      <w:highlight w:val="yellow"/>
                      <w:vertAlign w:val="superscript"/>
                    </w:rPr>
                    <w:t>3</w:t>
                  </w:r>
                </w:p>
              </w:tc>
              <w:tc>
                <w:tcPr>
                  <w:tcW w:w="626" w:type="pct"/>
                  <w:noWrap w:val="0"/>
                  <w:vAlign w:val="center"/>
                </w:tcPr>
                <w:p w14:paraId="0181DEBC">
                  <w:pPr>
                    <w:pStyle w:val="73"/>
                    <w:rPr>
                      <w:rFonts w:hint="eastAsia" w:ascii="宋体" w:hAnsi="宋体" w:eastAsia="宋体" w:cs="宋体"/>
                      <w:b/>
                      <w:bCs/>
                      <w:smallCaps w:val="0"/>
                      <w:color w:val="auto"/>
                      <w:kern w:val="0"/>
                      <w:sz w:val="21"/>
                      <w:szCs w:val="21"/>
                      <w:highlight w:val="yellow"/>
                      <w:lang w:val="en-US" w:eastAsia="zh-CN"/>
                    </w:rPr>
                  </w:pPr>
                  <w:r>
                    <w:rPr>
                      <w:rFonts w:hint="eastAsia" w:ascii="宋体" w:hAnsi="宋体" w:eastAsia="宋体" w:cs="宋体"/>
                      <w:b/>
                      <w:bCs/>
                      <w:smallCaps w:val="0"/>
                      <w:color w:val="auto"/>
                      <w:kern w:val="0"/>
                      <w:sz w:val="21"/>
                      <w:szCs w:val="21"/>
                      <w:highlight w:val="yellow"/>
                      <w:lang w:val="en-US" w:eastAsia="zh-CN"/>
                    </w:rPr>
                    <w:t>表土方</w:t>
                  </w:r>
                  <w:r>
                    <w:rPr>
                      <w:rFonts w:hint="eastAsia" w:ascii="宋体" w:hAnsi="宋体" w:eastAsia="宋体" w:cs="宋体"/>
                      <w:b/>
                      <w:bCs/>
                      <w:smallCaps w:val="0"/>
                      <w:color w:val="auto"/>
                      <w:kern w:val="0"/>
                      <w:sz w:val="21"/>
                      <w:szCs w:val="21"/>
                      <w:highlight w:val="yellow"/>
                    </w:rPr>
                    <w:t>m</w:t>
                  </w:r>
                  <w:r>
                    <w:rPr>
                      <w:rFonts w:hint="eastAsia" w:ascii="宋体" w:hAnsi="宋体" w:eastAsia="宋体" w:cs="宋体"/>
                      <w:b/>
                      <w:bCs/>
                      <w:smallCaps w:val="0"/>
                      <w:color w:val="auto"/>
                      <w:kern w:val="0"/>
                      <w:sz w:val="21"/>
                      <w:szCs w:val="21"/>
                      <w:highlight w:val="yellow"/>
                      <w:vertAlign w:val="superscript"/>
                    </w:rPr>
                    <w:t>3</w:t>
                  </w:r>
                </w:p>
              </w:tc>
              <w:tc>
                <w:tcPr>
                  <w:tcW w:w="787" w:type="pct"/>
                  <w:noWrap w:val="0"/>
                  <w:vAlign w:val="center"/>
                </w:tcPr>
                <w:p w14:paraId="2DE6BE3E">
                  <w:pPr>
                    <w:pStyle w:val="73"/>
                    <w:rPr>
                      <w:rFonts w:hint="eastAsia" w:ascii="宋体" w:hAnsi="宋体" w:eastAsia="宋体" w:cs="宋体"/>
                      <w:b/>
                      <w:bCs/>
                      <w:smallCaps w:val="0"/>
                      <w:color w:val="auto"/>
                      <w:kern w:val="0"/>
                      <w:sz w:val="21"/>
                      <w:szCs w:val="21"/>
                      <w:highlight w:val="yellow"/>
                      <w:lang w:val="en-US" w:eastAsia="zh-CN"/>
                    </w:rPr>
                  </w:pPr>
                  <w:r>
                    <w:rPr>
                      <w:rFonts w:hint="eastAsia" w:ascii="宋体" w:hAnsi="宋体" w:eastAsia="宋体" w:cs="宋体"/>
                      <w:b/>
                      <w:bCs/>
                      <w:smallCaps w:val="0"/>
                      <w:color w:val="auto"/>
                      <w:kern w:val="0"/>
                      <w:sz w:val="21"/>
                      <w:szCs w:val="21"/>
                      <w:highlight w:val="yellow"/>
                      <w:lang w:val="en-US" w:eastAsia="zh-CN"/>
                    </w:rPr>
                    <w:t>填</w:t>
                  </w:r>
                  <w:r>
                    <w:rPr>
                      <w:rFonts w:hint="eastAsia" w:ascii="宋体" w:hAnsi="宋体" w:eastAsia="宋体" w:cs="宋体"/>
                      <w:b/>
                      <w:bCs/>
                      <w:smallCaps w:val="0"/>
                      <w:color w:val="auto"/>
                      <w:kern w:val="0"/>
                      <w:sz w:val="21"/>
                      <w:szCs w:val="21"/>
                      <w:highlight w:val="yellow"/>
                    </w:rPr>
                    <w:t>方</w:t>
                  </w:r>
                  <w:r>
                    <w:rPr>
                      <w:rFonts w:hint="eastAsia" w:ascii="宋体" w:hAnsi="宋体" w:eastAsia="宋体" w:cs="宋体"/>
                      <w:b/>
                      <w:bCs/>
                      <w:smallCaps w:val="0"/>
                      <w:color w:val="auto"/>
                      <w:kern w:val="0"/>
                      <w:sz w:val="21"/>
                      <w:szCs w:val="21"/>
                      <w:highlight w:val="yellow"/>
                      <w:lang w:val="en-US" w:eastAsia="zh-CN"/>
                    </w:rPr>
                    <w:t>量</w:t>
                  </w:r>
                  <w:r>
                    <w:rPr>
                      <w:rFonts w:hint="eastAsia" w:ascii="宋体" w:hAnsi="宋体" w:eastAsia="宋体" w:cs="宋体"/>
                      <w:b/>
                      <w:bCs/>
                      <w:smallCaps w:val="0"/>
                      <w:color w:val="auto"/>
                      <w:kern w:val="0"/>
                      <w:sz w:val="21"/>
                      <w:szCs w:val="21"/>
                      <w:highlight w:val="yellow"/>
                    </w:rPr>
                    <w:t>m</w:t>
                  </w:r>
                  <w:r>
                    <w:rPr>
                      <w:rFonts w:hint="eastAsia" w:ascii="宋体" w:hAnsi="宋体" w:eastAsia="宋体" w:cs="宋体"/>
                      <w:b/>
                      <w:bCs/>
                      <w:smallCaps w:val="0"/>
                      <w:color w:val="auto"/>
                      <w:kern w:val="0"/>
                      <w:sz w:val="21"/>
                      <w:szCs w:val="21"/>
                      <w:highlight w:val="yellow"/>
                      <w:vertAlign w:val="superscript"/>
                    </w:rPr>
                    <w:t>3</w:t>
                  </w:r>
                  <w:r>
                    <w:rPr>
                      <w:rFonts w:hint="eastAsia" w:ascii="宋体" w:hAnsi="宋体" w:eastAsia="宋体" w:cs="宋体"/>
                      <w:b/>
                      <w:bCs/>
                      <w:smallCaps w:val="0"/>
                      <w:color w:val="auto"/>
                      <w:kern w:val="0"/>
                      <w:sz w:val="21"/>
                      <w:szCs w:val="21"/>
                      <w:highlight w:val="yellow"/>
                      <w:vertAlign w:val="baseline"/>
                      <w:lang w:eastAsia="zh-CN"/>
                    </w:rPr>
                    <w:t>（</w:t>
                  </w:r>
                  <w:r>
                    <w:rPr>
                      <w:rFonts w:hint="eastAsia" w:ascii="宋体" w:hAnsi="宋体" w:eastAsia="宋体" w:cs="宋体"/>
                      <w:b/>
                      <w:bCs/>
                      <w:smallCaps w:val="0"/>
                      <w:color w:val="auto"/>
                      <w:kern w:val="0"/>
                      <w:sz w:val="21"/>
                      <w:szCs w:val="21"/>
                      <w:highlight w:val="yellow"/>
                      <w:vertAlign w:val="baseline"/>
                      <w:lang w:val="en-US" w:eastAsia="zh-CN"/>
                    </w:rPr>
                    <w:t>成品方</w:t>
                  </w:r>
                  <w:r>
                    <w:rPr>
                      <w:rFonts w:hint="eastAsia" w:ascii="宋体" w:hAnsi="宋体" w:eastAsia="宋体" w:cs="宋体"/>
                      <w:b/>
                      <w:bCs/>
                      <w:smallCaps w:val="0"/>
                      <w:color w:val="auto"/>
                      <w:kern w:val="0"/>
                      <w:sz w:val="21"/>
                      <w:szCs w:val="21"/>
                      <w:highlight w:val="yellow"/>
                      <w:vertAlign w:val="baseline"/>
                      <w:lang w:eastAsia="zh-CN"/>
                    </w:rPr>
                    <w:t>）</w:t>
                  </w:r>
                </w:p>
              </w:tc>
              <w:tc>
                <w:tcPr>
                  <w:tcW w:w="531" w:type="pct"/>
                  <w:noWrap w:val="0"/>
                  <w:vAlign w:val="center"/>
                </w:tcPr>
                <w:p w14:paraId="7F97FE43">
                  <w:pPr>
                    <w:pStyle w:val="73"/>
                    <w:rPr>
                      <w:rFonts w:hint="eastAsia" w:ascii="宋体" w:hAnsi="宋体" w:eastAsia="宋体" w:cs="宋体"/>
                      <w:b/>
                      <w:bCs/>
                      <w:smallCaps w:val="0"/>
                      <w:color w:val="auto"/>
                      <w:kern w:val="0"/>
                      <w:sz w:val="21"/>
                      <w:szCs w:val="21"/>
                      <w:highlight w:val="yellow"/>
                    </w:rPr>
                  </w:pPr>
                  <w:r>
                    <w:rPr>
                      <w:rFonts w:hint="eastAsia" w:ascii="宋体" w:hAnsi="宋体" w:eastAsia="宋体" w:cs="宋体"/>
                      <w:b/>
                      <w:bCs/>
                      <w:smallCaps w:val="0"/>
                      <w:color w:val="auto"/>
                      <w:kern w:val="0"/>
                      <w:sz w:val="21"/>
                      <w:szCs w:val="21"/>
                      <w:highlight w:val="yellow"/>
                      <w:lang w:val="en-US" w:eastAsia="zh-CN"/>
                    </w:rPr>
                    <w:t>利用方</w:t>
                  </w:r>
                  <w:r>
                    <w:rPr>
                      <w:rFonts w:hint="eastAsia" w:ascii="宋体" w:hAnsi="宋体" w:eastAsia="宋体" w:cs="宋体"/>
                      <w:b/>
                      <w:bCs/>
                      <w:smallCaps w:val="0"/>
                      <w:color w:val="auto"/>
                      <w:kern w:val="0"/>
                      <w:sz w:val="21"/>
                      <w:szCs w:val="21"/>
                      <w:highlight w:val="yellow"/>
                    </w:rPr>
                    <w:t>m</w:t>
                  </w:r>
                  <w:r>
                    <w:rPr>
                      <w:rFonts w:hint="eastAsia" w:ascii="宋体" w:hAnsi="宋体" w:eastAsia="宋体" w:cs="宋体"/>
                      <w:b/>
                      <w:bCs/>
                      <w:smallCaps w:val="0"/>
                      <w:color w:val="auto"/>
                      <w:kern w:val="0"/>
                      <w:sz w:val="21"/>
                      <w:szCs w:val="21"/>
                      <w:highlight w:val="yellow"/>
                      <w:vertAlign w:val="superscript"/>
                    </w:rPr>
                    <w:t>3</w:t>
                  </w:r>
                </w:p>
              </w:tc>
              <w:tc>
                <w:tcPr>
                  <w:tcW w:w="452" w:type="pct"/>
                  <w:noWrap w:val="0"/>
                  <w:vAlign w:val="center"/>
                </w:tcPr>
                <w:p w14:paraId="08D5AAF6">
                  <w:pPr>
                    <w:pStyle w:val="73"/>
                    <w:rPr>
                      <w:rFonts w:hint="eastAsia" w:ascii="宋体" w:hAnsi="宋体" w:eastAsia="宋体" w:cs="宋体"/>
                      <w:b/>
                      <w:bCs/>
                      <w:smallCaps w:val="0"/>
                      <w:color w:val="auto"/>
                      <w:kern w:val="0"/>
                      <w:sz w:val="21"/>
                      <w:szCs w:val="21"/>
                      <w:highlight w:val="yellow"/>
                      <w:lang w:val="en-US" w:eastAsia="zh-CN"/>
                    </w:rPr>
                  </w:pPr>
                  <w:r>
                    <w:rPr>
                      <w:rFonts w:hint="eastAsia" w:ascii="宋体" w:hAnsi="宋体" w:eastAsia="宋体" w:cs="宋体"/>
                      <w:b/>
                      <w:bCs/>
                      <w:smallCaps w:val="0"/>
                      <w:color w:val="auto"/>
                      <w:kern w:val="0"/>
                      <w:sz w:val="21"/>
                      <w:szCs w:val="21"/>
                      <w:highlight w:val="yellow"/>
                      <w:lang w:val="en-US" w:eastAsia="zh-CN"/>
                    </w:rPr>
                    <w:t>借方m</w:t>
                  </w:r>
                  <w:r>
                    <w:rPr>
                      <w:rFonts w:hint="eastAsia" w:ascii="宋体" w:hAnsi="宋体" w:eastAsia="宋体" w:cs="宋体"/>
                      <w:b/>
                      <w:bCs/>
                      <w:smallCaps w:val="0"/>
                      <w:color w:val="auto"/>
                      <w:kern w:val="0"/>
                      <w:sz w:val="21"/>
                      <w:szCs w:val="21"/>
                      <w:highlight w:val="yellow"/>
                      <w:vertAlign w:val="superscript"/>
                      <w:lang w:val="en-US" w:eastAsia="zh-CN"/>
                    </w:rPr>
                    <w:t>3</w:t>
                  </w:r>
                </w:p>
              </w:tc>
              <w:tc>
                <w:tcPr>
                  <w:tcW w:w="655" w:type="pct"/>
                  <w:noWrap w:val="0"/>
                  <w:vAlign w:val="center"/>
                </w:tcPr>
                <w:p w14:paraId="254AA9A9">
                  <w:pPr>
                    <w:pStyle w:val="73"/>
                    <w:rPr>
                      <w:rFonts w:hint="eastAsia" w:ascii="宋体" w:hAnsi="宋体" w:eastAsia="宋体" w:cs="宋体"/>
                      <w:b/>
                      <w:bCs/>
                      <w:smallCaps w:val="0"/>
                      <w:color w:val="auto"/>
                      <w:kern w:val="0"/>
                      <w:sz w:val="21"/>
                      <w:szCs w:val="21"/>
                      <w:highlight w:val="yellow"/>
                      <w:lang w:val="en-US" w:eastAsia="zh-CN"/>
                    </w:rPr>
                  </w:pPr>
                  <w:r>
                    <w:rPr>
                      <w:rFonts w:hint="eastAsia" w:ascii="宋体" w:hAnsi="宋体" w:eastAsia="宋体" w:cs="宋体"/>
                      <w:b/>
                      <w:bCs/>
                      <w:smallCaps w:val="0"/>
                      <w:color w:val="auto"/>
                      <w:kern w:val="0"/>
                      <w:sz w:val="21"/>
                      <w:szCs w:val="21"/>
                      <w:highlight w:val="yellow"/>
                      <w:lang w:val="en-US" w:eastAsia="zh-CN"/>
                    </w:rPr>
                    <w:t>弃方量m</w:t>
                  </w:r>
                  <w:r>
                    <w:rPr>
                      <w:rFonts w:hint="eastAsia" w:ascii="宋体" w:hAnsi="宋体" w:eastAsia="宋体" w:cs="宋体"/>
                      <w:b/>
                      <w:bCs/>
                      <w:smallCaps w:val="0"/>
                      <w:color w:val="auto"/>
                      <w:kern w:val="0"/>
                      <w:sz w:val="21"/>
                      <w:szCs w:val="21"/>
                      <w:highlight w:val="yellow"/>
                      <w:vertAlign w:val="superscript"/>
                      <w:lang w:val="en-US" w:eastAsia="zh-CN"/>
                    </w:rPr>
                    <w:t>3</w:t>
                  </w:r>
                </w:p>
              </w:tc>
              <w:tc>
                <w:tcPr>
                  <w:tcW w:w="668" w:type="pct"/>
                  <w:noWrap w:val="0"/>
                  <w:vAlign w:val="center"/>
                </w:tcPr>
                <w:p w14:paraId="4F05364A">
                  <w:pPr>
                    <w:pStyle w:val="73"/>
                    <w:rPr>
                      <w:rFonts w:hint="eastAsia" w:ascii="宋体" w:hAnsi="宋体" w:eastAsia="宋体" w:cs="宋体"/>
                      <w:b/>
                      <w:bCs/>
                      <w:smallCaps w:val="0"/>
                      <w:color w:val="auto"/>
                      <w:kern w:val="0"/>
                      <w:sz w:val="21"/>
                      <w:szCs w:val="21"/>
                      <w:highlight w:val="yellow"/>
                    </w:rPr>
                  </w:pPr>
                  <w:r>
                    <w:rPr>
                      <w:rFonts w:hint="eastAsia" w:ascii="宋体" w:hAnsi="宋体" w:eastAsia="宋体" w:cs="宋体"/>
                      <w:b/>
                      <w:bCs/>
                      <w:smallCaps w:val="0"/>
                      <w:color w:val="auto"/>
                      <w:kern w:val="0"/>
                      <w:sz w:val="21"/>
                      <w:szCs w:val="21"/>
                      <w:highlight w:val="yellow"/>
                    </w:rPr>
                    <w:t>弃方去向</w:t>
                  </w:r>
                </w:p>
              </w:tc>
              <w:tc>
                <w:tcPr>
                  <w:tcW w:w="668" w:type="pct"/>
                  <w:noWrap w:val="0"/>
                  <w:vAlign w:val="center"/>
                </w:tcPr>
                <w:p w14:paraId="3BA98941">
                  <w:pPr>
                    <w:pStyle w:val="73"/>
                    <w:rPr>
                      <w:rFonts w:hint="eastAsia" w:ascii="宋体" w:hAnsi="宋体" w:eastAsia="宋体" w:cs="宋体"/>
                      <w:b/>
                      <w:bCs/>
                      <w:smallCaps w:val="0"/>
                      <w:color w:val="auto"/>
                      <w:kern w:val="0"/>
                      <w:sz w:val="21"/>
                      <w:szCs w:val="21"/>
                      <w:highlight w:val="yellow"/>
                      <w:lang w:val="en-US" w:eastAsia="zh-CN"/>
                    </w:rPr>
                  </w:pPr>
                  <w:r>
                    <w:rPr>
                      <w:rFonts w:hint="eastAsia" w:ascii="宋体" w:hAnsi="宋体" w:eastAsia="宋体" w:cs="宋体"/>
                      <w:b/>
                      <w:bCs/>
                      <w:smallCaps w:val="0"/>
                      <w:color w:val="auto"/>
                      <w:kern w:val="0"/>
                      <w:sz w:val="21"/>
                      <w:szCs w:val="21"/>
                      <w:highlight w:val="yellow"/>
                      <w:lang w:val="en-US" w:eastAsia="zh-CN"/>
                    </w:rPr>
                    <w:t>表土去向</w:t>
                  </w:r>
                </w:p>
              </w:tc>
            </w:tr>
            <w:tr w14:paraId="6EED6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noWrap w:val="0"/>
                  <w:vAlign w:val="center"/>
                </w:tcPr>
                <w:p w14:paraId="4829CCA6">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11531.9</w:t>
                  </w:r>
                </w:p>
              </w:tc>
              <w:tc>
                <w:tcPr>
                  <w:tcW w:w="626" w:type="pct"/>
                  <w:noWrap w:val="0"/>
                  <w:vAlign w:val="center"/>
                </w:tcPr>
                <w:p w14:paraId="07FF4D97">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2263.28</w:t>
                  </w:r>
                </w:p>
              </w:tc>
              <w:tc>
                <w:tcPr>
                  <w:tcW w:w="787" w:type="pct"/>
                  <w:noWrap w:val="0"/>
                  <w:vAlign w:val="center"/>
                </w:tcPr>
                <w:p w14:paraId="67840BBC">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13394.8</w:t>
                  </w:r>
                </w:p>
              </w:tc>
              <w:tc>
                <w:tcPr>
                  <w:tcW w:w="531" w:type="pct"/>
                  <w:noWrap w:val="0"/>
                  <w:vAlign w:val="center"/>
                </w:tcPr>
                <w:p w14:paraId="6682E255">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1430</w:t>
                  </w:r>
                </w:p>
              </w:tc>
              <w:tc>
                <w:tcPr>
                  <w:tcW w:w="452" w:type="pct"/>
                  <w:noWrap w:val="0"/>
                  <w:vAlign w:val="center"/>
                </w:tcPr>
                <w:p w14:paraId="750D64DF">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5288</w:t>
                  </w:r>
                </w:p>
              </w:tc>
              <w:tc>
                <w:tcPr>
                  <w:tcW w:w="655" w:type="pct"/>
                  <w:noWrap w:val="0"/>
                  <w:vAlign w:val="center"/>
                </w:tcPr>
                <w:p w14:paraId="70C44D2C">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10101.9</w:t>
                  </w:r>
                </w:p>
              </w:tc>
              <w:tc>
                <w:tcPr>
                  <w:tcW w:w="668" w:type="pct"/>
                  <w:noWrap w:val="0"/>
                  <w:vAlign w:val="center"/>
                </w:tcPr>
                <w:p w14:paraId="7F8A4B58">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拉运至建筑垃圾处置消纳场</w:t>
                  </w:r>
                </w:p>
              </w:tc>
              <w:tc>
                <w:tcPr>
                  <w:tcW w:w="668" w:type="pct"/>
                  <w:noWrap w:val="0"/>
                  <w:vAlign w:val="center"/>
                </w:tcPr>
                <w:p w14:paraId="3981424C">
                  <w:pPr>
                    <w:pStyle w:val="73"/>
                    <w:rPr>
                      <w:rFonts w:hint="eastAsia" w:ascii="宋体" w:hAnsi="宋体" w:eastAsia="宋体" w:cs="宋体"/>
                      <w:smallCaps w:val="0"/>
                      <w:color w:val="auto"/>
                      <w:kern w:val="0"/>
                      <w:sz w:val="21"/>
                      <w:szCs w:val="21"/>
                      <w:highlight w:val="yellow"/>
                      <w:lang w:val="en-US" w:eastAsia="zh-CN"/>
                    </w:rPr>
                  </w:pPr>
                  <w:r>
                    <w:rPr>
                      <w:rFonts w:hint="eastAsia" w:ascii="宋体" w:hAnsi="宋体" w:eastAsia="宋体" w:cs="宋体"/>
                      <w:smallCaps w:val="0"/>
                      <w:color w:val="auto"/>
                      <w:kern w:val="0"/>
                      <w:sz w:val="21"/>
                      <w:szCs w:val="21"/>
                      <w:highlight w:val="yellow"/>
                      <w:lang w:val="en-US" w:eastAsia="zh-CN"/>
                    </w:rPr>
                    <w:t>转运用于植被恢复</w:t>
                  </w:r>
                </w:p>
              </w:tc>
            </w:tr>
          </w:tbl>
          <w:p w14:paraId="78F99873">
            <w:pPr>
              <w:adjustRightInd w:val="0"/>
              <w:snapToGrid w:val="0"/>
              <w:ind w:firstLine="480"/>
              <w:rPr>
                <w:rFonts w:hint="eastAsia" w:ascii="宋体" w:hAnsi="宋体" w:eastAsia="宋体" w:cs="宋体"/>
                <w:smallCaps w:val="0"/>
                <w:color w:val="auto"/>
                <w:kern w:val="0"/>
                <w:szCs w:val="21"/>
                <w:highlight w:val="none"/>
                <w:lang w:val="en-US" w:eastAsia="zh-CN"/>
              </w:rPr>
            </w:pPr>
          </w:p>
        </w:tc>
      </w:tr>
      <w:tr w14:paraId="7C0136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9" w:hRule="atLeast"/>
          <w:jc w:val="center"/>
        </w:trPr>
        <w:tc>
          <w:tcPr>
            <w:tcW w:w="759" w:type="dxa"/>
            <w:noWrap w:val="0"/>
            <w:vAlign w:val="center"/>
          </w:tcPr>
          <w:p w14:paraId="7A643E5B">
            <w:pPr>
              <w:pStyle w:val="73"/>
              <w:rPr>
                <w:rFonts w:hint="eastAsia" w:ascii="宋体" w:hAnsi="宋体" w:eastAsia="宋体" w:cs="宋体"/>
                <w:smallCaps w:val="0"/>
                <w:color w:val="auto"/>
                <w:kern w:val="0"/>
                <w:highlight w:val="none"/>
              </w:rPr>
            </w:pPr>
            <w:r>
              <w:rPr>
                <w:rFonts w:hint="eastAsia" w:ascii="宋体" w:hAnsi="宋体" w:eastAsia="宋体" w:cs="宋体"/>
                <w:smallCaps w:val="0"/>
                <w:color w:val="auto"/>
                <w:kern w:val="0"/>
                <w:highlight w:val="none"/>
              </w:rPr>
              <w:t>总平面及现场布置</w:t>
            </w:r>
          </w:p>
        </w:tc>
        <w:tc>
          <w:tcPr>
            <w:tcW w:w="8198" w:type="dxa"/>
            <w:noWrap w:val="0"/>
            <w:vAlign w:val="center"/>
          </w:tcPr>
          <w:p w14:paraId="4C39F394">
            <w:pPr>
              <w:numPr>
                <w:ilvl w:val="0"/>
                <w:numId w:val="4"/>
              </w:numPr>
              <w:adjustRightInd w:val="0"/>
              <w:snapToGrid w:val="0"/>
              <w:ind w:firstLine="480"/>
              <w:rPr>
                <w:rFonts w:hint="eastAsia" w:ascii="宋体" w:hAnsi="宋体" w:eastAsia="宋体" w:cs="宋体"/>
                <w:smallCaps w:val="0"/>
                <w:color w:val="auto"/>
                <w:szCs w:val="24"/>
                <w:highlight w:val="none"/>
              </w:rPr>
            </w:pPr>
            <w:r>
              <w:rPr>
                <w:rFonts w:hint="eastAsia" w:ascii="宋体" w:hAnsi="宋体" w:eastAsia="宋体" w:cs="宋体"/>
                <w:smallCaps w:val="0"/>
                <w:color w:val="auto"/>
                <w:szCs w:val="24"/>
                <w:highlight w:val="none"/>
              </w:rPr>
              <w:t>总平面布置</w:t>
            </w:r>
          </w:p>
          <w:p w14:paraId="38E37342">
            <w:pPr>
              <w:pStyle w:val="25"/>
              <w:ind w:left="0" w:firstLine="480"/>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本项目起点双鸭山至时代公路钢铁桥桥尾，终点与水泥厂水泥混凝土硬化路相接。双鸭山至时代公路提质改造工程位于双鸭山市岭东区，项目北侧为林业局林地，南侧为平房居民。</w:t>
            </w:r>
          </w:p>
          <w:p w14:paraId="2059C9DE">
            <w:pPr>
              <w:pStyle w:val="25"/>
              <w:ind w:left="0" w:firstLine="480"/>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本项目位于双鸭山岭东区，运输便捷，土石方均从市场采购成品，施工现场不设临时性拌合站，不设临时取土石方场，</w:t>
            </w:r>
            <w:r>
              <w:rPr>
                <w:rFonts w:hint="eastAsia" w:ascii="宋体" w:hAnsi="宋体" w:eastAsia="宋体" w:cs="宋体"/>
                <w:smallCaps w:val="0"/>
                <w:sz w:val="24"/>
                <w:szCs w:val="24"/>
                <w:lang w:val="en-US" w:eastAsia="zh-CN"/>
              </w:rPr>
              <w:t>工程所需筑路材料片石、碎石由合鑫采石场购进，运距5</w:t>
            </w:r>
            <w:r>
              <w:rPr>
                <w:rFonts w:hint="eastAsia" w:ascii="宋体" w:hAnsi="宋体" w:eastAsia="宋体" w:cs="宋体"/>
                <w:smallCaps w:val="0"/>
                <w:color w:val="auto"/>
                <w:kern w:val="0"/>
                <w:sz w:val="24"/>
                <w:szCs w:val="24"/>
                <w:highlight w:val="none"/>
                <w:lang w:val="en-US" w:eastAsia="zh-CN"/>
              </w:rPr>
              <w:t>km</w:t>
            </w:r>
            <w:r>
              <w:rPr>
                <w:rFonts w:hint="eastAsia" w:ascii="宋体" w:hAnsi="宋体" w:eastAsia="宋体" w:cs="宋体"/>
                <w:smallCaps w:val="0"/>
                <w:color w:val="auto"/>
                <w:sz w:val="24"/>
                <w:szCs w:val="24"/>
                <w:highlight w:val="none"/>
                <w:lang w:val="en-US" w:eastAsia="zh-CN"/>
              </w:rPr>
              <w:t>，不会对陆生植被造成影响；不设施工生活营地，生活污水利用南侧平房居民的防渗旱厕。施工人员每日施工结束后撤场。</w:t>
            </w:r>
          </w:p>
          <w:p w14:paraId="1C78AE0A">
            <w:pPr>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kern w:val="0"/>
                <w:szCs w:val="21"/>
                <w:highlight w:val="none"/>
              </w:rPr>
              <w:t>本项目土方采用外购</w:t>
            </w:r>
            <w:r>
              <w:rPr>
                <w:rFonts w:hint="eastAsia" w:ascii="宋体" w:hAnsi="宋体" w:eastAsia="宋体" w:cs="宋体"/>
                <w:smallCaps w:val="0"/>
                <w:color w:val="auto"/>
                <w:kern w:val="0"/>
                <w:szCs w:val="21"/>
                <w:highlight w:val="none"/>
                <w:lang w:val="en-US" w:eastAsia="zh-CN"/>
              </w:rPr>
              <w:t>于合鑫采石场</w:t>
            </w:r>
            <w:r>
              <w:rPr>
                <w:rFonts w:hint="eastAsia" w:ascii="宋体" w:hAnsi="宋体" w:eastAsia="宋体" w:cs="宋体"/>
                <w:smallCaps w:val="0"/>
                <w:color w:val="auto"/>
                <w:kern w:val="0"/>
                <w:szCs w:val="21"/>
                <w:highlight w:val="none"/>
              </w:rPr>
              <w:t>，本工程不设置取土场；</w:t>
            </w:r>
            <w:r>
              <w:rPr>
                <w:rFonts w:hint="eastAsia" w:ascii="宋体" w:hAnsi="宋体" w:eastAsia="宋体" w:cs="宋体"/>
                <w:smallCaps w:val="0"/>
                <w:color w:val="auto"/>
                <w:szCs w:val="21"/>
                <w:highlight w:val="none"/>
              </w:rPr>
              <w:t>本项目弃土</w:t>
            </w:r>
            <w:r>
              <w:rPr>
                <w:rFonts w:hint="eastAsia" w:ascii="宋体" w:hAnsi="宋体" w:eastAsia="宋体" w:cs="宋体"/>
                <w:smallCaps w:val="0"/>
                <w:color w:val="auto"/>
                <w:szCs w:val="21"/>
                <w:highlight w:val="none"/>
                <w:lang w:eastAsia="zh-CN"/>
              </w:rPr>
              <w:t>无须设置</w:t>
            </w:r>
            <w:r>
              <w:rPr>
                <w:rFonts w:hint="eastAsia" w:ascii="宋体" w:hAnsi="宋体" w:eastAsia="宋体" w:cs="宋体"/>
                <w:smallCaps w:val="0"/>
                <w:color w:val="auto"/>
                <w:szCs w:val="21"/>
                <w:highlight w:val="none"/>
                <w:lang w:val="en-US" w:eastAsia="zh-CN"/>
              </w:rPr>
              <w:t>永久</w:t>
            </w:r>
            <w:r>
              <w:rPr>
                <w:rFonts w:hint="eastAsia" w:ascii="宋体" w:hAnsi="宋体" w:eastAsia="宋体" w:cs="宋体"/>
                <w:smallCaps w:val="0"/>
                <w:color w:val="auto"/>
                <w:szCs w:val="21"/>
                <w:highlight w:val="none"/>
              </w:rPr>
              <w:t>弃土场</w:t>
            </w:r>
            <w:r>
              <w:rPr>
                <w:rFonts w:hint="eastAsia" w:ascii="宋体" w:hAnsi="宋体" w:eastAsia="宋体" w:cs="宋体"/>
                <w:smallCaps w:val="0"/>
                <w:color w:val="auto"/>
                <w:szCs w:val="21"/>
                <w:highlight w:val="none"/>
                <w:lang w:eastAsia="zh-CN"/>
              </w:rPr>
              <w:t>，</w:t>
            </w:r>
            <w:r>
              <w:rPr>
                <w:rFonts w:hint="eastAsia" w:ascii="宋体" w:hAnsi="宋体" w:eastAsia="宋体" w:cs="宋体"/>
                <w:smallCaps w:val="0"/>
                <w:color w:val="auto"/>
                <w:szCs w:val="21"/>
                <w:highlight w:val="none"/>
                <w:lang w:val="en-US" w:eastAsia="zh-CN"/>
              </w:rPr>
              <w:t>弃土、弃渣临时暂存于临时弃渣场，而后拉运至建筑垃圾处置消纳场</w:t>
            </w:r>
            <w:r>
              <w:rPr>
                <w:rFonts w:hint="eastAsia" w:ascii="宋体" w:hAnsi="宋体" w:eastAsia="宋体" w:cs="宋体"/>
                <w:smallCaps w:val="0"/>
                <w:color w:val="auto"/>
                <w:szCs w:val="21"/>
                <w:highlight w:val="none"/>
              </w:rPr>
              <w:t>；本工程不设置施工驻地；本项目不设置基层、面层拌合站，所用</w:t>
            </w:r>
            <w:r>
              <w:rPr>
                <w:rFonts w:hint="eastAsia" w:ascii="宋体" w:hAnsi="宋体" w:eastAsia="宋体" w:cs="宋体"/>
                <w:smallCaps w:val="0"/>
                <w:color w:val="auto"/>
                <w:szCs w:val="21"/>
                <w:highlight w:val="none"/>
                <w:lang w:val="en-US" w:eastAsia="zh-CN"/>
              </w:rPr>
              <w:t>柴油、</w:t>
            </w:r>
            <w:r>
              <w:rPr>
                <w:rFonts w:hint="eastAsia" w:ascii="宋体" w:hAnsi="宋体" w:eastAsia="宋体" w:cs="宋体"/>
                <w:smallCaps w:val="0"/>
                <w:color w:val="auto"/>
                <w:szCs w:val="21"/>
                <w:highlight w:val="none"/>
              </w:rPr>
              <w:t>水泥混凝土及</w:t>
            </w:r>
            <w:r>
              <w:rPr>
                <w:rFonts w:hint="eastAsia" w:ascii="宋体" w:hAnsi="宋体" w:eastAsia="宋体" w:cs="宋体"/>
                <w:smallCaps w:val="0"/>
                <w:color w:val="auto"/>
                <w:szCs w:val="21"/>
                <w:highlight w:val="none"/>
                <w:lang w:val="en-US" w:eastAsia="zh-CN"/>
              </w:rPr>
              <w:t>涵洞</w:t>
            </w:r>
            <w:r>
              <w:rPr>
                <w:rFonts w:hint="eastAsia" w:ascii="宋体" w:hAnsi="宋体" w:eastAsia="宋体" w:cs="宋体"/>
                <w:smallCaps w:val="0"/>
                <w:color w:val="auto"/>
                <w:szCs w:val="21"/>
                <w:highlight w:val="none"/>
              </w:rPr>
              <w:t>预制件等外购，可以通过车辆直接运输至项目场地。</w:t>
            </w:r>
            <w:r>
              <w:rPr>
                <w:rFonts w:hint="eastAsia" w:ascii="宋体" w:hAnsi="宋体" w:eastAsia="宋体" w:cs="宋体"/>
                <w:smallCaps w:val="0"/>
                <w:color w:val="auto"/>
                <w:highlight w:val="none"/>
                <w:lang w:eastAsia="zh-CN"/>
              </w:rPr>
              <w:t>本</w:t>
            </w:r>
            <w:r>
              <w:rPr>
                <w:rFonts w:hint="eastAsia" w:ascii="宋体" w:hAnsi="宋体" w:eastAsia="宋体" w:cs="宋体"/>
                <w:smallCaps w:val="0"/>
                <w:color w:val="auto"/>
                <w:highlight w:val="none"/>
              </w:rPr>
              <w:t>项目临时占地</w:t>
            </w:r>
            <w:r>
              <w:rPr>
                <w:rFonts w:hint="eastAsia" w:ascii="宋体" w:hAnsi="宋体" w:eastAsia="宋体" w:cs="宋体"/>
                <w:smallCaps w:val="0"/>
                <w:color w:val="auto"/>
                <w:kern w:val="0"/>
                <w:highlight w:val="none"/>
                <w:lang w:val="en-US" w:eastAsia="zh-CN"/>
              </w:rPr>
              <w:t>5808.2m</w:t>
            </w:r>
            <w:r>
              <w:rPr>
                <w:rFonts w:hint="eastAsia" w:ascii="宋体" w:hAnsi="宋体" w:eastAsia="宋体" w:cs="宋体"/>
                <w:smallCaps w:val="0"/>
                <w:color w:val="auto"/>
                <w:kern w:val="0"/>
                <w:highlight w:val="none"/>
                <w:vertAlign w:val="superscript"/>
                <w:lang w:val="en-US" w:eastAsia="zh-CN"/>
              </w:rPr>
              <w:t>2</w:t>
            </w:r>
            <w:r>
              <w:rPr>
                <w:rFonts w:hint="eastAsia" w:ascii="宋体" w:hAnsi="宋体" w:eastAsia="宋体" w:cs="宋体"/>
                <w:smallCaps w:val="0"/>
                <w:color w:val="auto"/>
                <w:highlight w:val="none"/>
              </w:rPr>
              <w:t>，主要为</w:t>
            </w:r>
            <w:r>
              <w:rPr>
                <w:rFonts w:hint="eastAsia" w:ascii="宋体" w:hAnsi="宋体" w:eastAsia="宋体" w:cs="宋体"/>
                <w:smallCaps w:val="0"/>
                <w:color w:val="auto"/>
                <w:highlight w:val="none"/>
                <w:lang w:val="en-US" w:eastAsia="zh-CN"/>
              </w:rPr>
              <w:t>临时弃渣场和施工工场，施工工场主要为施工原料、器械堆放</w:t>
            </w:r>
            <w:r>
              <w:rPr>
                <w:rFonts w:hint="eastAsia" w:ascii="宋体" w:hAnsi="宋体" w:eastAsia="宋体" w:cs="宋体"/>
                <w:smallCaps w:val="0"/>
                <w:color w:val="auto"/>
                <w:highlight w:val="none"/>
              </w:rPr>
              <w:t>，均位于</w:t>
            </w:r>
            <w:r>
              <w:rPr>
                <w:rFonts w:hint="eastAsia" w:ascii="宋体" w:hAnsi="宋体" w:eastAsia="宋体" w:cs="宋体"/>
                <w:smallCaps w:val="0"/>
                <w:color w:val="auto"/>
                <w:highlight w:val="none"/>
                <w:lang w:val="en-US" w:eastAsia="zh-CN"/>
              </w:rPr>
              <w:t>项目临时占地范围内</w:t>
            </w:r>
            <w:r>
              <w:rPr>
                <w:rFonts w:hint="eastAsia" w:ascii="宋体" w:hAnsi="宋体" w:eastAsia="宋体" w:cs="宋体"/>
                <w:smallCaps w:val="0"/>
                <w:color w:val="auto"/>
                <w:highlight w:val="none"/>
              </w:rPr>
              <w:t>。</w:t>
            </w:r>
          </w:p>
          <w:p w14:paraId="1C85194A">
            <w:pPr>
              <w:pStyle w:val="25"/>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eastAsia="宋体" w:cs="宋体"/>
                <w:b/>
                <w:bCs/>
                <w:smallCaps w:val="0"/>
                <w:color w:val="auto"/>
                <w:sz w:val="24"/>
                <w:szCs w:val="24"/>
                <w:highlight w:val="none"/>
                <w:lang w:val="en-US" w:eastAsia="zh-CN"/>
              </w:rPr>
            </w:pPr>
            <w:r>
              <w:rPr>
                <w:rFonts w:hint="eastAsia" w:ascii="宋体" w:hAnsi="宋体" w:eastAsia="宋体" w:cs="宋体"/>
                <w:smallCaps w:val="0"/>
              </w:rPr>
              <w:drawing>
                <wp:inline distT="0" distB="0" distL="114300" distR="114300">
                  <wp:extent cx="5084445" cy="3325495"/>
                  <wp:effectExtent l="0" t="0" r="1905" b="8255"/>
                  <wp:docPr id="9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5"/>
                          <pic:cNvPicPr>
                            <a:picLocks noChangeAspect="1"/>
                          </pic:cNvPicPr>
                        </pic:nvPicPr>
                        <pic:blipFill>
                          <a:blip r:embed="rId25"/>
                          <a:stretch>
                            <a:fillRect/>
                          </a:stretch>
                        </pic:blipFill>
                        <pic:spPr>
                          <a:xfrm>
                            <a:off x="0" y="0"/>
                            <a:ext cx="5084445" cy="3325495"/>
                          </a:xfrm>
                          <a:prstGeom prst="rect">
                            <a:avLst/>
                          </a:prstGeom>
                          <a:noFill/>
                          <a:ln>
                            <a:noFill/>
                          </a:ln>
                        </pic:spPr>
                      </pic:pic>
                    </a:graphicData>
                  </a:graphic>
                </wp:inline>
              </w:drawing>
            </w:r>
          </w:p>
          <w:p w14:paraId="56B3A99D">
            <w:pPr>
              <w:pStyle w:val="25"/>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eastAsia="宋体" w:cs="宋体"/>
                <w:smallCaps w:val="0"/>
                <w:color w:val="auto"/>
                <w:highlight w:val="none"/>
                <w:lang w:val="en-US" w:eastAsia="zh-CN"/>
              </w:rPr>
            </w:pPr>
            <w:r>
              <w:rPr>
                <w:rFonts w:hint="eastAsia" w:ascii="宋体" w:hAnsi="宋体" w:eastAsia="宋体" w:cs="宋体"/>
                <w:b/>
                <w:bCs/>
                <w:smallCaps w:val="0"/>
                <w:color w:val="auto"/>
                <w:sz w:val="21"/>
                <w:szCs w:val="21"/>
                <w:highlight w:val="none"/>
                <w:lang w:val="en-US" w:eastAsia="zh-CN"/>
              </w:rPr>
              <w:t>图2-2 施工工厂平面布置</w:t>
            </w:r>
          </w:p>
        </w:tc>
      </w:tr>
      <w:tr w14:paraId="0884DE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59" w:type="dxa"/>
            <w:noWrap w:val="0"/>
            <w:vAlign w:val="center"/>
          </w:tcPr>
          <w:p w14:paraId="48848837">
            <w:pPr>
              <w:pStyle w:val="73"/>
              <w:rPr>
                <w:rFonts w:hint="eastAsia" w:ascii="宋体" w:hAnsi="宋体" w:eastAsia="宋体" w:cs="宋体"/>
                <w:smallCaps w:val="0"/>
                <w:color w:val="auto"/>
                <w:kern w:val="0"/>
                <w:highlight w:val="none"/>
              </w:rPr>
            </w:pPr>
            <w:r>
              <w:rPr>
                <w:rFonts w:hint="eastAsia" w:ascii="宋体" w:hAnsi="宋体" w:eastAsia="宋体" w:cs="宋体"/>
                <w:smallCaps w:val="0"/>
                <w:color w:val="auto"/>
                <w:kern w:val="0"/>
                <w:highlight w:val="none"/>
              </w:rPr>
              <w:t>施工方案</w:t>
            </w:r>
          </w:p>
        </w:tc>
        <w:tc>
          <w:tcPr>
            <w:tcW w:w="8198" w:type="dxa"/>
            <w:noWrap w:val="0"/>
            <w:vAlign w:val="center"/>
          </w:tcPr>
          <w:p w14:paraId="78A540F0">
            <w:pPr>
              <w:ind w:firstLine="480"/>
              <w:rPr>
                <w:rFonts w:hint="eastAsia" w:ascii="宋体" w:hAnsi="宋体" w:eastAsia="宋体" w:cs="宋体"/>
                <w:b/>
                <w:bCs/>
                <w:smallCaps w:val="0"/>
                <w:color w:val="auto"/>
                <w:highlight w:val="yellow"/>
                <w:lang w:val="en-US" w:eastAsia="zh-CN"/>
              </w:rPr>
            </w:pPr>
            <w:r>
              <w:rPr>
                <w:rFonts w:hint="eastAsia" w:ascii="宋体" w:hAnsi="宋体" w:eastAsia="宋体" w:cs="宋体"/>
                <w:b/>
                <w:bCs/>
                <w:smallCaps w:val="0"/>
                <w:color w:val="auto"/>
                <w:highlight w:val="yellow"/>
                <w:lang w:val="en-US" w:eastAsia="zh-CN"/>
              </w:rPr>
              <w:t>一、道路施工</w:t>
            </w:r>
          </w:p>
          <w:p w14:paraId="796E121B">
            <w:pPr>
              <w:ind w:firstLine="480"/>
              <w:rPr>
                <w:rFonts w:hint="eastAsia" w:ascii="宋体" w:hAnsi="宋体" w:eastAsia="宋体" w:cs="宋体"/>
                <w:b w:val="0"/>
                <w:bCs w:val="0"/>
                <w:smallCaps w:val="0"/>
                <w:color w:val="auto"/>
                <w:highlight w:val="yellow"/>
                <w:lang w:val="en-US" w:eastAsia="zh-CN"/>
              </w:rPr>
            </w:pPr>
            <w:r>
              <w:rPr>
                <w:rFonts w:hint="eastAsia" w:ascii="宋体" w:hAnsi="宋体" w:eastAsia="宋体" w:cs="宋体"/>
                <w:b w:val="0"/>
                <w:bCs w:val="0"/>
                <w:smallCaps w:val="0"/>
                <w:color w:val="auto"/>
                <w:highlight w:val="yellow"/>
                <w:lang w:val="en-US" w:eastAsia="zh-CN"/>
              </w:rPr>
              <w:t>本项目道路为砂石路面，旧路利用率100%，不涉及旧路拆除。</w:t>
            </w:r>
          </w:p>
          <w:p w14:paraId="08C7EAA7">
            <w:pPr>
              <w:ind w:firstLine="480"/>
              <w:rPr>
                <w:rFonts w:hint="eastAsia" w:ascii="宋体" w:hAnsi="宋体" w:eastAsia="宋体" w:cs="宋体"/>
                <w:b/>
                <w:bCs/>
                <w:smallCaps w:val="0"/>
                <w:color w:val="auto"/>
                <w:highlight w:val="yellow"/>
                <w:lang w:eastAsia="zh-CN"/>
              </w:rPr>
            </w:pPr>
            <w:r>
              <w:rPr>
                <w:rFonts w:hint="eastAsia" w:ascii="宋体" w:hAnsi="宋体" w:eastAsia="宋体" w:cs="宋体"/>
                <w:b/>
                <w:bCs/>
                <w:smallCaps w:val="0"/>
                <w:color w:val="auto"/>
                <w:highlight w:val="yellow"/>
                <w:lang w:eastAsia="zh-CN"/>
              </w:rPr>
              <w:t>（一）施工准备</w:t>
            </w:r>
          </w:p>
          <w:p w14:paraId="10F0A2D6">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场地清理：清除路基范围内的树木、垃圾、建筑物，排除地面积水。</w:t>
            </w:r>
          </w:p>
          <w:p w14:paraId="26DD8AA8">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测量放线：做好平面控制点与水准点的保护工作，按设计文件进行施工复测及放样。</w:t>
            </w:r>
          </w:p>
          <w:p w14:paraId="03C99AE1">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材料与设备准备：选择施工机械，检查摊铺前材料与设备，对路基和基层进行检测和修整。收集月、</w:t>
            </w:r>
            <w:r>
              <w:rPr>
                <w:rFonts w:hint="eastAsia" w:ascii="宋体" w:hAnsi="宋体" w:eastAsia="宋体" w:cs="宋体"/>
                <w:smallCaps w:val="0"/>
                <w:color w:val="auto"/>
                <w:highlight w:val="yellow"/>
                <w:lang w:val="en-US" w:eastAsia="zh-CN"/>
              </w:rPr>
              <w:t>周</w:t>
            </w:r>
            <w:r>
              <w:rPr>
                <w:rFonts w:hint="eastAsia" w:ascii="宋体" w:hAnsi="宋体" w:eastAsia="宋体" w:cs="宋体"/>
                <w:smallCaps w:val="0"/>
                <w:color w:val="auto"/>
                <w:highlight w:val="yellow"/>
                <w:lang w:eastAsia="zh-CN"/>
              </w:rPr>
              <w:t>、日天气预报，制定不同天气下的施工方案。</w:t>
            </w:r>
          </w:p>
          <w:p w14:paraId="60041399">
            <w:pPr>
              <w:ind w:firstLine="480"/>
              <w:rPr>
                <w:rFonts w:hint="eastAsia" w:ascii="宋体" w:hAnsi="宋体" w:eastAsia="宋体" w:cs="宋体"/>
                <w:b/>
                <w:bCs/>
                <w:smallCaps w:val="0"/>
                <w:color w:val="auto"/>
                <w:highlight w:val="yellow"/>
                <w:lang w:eastAsia="zh-CN"/>
              </w:rPr>
            </w:pPr>
            <w:r>
              <w:rPr>
                <w:rFonts w:hint="eastAsia" w:ascii="宋体" w:hAnsi="宋体" w:eastAsia="宋体" w:cs="宋体"/>
                <w:b/>
                <w:bCs/>
                <w:smallCaps w:val="0"/>
                <w:color w:val="auto"/>
                <w:highlight w:val="yellow"/>
                <w:lang w:eastAsia="zh-CN"/>
              </w:rPr>
              <w:t>（二）路基施工</w:t>
            </w:r>
          </w:p>
          <w:p w14:paraId="68F36B19">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路基处理：按设计进行施工，避免在雨季施工，注意施工期间的排水，处理到位，避免留有隐患。</w:t>
            </w:r>
          </w:p>
          <w:p w14:paraId="23C5C1E8">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土方施工：采用汽车运输、机械碾压方法施工。路基土方必须分层碾压，严格控制最佳含水量，达到要求的压实度。路基横坡控制在3%-4%之间，以便于排水畅通，路基封顶时，找平为2%。采用推进法施工作业，使运输车辆在已经填筑的路基上行驶，相邻施工路段填土高差不得大于一层填土厚度，并采取措施保证结合部位路基压实质量。</w:t>
            </w:r>
          </w:p>
          <w:p w14:paraId="438DAC78">
            <w:pPr>
              <w:ind w:firstLine="480"/>
              <w:rPr>
                <w:rFonts w:hint="eastAsia" w:ascii="宋体" w:hAnsi="宋体" w:eastAsia="宋体" w:cs="宋体"/>
                <w:b/>
                <w:bCs/>
                <w:smallCaps w:val="0"/>
                <w:color w:val="auto"/>
                <w:highlight w:val="yellow"/>
                <w:lang w:eastAsia="zh-CN"/>
              </w:rPr>
            </w:pPr>
            <w:r>
              <w:rPr>
                <w:rFonts w:hint="eastAsia" w:ascii="宋体" w:hAnsi="宋体" w:eastAsia="宋体" w:cs="宋体"/>
                <w:b/>
                <w:bCs/>
                <w:smallCaps w:val="0"/>
                <w:color w:val="auto"/>
                <w:highlight w:val="yellow"/>
                <w:lang w:eastAsia="zh-CN"/>
              </w:rPr>
              <w:t>（三）路面施工</w:t>
            </w:r>
          </w:p>
          <w:p w14:paraId="5FC9F064">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基层施工：基层采用集中外购、汽车运输、摊铺机一次摊铺，碾压成形的施工方法进行施工。含水量处于或略大于最佳含水量时进行碾压，达到压实度标准；施工期最低气温应保证在5℃以上。尽可能缩短加水拌和至碾压</w:t>
            </w:r>
            <w:r>
              <w:rPr>
                <w:rFonts w:hint="eastAsia" w:ascii="宋体" w:hAnsi="宋体" w:eastAsia="宋体" w:cs="宋体"/>
                <w:smallCaps w:val="0"/>
                <w:color w:val="auto"/>
                <w:highlight w:val="yellow"/>
                <w:lang w:val="en-US" w:eastAsia="zh-CN"/>
              </w:rPr>
              <w:t>完成</w:t>
            </w:r>
            <w:r>
              <w:rPr>
                <w:rFonts w:hint="eastAsia" w:ascii="宋体" w:hAnsi="宋体" w:eastAsia="宋体" w:cs="宋体"/>
                <w:smallCaps w:val="0"/>
                <w:color w:val="auto"/>
                <w:highlight w:val="yellow"/>
                <w:lang w:eastAsia="zh-CN"/>
              </w:rPr>
              <w:t>时间，一般控制在2-3小时内。水泥稳定集料压实后，即开始养生，封闭交通。铺筑上层前，保持下层表面的湿润，以增加上下层之间的联结性。严格掌握基层厚度和高程，路拱横坡应做成与面层一致。</w:t>
            </w:r>
          </w:p>
          <w:p w14:paraId="7569D4D6">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面层施工：铺筑试验路段后进行正式摊铺。面层混凝土按混凝土配合比拌制水泥混凝土，随时检测砂、石含水量以便于严格控制水灰比。混凝土出机时测定坍落度并制作试件。采用搅拌运输车运输，避免车辆颠簸，造成混凝土离析。混凝土振捣</w:t>
            </w:r>
            <w:r>
              <w:rPr>
                <w:rFonts w:hint="eastAsia" w:ascii="宋体" w:hAnsi="宋体" w:eastAsia="宋体" w:cs="宋体"/>
                <w:smallCaps w:val="0"/>
                <w:color w:val="auto"/>
                <w:highlight w:val="yellow"/>
                <w:lang w:val="en-US" w:eastAsia="zh-CN"/>
              </w:rPr>
              <w:t>之</w:t>
            </w:r>
            <w:r>
              <w:rPr>
                <w:rFonts w:hint="eastAsia" w:ascii="宋体" w:hAnsi="宋体" w:eastAsia="宋体" w:cs="宋体"/>
                <w:smallCaps w:val="0"/>
                <w:color w:val="auto"/>
                <w:highlight w:val="yellow"/>
                <w:lang w:eastAsia="zh-CN"/>
              </w:rPr>
              <w:t>前进一步检查模板合格后，然后浇筑、振捣。振捣采用扦入式振捣棒、平板振捣器共同作业的方式，振捣过程中，辅以人工找平。养生方法为应湿润混凝土，然后人工覆盖薄膜。在7天内加强保湿养生，15天内常规养生。养生期应封闭交通，不允许任何车辆通行。</w:t>
            </w:r>
          </w:p>
          <w:p w14:paraId="37F25735">
            <w:pPr>
              <w:ind w:firstLine="480"/>
              <w:rPr>
                <w:rFonts w:hint="eastAsia" w:ascii="宋体" w:hAnsi="宋体" w:eastAsia="宋体" w:cs="宋体"/>
                <w:b/>
                <w:bCs/>
                <w:smallCaps w:val="0"/>
                <w:color w:val="auto"/>
                <w:highlight w:val="yellow"/>
                <w:lang w:eastAsia="zh-CN"/>
              </w:rPr>
            </w:pPr>
            <w:r>
              <w:rPr>
                <w:rFonts w:hint="eastAsia" w:ascii="宋体" w:hAnsi="宋体" w:eastAsia="宋体" w:cs="宋体"/>
                <w:b/>
                <w:bCs/>
                <w:smallCaps w:val="0"/>
                <w:color w:val="auto"/>
                <w:highlight w:val="yellow"/>
                <w:lang w:eastAsia="zh-CN"/>
              </w:rPr>
              <w:t>（四）桥涵施工</w:t>
            </w:r>
          </w:p>
          <w:p w14:paraId="6349DC1F">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基础施工：施工箱涵基础前必须进行定位复测，并采取措施保障基础强度满足150MPa要求。涵洞施工前应认真核对交角和进、出水口标高，以确保水流顺畅。</w:t>
            </w:r>
          </w:p>
          <w:p w14:paraId="6B3AD2EC">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钢筋施工：凡需焊接的钢筋均应满足可焊性的要求，焊接钢筋骨架要严格检查焊接质量和几何尺寸。</w:t>
            </w:r>
          </w:p>
          <w:p w14:paraId="46F79124">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涵身施工：当涵身强度达到75%的设计强度时，才能进行台背填土，并在不小于2倍孔径范围内采用透水性良好的砂质土或砂砾土等对称填筑分层压实；翼墙、侧墙背后回填土，应在涵身混凝土强度达到设计强度的100%方可进行。同时，要求侧墙两边各2m范围内分层、对称填土并压实，不得采用大型机械填土，不得只在一侧填土，为了减少涵洞两侧泥土的沉陷量，应以砂砾石或透水性好的砂性土回填在两侧墙以外各2m的范围内。</w:t>
            </w:r>
          </w:p>
          <w:p w14:paraId="71CD156B">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eastAsia="zh-CN"/>
              </w:rPr>
              <w:t>交通疏导：在旧路上施工时应注意交通的疏导，各种警示装置布置齐全后方可动工。施工过程中禁止破坏破拆范围以外的原有旧路路面及旧路附属构造物。</w:t>
            </w:r>
          </w:p>
          <w:p w14:paraId="1A2A6C3B">
            <w:pPr>
              <w:ind w:firstLine="480"/>
              <w:rPr>
                <w:rFonts w:hint="eastAsia" w:ascii="宋体" w:hAnsi="宋体" w:eastAsia="宋体" w:cs="宋体"/>
                <w:b/>
                <w:bCs/>
                <w:smallCaps w:val="0"/>
                <w:color w:val="auto"/>
                <w:highlight w:val="yellow"/>
                <w:lang w:eastAsia="zh-CN"/>
              </w:rPr>
            </w:pPr>
            <w:r>
              <w:rPr>
                <w:rFonts w:hint="eastAsia" w:ascii="宋体" w:hAnsi="宋体" w:eastAsia="宋体" w:cs="宋体"/>
                <w:b/>
                <w:bCs/>
                <w:smallCaps w:val="0"/>
                <w:color w:val="auto"/>
                <w:highlight w:val="yellow"/>
                <w:lang w:eastAsia="zh-CN"/>
              </w:rPr>
              <w:t>（五）附属工程施工</w:t>
            </w:r>
          </w:p>
          <w:p w14:paraId="5F3A0773">
            <w:pPr>
              <w:ind w:firstLine="480"/>
              <w:rPr>
                <w:rFonts w:hint="eastAsia" w:ascii="宋体" w:hAnsi="宋体" w:eastAsia="宋体" w:cs="宋体"/>
                <w:smallCaps w:val="0"/>
                <w:color w:val="auto"/>
                <w:highlight w:val="yellow"/>
                <w:lang w:eastAsia="zh-CN"/>
              </w:rPr>
            </w:pPr>
            <w:r>
              <w:rPr>
                <w:rFonts w:hint="eastAsia" w:ascii="宋体" w:hAnsi="宋体" w:eastAsia="宋体" w:cs="宋体"/>
                <w:smallCaps w:val="0"/>
                <w:color w:val="auto"/>
                <w:highlight w:val="yellow"/>
                <w:lang w:val="en-US" w:eastAsia="zh-CN"/>
              </w:rPr>
              <w:t>项目配套建设道路交通设施，包括交通标志、路面标线、立面标志。</w:t>
            </w:r>
          </w:p>
          <w:p w14:paraId="656CF446">
            <w:pPr>
              <w:adjustRightInd w:val="0"/>
              <w:snapToGrid w:val="0"/>
              <w:spacing w:line="240" w:lineRule="auto"/>
              <w:ind w:firstLine="0" w:firstLineChars="0"/>
              <w:jc w:val="center"/>
              <w:rPr>
                <w:rFonts w:hint="eastAsia" w:ascii="宋体" w:hAnsi="宋体" w:eastAsia="宋体" w:cs="宋体"/>
                <w:bCs/>
                <w:smallCaps w:val="0"/>
                <w:color w:val="auto"/>
                <w:kern w:val="0"/>
                <w:sz w:val="21"/>
                <w:szCs w:val="21"/>
                <w:highlight w:val="yellow"/>
              </w:rPr>
            </w:pPr>
            <w:r>
              <w:rPr>
                <w:rFonts w:hint="eastAsia" w:ascii="宋体" w:hAnsi="宋体" w:eastAsia="宋体" w:cs="宋体"/>
                <w:bCs/>
                <w:smallCaps w:val="0"/>
                <w:color w:val="auto"/>
                <w:kern w:val="0"/>
                <w:szCs w:val="24"/>
                <w:highlight w:val="yellow"/>
              </w:rPr>
              <w:object>
                <v:shape id="_x0000_i1025" o:spt="75" type="#_x0000_t75" style="height:194.35pt;width:402.6pt;" o:ole="t" filled="f" o:preferrelative="t" stroked="f" coordsize="21600,21600">
                  <v:path/>
                  <v:fill on="f" focussize="0,0"/>
                  <v:stroke on="f"/>
                  <v:imagedata r:id="rId27" o:title=""/>
                  <o:lock v:ext="edit" aspectratio="f"/>
                  <w10:wrap type="none"/>
                  <w10:anchorlock/>
                </v:shape>
                <o:OLEObject Type="Embed" ProgID="Visio.Drawing.15" ShapeID="_x0000_i1025" DrawAspect="Content" ObjectID="_1468075725" r:id="rId26">
                  <o:LockedField>false</o:LockedField>
                </o:OLEObject>
              </w:object>
            </w:r>
          </w:p>
          <w:p w14:paraId="358A9738">
            <w:pPr>
              <w:adjustRightInd w:val="0"/>
              <w:snapToGrid w:val="0"/>
              <w:spacing w:line="360" w:lineRule="auto"/>
              <w:ind w:firstLine="0" w:firstLineChars="0"/>
              <w:jc w:val="center"/>
              <w:rPr>
                <w:rFonts w:hint="eastAsia" w:ascii="宋体" w:hAnsi="宋体" w:eastAsia="宋体" w:cs="宋体"/>
                <w:bCs/>
                <w:smallCaps w:val="0"/>
                <w:color w:val="auto"/>
                <w:kern w:val="0"/>
                <w:szCs w:val="24"/>
                <w:highlight w:val="yellow"/>
                <w:lang w:val="en-US"/>
              </w:rPr>
            </w:pPr>
            <w:r>
              <w:rPr>
                <w:rFonts w:hint="eastAsia" w:ascii="宋体" w:hAnsi="宋体" w:eastAsia="宋体" w:cs="宋体"/>
                <w:b/>
                <w:bCs/>
                <w:smallCaps w:val="0"/>
                <w:color w:val="auto"/>
                <w:sz w:val="21"/>
                <w:szCs w:val="21"/>
                <w:highlight w:val="yellow"/>
              </w:rPr>
              <w:t>图</w:t>
            </w:r>
            <w:r>
              <w:rPr>
                <w:rFonts w:hint="eastAsia" w:ascii="宋体" w:hAnsi="宋体" w:eastAsia="宋体" w:cs="宋体"/>
                <w:b/>
                <w:bCs/>
                <w:smallCaps w:val="0"/>
                <w:color w:val="auto"/>
                <w:sz w:val="21"/>
                <w:szCs w:val="21"/>
                <w:highlight w:val="yellow"/>
                <w:lang w:val="en-US" w:eastAsia="zh-CN"/>
              </w:rPr>
              <w:t>2-3</w:t>
            </w:r>
            <w:r>
              <w:rPr>
                <w:rFonts w:hint="eastAsia" w:ascii="宋体" w:hAnsi="宋体" w:eastAsia="宋体" w:cs="宋体"/>
                <w:b/>
                <w:bCs/>
                <w:smallCaps w:val="0"/>
                <w:color w:val="auto"/>
                <w:sz w:val="21"/>
                <w:szCs w:val="21"/>
                <w:highlight w:val="yellow"/>
              </w:rPr>
              <w:t>施工期工艺流程及产污节点</w:t>
            </w:r>
          </w:p>
          <w:p w14:paraId="4AE1FB1C">
            <w:pPr>
              <w:adjustRightInd w:val="0"/>
              <w:snapToGrid w:val="0"/>
              <w:ind w:firstLine="480"/>
              <w:rPr>
                <w:rFonts w:hint="eastAsia" w:ascii="宋体" w:hAnsi="宋体" w:eastAsia="宋体" w:cs="宋体"/>
                <w:bCs/>
                <w:smallCaps w:val="0"/>
                <w:color w:val="auto"/>
                <w:kern w:val="0"/>
                <w:szCs w:val="24"/>
                <w:highlight w:val="yellow"/>
              </w:rPr>
            </w:pPr>
            <w:r>
              <w:rPr>
                <w:rFonts w:hint="eastAsia" w:ascii="宋体" w:hAnsi="宋体" w:eastAsia="宋体" w:cs="宋体"/>
                <w:bCs/>
                <w:smallCaps w:val="0"/>
                <w:color w:val="auto"/>
                <w:kern w:val="0"/>
                <w:szCs w:val="24"/>
                <w:highlight w:val="yellow"/>
              </w:rPr>
              <w:t>施工期污染物产生情况：</w:t>
            </w:r>
          </w:p>
          <w:p w14:paraId="2209E9AE">
            <w:pPr>
              <w:numPr>
                <w:ilvl w:val="0"/>
                <w:numId w:val="5"/>
              </w:num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废气</w:t>
            </w:r>
          </w:p>
          <w:p w14:paraId="26DF935B">
            <w:pPr>
              <w:ind w:firstLine="480"/>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rPr>
              <w:t>主要</w:t>
            </w:r>
            <w:r>
              <w:rPr>
                <w:rFonts w:hint="eastAsia" w:ascii="宋体" w:hAnsi="宋体" w:eastAsia="宋体" w:cs="宋体"/>
                <w:smallCaps w:val="0"/>
                <w:color w:val="auto"/>
                <w:highlight w:val="yellow"/>
                <w:lang w:val="en-US" w:eastAsia="zh-CN"/>
              </w:rPr>
              <w:t>为施工过程中</w:t>
            </w:r>
            <w:r>
              <w:rPr>
                <w:rFonts w:hint="eastAsia" w:ascii="宋体" w:hAnsi="宋体" w:eastAsia="宋体" w:cs="宋体"/>
                <w:smallCaps w:val="0"/>
                <w:kern w:val="0"/>
                <w:sz w:val="24"/>
                <w:szCs w:val="24"/>
                <w:highlight w:val="yellow"/>
                <w:lang w:val="en-US" w:eastAsia="zh-CN" w:bidi="ar"/>
              </w:rPr>
              <w:t>场地清理扬尘、施工扬尘、运输车辆尾气、施工机械废气</w:t>
            </w:r>
            <w:r>
              <w:rPr>
                <w:rFonts w:hint="eastAsia" w:ascii="宋体" w:hAnsi="宋体" w:eastAsia="宋体" w:cs="宋体"/>
                <w:smallCaps w:val="0"/>
                <w:color w:val="auto"/>
                <w:highlight w:val="yellow"/>
                <w:lang w:val="en-US" w:eastAsia="zh-CN"/>
              </w:rPr>
              <w:t>。</w:t>
            </w:r>
          </w:p>
          <w:p w14:paraId="4C1FE2CB">
            <w:pPr>
              <w:numPr>
                <w:ilvl w:val="0"/>
                <w:numId w:val="5"/>
              </w:num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废水</w:t>
            </w:r>
          </w:p>
          <w:p w14:paraId="1DBFF306">
            <w:pPr>
              <w:adjustRightInd w:val="0"/>
              <w:ind w:firstLine="480"/>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主要为</w:t>
            </w:r>
            <w:r>
              <w:rPr>
                <w:rFonts w:hint="eastAsia" w:ascii="宋体" w:hAnsi="宋体" w:eastAsia="宋体" w:cs="宋体"/>
                <w:smallCaps w:val="0"/>
                <w:kern w:val="0"/>
                <w:sz w:val="24"/>
                <w:szCs w:val="24"/>
                <w:highlight w:val="yellow"/>
                <w:lang w:val="en-US" w:eastAsia="zh-CN" w:bidi="ar"/>
              </w:rPr>
              <w:t>施工人员生活污水、施工废水（车辆冲洗+道路养护）</w:t>
            </w:r>
            <w:r>
              <w:rPr>
                <w:rFonts w:hint="eastAsia" w:ascii="宋体" w:hAnsi="宋体" w:eastAsia="宋体" w:cs="宋体"/>
                <w:smallCaps w:val="0"/>
                <w:color w:val="auto"/>
                <w:highlight w:val="yellow"/>
                <w:lang w:val="en-US" w:eastAsia="zh-CN"/>
              </w:rPr>
              <w:t>。</w:t>
            </w:r>
          </w:p>
          <w:p w14:paraId="591C62F0">
            <w:p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（3）噪声</w:t>
            </w:r>
          </w:p>
          <w:p w14:paraId="72841BDD">
            <w:p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在施工过程中，</w:t>
            </w:r>
            <w:r>
              <w:rPr>
                <w:rFonts w:hint="eastAsia" w:ascii="宋体" w:hAnsi="宋体" w:eastAsia="宋体" w:cs="宋体"/>
                <w:smallCaps w:val="0"/>
                <w:kern w:val="0"/>
                <w:sz w:val="24"/>
                <w:szCs w:val="24"/>
                <w:highlight w:val="yellow"/>
                <w:lang w:val="en-US" w:eastAsia="zh-CN" w:bidi="ar"/>
              </w:rPr>
              <w:t>施工机械、运输车辆噪声</w:t>
            </w:r>
            <w:r>
              <w:rPr>
                <w:rFonts w:hint="eastAsia" w:ascii="宋体" w:hAnsi="宋体" w:eastAsia="宋体" w:cs="宋体"/>
                <w:smallCaps w:val="0"/>
                <w:color w:val="auto"/>
                <w:highlight w:val="yellow"/>
              </w:rPr>
              <w:t>。</w:t>
            </w:r>
          </w:p>
          <w:p w14:paraId="704305F6">
            <w:p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（4）固体废物</w:t>
            </w:r>
          </w:p>
          <w:p w14:paraId="77556E53">
            <w:pPr>
              <w:ind w:firstLine="480"/>
              <w:rPr>
                <w:rFonts w:hint="eastAsia" w:ascii="宋体" w:hAnsi="宋体" w:eastAsia="宋体" w:cs="宋体"/>
                <w:smallCaps w:val="0"/>
                <w:color w:val="auto"/>
                <w:highlight w:val="yellow"/>
              </w:rPr>
            </w:pPr>
            <w:r>
              <w:rPr>
                <w:rFonts w:hint="eastAsia" w:ascii="宋体" w:hAnsi="宋体" w:eastAsia="宋体" w:cs="宋体"/>
                <w:smallCaps w:val="0"/>
                <w:color w:val="auto"/>
                <w:highlight w:val="yellow"/>
              </w:rPr>
              <w:t>施工期固体废弃物主要包括</w:t>
            </w:r>
            <w:r>
              <w:rPr>
                <w:rFonts w:hint="eastAsia" w:ascii="宋体" w:hAnsi="宋体" w:eastAsia="宋体" w:cs="宋体"/>
                <w:smallCaps w:val="0"/>
                <w:color w:val="auto"/>
                <w:highlight w:val="yellow"/>
                <w:lang w:val="en-US" w:eastAsia="zh-CN"/>
              </w:rPr>
              <w:t>清理</w:t>
            </w:r>
            <w:r>
              <w:rPr>
                <w:rFonts w:hint="eastAsia" w:ascii="宋体" w:hAnsi="宋体" w:eastAsia="宋体" w:cs="宋体"/>
                <w:smallCaps w:val="0"/>
                <w:kern w:val="0"/>
                <w:sz w:val="24"/>
                <w:szCs w:val="24"/>
                <w:highlight w:val="yellow"/>
                <w:lang w:val="en-US" w:eastAsia="zh-CN" w:bidi="ar"/>
              </w:rPr>
              <w:t>垃圾、建筑物拆除废弃物（废桥涵）、废弃土石方</w:t>
            </w:r>
            <w:r>
              <w:rPr>
                <w:rFonts w:hint="eastAsia" w:ascii="宋体" w:hAnsi="宋体" w:eastAsia="宋体" w:cs="宋体"/>
                <w:smallCaps w:val="0"/>
                <w:color w:val="auto"/>
                <w:highlight w:val="yellow"/>
              </w:rPr>
              <w:t>。</w:t>
            </w:r>
          </w:p>
          <w:p w14:paraId="54E7276F">
            <w:pPr>
              <w:ind w:firstLine="480"/>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eastAsia="zh-CN"/>
              </w:rPr>
              <w:t>（</w:t>
            </w:r>
            <w:r>
              <w:rPr>
                <w:rFonts w:hint="eastAsia" w:ascii="宋体" w:hAnsi="宋体" w:eastAsia="宋体" w:cs="宋体"/>
                <w:smallCaps w:val="0"/>
                <w:color w:val="auto"/>
                <w:highlight w:val="yellow"/>
                <w:lang w:val="en-US" w:eastAsia="zh-CN"/>
              </w:rPr>
              <w:t>5</w:t>
            </w:r>
            <w:r>
              <w:rPr>
                <w:rFonts w:hint="eastAsia" w:ascii="宋体" w:hAnsi="宋体" w:eastAsia="宋体" w:cs="宋体"/>
                <w:smallCaps w:val="0"/>
                <w:color w:val="auto"/>
                <w:highlight w:val="yellow"/>
                <w:lang w:eastAsia="zh-CN"/>
              </w:rPr>
              <w:t>）</w:t>
            </w:r>
            <w:r>
              <w:rPr>
                <w:rFonts w:hint="eastAsia" w:ascii="宋体" w:hAnsi="宋体" w:eastAsia="宋体" w:cs="宋体"/>
                <w:smallCaps w:val="0"/>
                <w:color w:val="auto"/>
                <w:highlight w:val="yellow"/>
                <w:lang w:val="en-US" w:eastAsia="zh-CN"/>
              </w:rPr>
              <w:t>生态</w:t>
            </w:r>
          </w:p>
          <w:p w14:paraId="5084278A">
            <w:pPr>
              <w:ind w:firstLine="480"/>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破坏原有植被，改变土地类型，改变地表形态。</w:t>
            </w:r>
          </w:p>
          <w:p w14:paraId="7BC58651">
            <w:pPr>
              <w:pStyle w:val="8"/>
              <w:spacing w:line="360" w:lineRule="auto"/>
              <w:ind w:left="0" w:leftChars="0" w:firstLine="482" w:firstLineChars="200"/>
              <w:rPr>
                <w:rFonts w:hint="eastAsia" w:ascii="宋体" w:hAnsi="宋体" w:eastAsia="宋体" w:cs="宋体"/>
                <w:b/>
                <w:bCs/>
                <w:smallCaps w:val="0"/>
                <w:color w:val="auto"/>
                <w:szCs w:val="21"/>
                <w:highlight w:val="yellow"/>
              </w:rPr>
            </w:pPr>
            <w:r>
              <w:rPr>
                <w:rFonts w:hint="eastAsia" w:ascii="宋体" w:hAnsi="宋体" w:eastAsia="宋体" w:cs="宋体"/>
                <w:b/>
                <w:bCs/>
                <w:smallCaps w:val="0"/>
                <w:color w:val="auto"/>
                <w:szCs w:val="21"/>
                <w:highlight w:val="yellow"/>
                <w:lang w:val="en-US" w:eastAsia="zh-CN"/>
              </w:rPr>
              <w:t>二</w:t>
            </w:r>
            <w:r>
              <w:rPr>
                <w:rFonts w:hint="eastAsia" w:ascii="宋体" w:hAnsi="宋体" w:eastAsia="宋体" w:cs="宋体"/>
                <w:b/>
                <w:bCs/>
                <w:smallCaps w:val="0"/>
                <w:color w:val="auto"/>
                <w:szCs w:val="21"/>
                <w:highlight w:val="yellow"/>
              </w:rPr>
              <w:t>、施工时序</w:t>
            </w:r>
          </w:p>
          <w:p w14:paraId="3BA70BF6">
            <w:pPr>
              <w:spacing w:line="360" w:lineRule="auto"/>
              <w:ind w:firstLine="480" w:firstLineChars="200"/>
              <w:rPr>
                <w:rFonts w:hint="eastAsia" w:ascii="宋体" w:hAnsi="宋体" w:eastAsia="宋体" w:cs="宋体"/>
                <w:smallCaps w:val="0"/>
                <w:color w:val="auto"/>
                <w:szCs w:val="21"/>
                <w:highlight w:val="yellow"/>
              </w:rPr>
            </w:pPr>
            <w:r>
              <w:rPr>
                <w:rFonts w:hint="eastAsia" w:ascii="宋体" w:hAnsi="宋体" w:eastAsia="宋体" w:cs="宋体"/>
                <w:smallCaps w:val="0"/>
                <w:color w:val="auto"/>
                <w:szCs w:val="21"/>
                <w:highlight w:val="yellow"/>
              </w:rPr>
              <w:t>道路施工的先后顺序为准备工作、路基土方工程、排水与防护、涵</w:t>
            </w:r>
            <w:r>
              <w:rPr>
                <w:rFonts w:hint="eastAsia" w:ascii="宋体" w:hAnsi="宋体" w:eastAsia="宋体" w:cs="宋体"/>
                <w:smallCaps w:val="0"/>
                <w:color w:val="auto"/>
                <w:szCs w:val="21"/>
                <w:highlight w:val="yellow"/>
                <w:lang w:eastAsia="zh-CN"/>
              </w:rPr>
              <w:t>洞</w:t>
            </w:r>
            <w:r>
              <w:rPr>
                <w:rFonts w:hint="eastAsia" w:ascii="宋体" w:hAnsi="宋体" w:eastAsia="宋体" w:cs="宋体"/>
                <w:smallCaps w:val="0"/>
                <w:color w:val="auto"/>
                <w:szCs w:val="21"/>
                <w:highlight w:val="yellow"/>
              </w:rPr>
              <w:t>工程、路面基层、路面面层、交通工程及沿线设施。</w:t>
            </w:r>
          </w:p>
          <w:p w14:paraId="403502CE">
            <w:pPr>
              <w:spacing w:line="360" w:lineRule="auto"/>
              <w:ind w:firstLine="480" w:firstLineChars="200"/>
              <w:rPr>
                <w:rFonts w:hint="eastAsia" w:ascii="宋体" w:hAnsi="宋体" w:eastAsia="宋体" w:cs="宋体"/>
                <w:smallCaps w:val="0"/>
                <w:color w:val="auto"/>
                <w:szCs w:val="21"/>
                <w:highlight w:val="yellow"/>
              </w:rPr>
            </w:pPr>
            <w:r>
              <w:rPr>
                <w:rFonts w:hint="eastAsia" w:ascii="宋体" w:hAnsi="宋体" w:eastAsia="宋体" w:cs="宋体"/>
                <w:smallCaps w:val="0"/>
                <w:color w:val="auto"/>
                <w:szCs w:val="21"/>
                <w:highlight w:val="yellow"/>
              </w:rPr>
              <w:t>准备工作工期为202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6</w:t>
            </w:r>
            <w:r>
              <w:rPr>
                <w:rFonts w:hint="eastAsia" w:ascii="宋体" w:hAnsi="宋体" w:eastAsia="宋体" w:cs="宋体"/>
                <w:smallCaps w:val="0"/>
                <w:color w:val="auto"/>
                <w:szCs w:val="21"/>
                <w:highlight w:val="yellow"/>
              </w:rPr>
              <w:t>月，路基土方工程工期为202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7</w:t>
            </w:r>
            <w:r>
              <w:rPr>
                <w:rFonts w:hint="eastAsia" w:ascii="宋体" w:hAnsi="宋体" w:eastAsia="宋体" w:cs="宋体"/>
                <w:smallCaps w:val="0"/>
                <w:color w:val="auto"/>
                <w:szCs w:val="21"/>
                <w:highlight w:val="yellow"/>
              </w:rPr>
              <w:t>月至202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8</w:t>
            </w:r>
            <w:r>
              <w:rPr>
                <w:rFonts w:hint="eastAsia" w:ascii="宋体" w:hAnsi="宋体" w:eastAsia="宋体" w:cs="宋体"/>
                <w:smallCaps w:val="0"/>
                <w:color w:val="auto"/>
                <w:szCs w:val="21"/>
                <w:highlight w:val="yellow"/>
              </w:rPr>
              <w:t>月，</w:t>
            </w:r>
            <w:r>
              <w:rPr>
                <w:rFonts w:hint="eastAsia" w:ascii="宋体" w:hAnsi="宋体" w:eastAsia="宋体" w:cs="宋体"/>
                <w:smallCaps w:val="0"/>
                <w:color w:val="auto"/>
                <w:szCs w:val="21"/>
                <w:highlight w:val="yellow"/>
                <w:lang w:val="en-US" w:eastAsia="zh-CN"/>
              </w:rPr>
              <w:t>桥涵</w:t>
            </w:r>
            <w:r>
              <w:rPr>
                <w:rFonts w:hint="eastAsia" w:ascii="宋体" w:hAnsi="宋体" w:eastAsia="宋体" w:cs="宋体"/>
                <w:smallCaps w:val="0"/>
                <w:color w:val="auto"/>
                <w:szCs w:val="21"/>
                <w:highlight w:val="yellow"/>
              </w:rPr>
              <w:t>工程工期为202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8</w:t>
            </w:r>
            <w:r>
              <w:rPr>
                <w:rFonts w:hint="eastAsia" w:ascii="宋体" w:hAnsi="宋体" w:eastAsia="宋体" w:cs="宋体"/>
                <w:smallCaps w:val="0"/>
                <w:color w:val="auto"/>
                <w:szCs w:val="21"/>
                <w:highlight w:val="yellow"/>
              </w:rPr>
              <w:t>月，路面工程、交叉工程、沿线设施及其它工期为202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9</w:t>
            </w:r>
            <w:r>
              <w:rPr>
                <w:rFonts w:hint="eastAsia" w:ascii="宋体" w:hAnsi="宋体" w:eastAsia="宋体" w:cs="宋体"/>
                <w:smallCaps w:val="0"/>
                <w:color w:val="auto"/>
                <w:szCs w:val="21"/>
                <w:highlight w:val="yellow"/>
              </w:rPr>
              <w:t>月。</w:t>
            </w:r>
          </w:p>
          <w:p w14:paraId="5588BE68">
            <w:pPr>
              <w:spacing w:line="360" w:lineRule="auto"/>
              <w:ind w:firstLine="482" w:firstLineChars="200"/>
              <w:rPr>
                <w:rFonts w:hint="eastAsia" w:ascii="宋体" w:hAnsi="宋体" w:eastAsia="宋体" w:cs="宋体"/>
                <w:b/>
                <w:bCs/>
                <w:smallCaps w:val="0"/>
                <w:color w:val="auto"/>
                <w:szCs w:val="21"/>
                <w:highlight w:val="yellow"/>
              </w:rPr>
            </w:pPr>
            <w:r>
              <w:rPr>
                <w:rFonts w:hint="eastAsia" w:ascii="宋体" w:hAnsi="宋体" w:eastAsia="宋体" w:cs="宋体"/>
                <w:b/>
                <w:bCs/>
                <w:smallCaps w:val="0"/>
                <w:color w:val="auto"/>
                <w:szCs w:val="21"/>
                <w:highlight w:val="yellow"/>
                <w:lang w:val="en-US" w:eastAsia="zh-CN"/>
              </w:rPr>
              <w:t>三</w:t>
            </w:r>
            <w:r>
              <w:rPr>
                <w:rFonts w:hint="eastAsia" w:ascii="宋体" w:hAnsi="宋体" w:eastAsia="宋体" w:cs="宋体"/>
                <w:b/>
                <w:bCs/>
                <w:smallCaps w:val="0"/>
                <w:color w:val="auto"/>
                <w:szCs w:val="21"/>
                <w:highlight w:val="yellow"/>
              </w:rPr>
              <w:t>、建设周期</w:t>
            </w:r>
          </w:p>
          <w:p w14:paraId="5C2C2643">
            <w:pPr>
              <w:ind w:firstLine="480"/>
              <w:rPr>
                <w:rFonts w:hint="eastAsia" w:ascii="宋体" w:hAnsi="宋体" w:eastAsia="宋体" w:cs="宋体"/>
                <w:smallCaps w:val="0"/>
                <w:color w:val="auto"/>
                <w:kern w:val="0"/>
                <w:szCs w:val="24"/>
                <w:highlight w:val="none"/>
              </w:rPr>
            </w:pPr>
            <w:r>
              <w:rPr>
                <w:rFonts w:hint="eastAsia" w:ascii="宋体" w:hAnsi="宋体" w:eastAsia="宋体" w:cs="宋体"/>
                <w:smallCaps w:val="0"/>
                <w:color w:val="auto"/>
                <w:szCs w:val="21"/>
                <w:highlight w:val="yellow"/>
              </w:rPr>
              <w:t>本项目计划于202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6</w:t>
            </w:r>
            <w:r>
              <w:rPr>
                <w:rFonts w:hint="eastAsia" w:ascii="宋体" w:hAnsi="宋体" w:eastAsia="宋体" w:cs="宋体"/>
                <w:smallCaps w:val="0"/>
                <w:color w:val="auto"/>
                <w:szCs w:val="21"/>
                <w:highlight w:val="yellow"/>
              </w:rPr>
              <w:t>月开工，202</w:t>
            </w:r>
            <w:r>
              <w:rPr>
                <w:rFonts w:hint="eastAsia" w:ascii="宋体" w:hAnsi="宋体" w:eastAsia="宋体" w:cs="宋体"/>
                <w:smallCaps w:val="0"/>
                <w:color w:val="auto"/>
                <w:szCs w:val="21"/>
                <w:highlight w:val="yellow"/>
                <w:lang w:val="en-US" w:eastAsia="zh-CN"/>
              </w:rPr>
              <w:t>5</w:t>
            </w:r>
            <w:r>
              <w:rPr>
                <w:rFonts w:hint="eastAsia" w:ascii="宋体" w:hAnsi="宋体" w:eastAsia="宋体" w:cs="宋体"/>
                <w:smallCaps w:val="0"/>
                <w:color w:val="auto"/>
                <w:szCs w:val="21"/>
                <w:highlight w:val="yellow"/>
              </w:rPr>
              <w:t>年</w:t>
            </w:r>
            <w:r>
              <w:rPr>
                <w:rFonts w:hint="eastAsia" w:ascii="宋体" w:hAnsi="宋体" w:eastAsia="宋体" w:cs="宋体"/>
                <w:smallCaps w:val="0"/>
                <w:color w:val="auto"/>
                <w:szCs w:val="21"/>
                <w:highlight w:val="yellow"/>
                <w:lang w:val="en-US" w:eastAsia="zh-CN"/>
              </w:rPr>
              <w:t>9</w:t>
            </w:r>
            <w:r>
              <w:rPr>
                <w:rFonts w:hint="eastAsia" w:ascii="宋体" w:hAnsi="宋体" w:eastAsia="宋体" w:cs="宋体"/>
                <w:smallCaps w:val="0"/>
                <w:color w:val="auto"/>
                <w:szCs w:val="21"/>
                <w:highlight w:val="yellow"/>
              </w:rPr>
              <w:t>月</w:t>
            </w:r>
            <w:r>
              <w:rPr>
                <w:rFonts w:hint="eastAsia" w:ascii="宋体" w:hAnsi="宋体" w:eastAsia="宋体" w:cs="宋体"/>
                <w:smallCaps w:val="0"/>
                <w:color w:val="auto"/>
                <w:szCs w:val="21"/>
                <w:highlight w:val="yellow"/>
                <w:lang w:val="en-US" w:eastAsia="zh-CN"/>
              </w:rPr>
              <w:t>底</w:t>
            </w:r>
            <w:r>
              <w:rPr>
                <w:rFonts w:hint="eastAsia" w:ascii="宋体" w:hAnsi="宋体" w:eastAsia="宋体" w:cs="宋体"/>
                <w:smallCaps w:val="0"/>
                <w:color w:val="auto"/>
                <w:szCs w:val="21"/>
                <w:highlight w:val="yellow"/>
              </w:rPr>
              <w:t>建成通车，建设周期</w:t>
            </w:r>
            <w:r>
              <w:rPr>
                <w:rFonts w:hint="eastAsia" w:ascii="宋体" w:hAnsi="宋体" w:eastAsia="宋体" w:cs="宋体"/>
                <w:smallCaps w:val="0"/>
                <w:color w:val="auto"/>
                <w:szCs w:val="21"/>
                <w:highlight w:val="yellow"/>
                <w:lang w:val="en-US" w:eastAsia="zh-CN"/>
              </w:rPr>
              <w:t>4</w:t>
            </w:r>
            <w:r>
              <w:rPr>
                <w:rFonts w:hint="eastAsia" w:ascii="宋体" w:hAnsi="宋体" w:eastAsia="宋体" w:cs="宋体"/>
                <w:smallCaps w:val="0"/>
                <w:color w:val="auto"/>
                <w:szCs w:val="21"/>
                <w:highlight w:val="yellow"/>
              </w:rPr>
              <w:t>个月。</w:t>
            </w:r>
          </w:p>
        </w:tc>
      </w:tr>
      <w:tr w14:paraId="47260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59" w:type="dxa"/>
            <w:noWrap w:val="0"/>
            <w:vAlign w:val="center"/>
          </w:tcPr>
          <w:p w14:paraId="3DD1BDF6">
            <w:pPr>
              <w:pStyle w:val="73"/>
              <w:spacing w:line="240" w:lineRule="auto"/>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 w:val="24"/>
                <w:szCs w:val="24"/>
                <w:highlight w:val="none"/>
                <w:lang w:val="en-US" w:eastAsia="zh-CN" w:bidi="ar-SA"/>
              </w:rPr>
              <w:t>其他</w:t>
            </w:r>
          </w:p>
        </w:tc>
        <w:tc>
          <w:tcPr>
            <w:tcW w:w="8198" w:type="dxa"/>
            <w:noWrap w:val="0"/>
            <w:vAlign w:val="center"/>
          </w:tcPr>
          <w:p w14:paraId="44D2516C">
            <w:pPr>
              <w:adjustRightInd w:val="0"/>
              <w:snapToGrid w:val="0"/>
              <w:spacing w:line="240" w:lineRule="auto"/>
              <w:ind w:firstLine="0" w:firstLineChars="0"/>
              <w:jc w:val="center"/>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Cs w:val="24"/>
                <w:highlight w:val="none"/>
              </w:rPr>
              <w:t>无</w:t>
            </w:r>
          </w:p>
        </w:tc>
      </w:tr>
    </w:tbl>
    <w:p w14:paraId="5775258F">
      <w:pPr>
        <w:pStyle w:val="4"/>
        <w:rPr>
          <w:rFonts w:hint="eastAsia" w:ascii="宋体" w:hAnsi="宋体" w:eastAsia="宋体" w:cs="宋体"/>
          <w:smallCaps w:val="0"/>
          <w:color w:val="auto"/>
          <w:highlight w:val="none"/>
        </w:rPr>
      </w:pPr>
      <w:r>
        <w:rPr>
          <w:rFonts w:hint="eastAsia" w:ascii="宋体" w:hAnsi="宋体" w:eastAsia="宋体" w:cs="宋体"/>
          <w:b/>
          <w:bCs/>
          <w:smallCaps w:val="0"/>
          <w:color w:val="auto"/>
          <w:highlight w:val="none"/>
        </w:rPr>
        <w:br w:type="page"/>
      </w:r>
      <w:bookmarkStart w:id="7" w:name="_Toc68880309"/>
      <w:r>
        <w:rPr>
          <w:rFonts w:hint="eastAsia" w:ascii="宋体" w:hAnsi="宋体" w:eastAsia="宋体" w:cs="宋体"/>
          <w:smallCaps w:val="0"/>
          <w:color w:val="auto"/>
          <w:highlight w:val="none"/>
        </w:rPr>
        <w:t>三、生态环境现状、保护目标及评价标准</w:t>
      </w:r>
      <w:bookmarkEnd w:id="7"/>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8"/>
        <w:gridCol w:w="8269"/>
      </w:tblGrid>
      <w:tr w14:paraId="474E40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noWrap w:val="0"/>
            <w:vAlign w:val="center"/>
          </w:tcPr>
          <w:p w14:paraId="1AF347A6">
            <w:pPr>
              <w:pStyle w:val="73"/>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szCs w:val="24"/>
                <w:highlight w:val="none"/>
              </w:rPr>
              <w:t>生态环境现状</w:t>
            </w:r>
          </w:p>
        </w:tc>
        <w:tc>
          <w:tcPr>
            <w:tcW w:w="8378" w:type="dxa"/>
            <w:noWrap w:val="0"/>
            <w:vAlign w:val="center"/>
          </w:tcPr>
          <w:p w14:paraId="400375C9">
            <w:pPr>
              <w:ind w:firstLine="482"/>
              <w:rPr>
                <w:rFonts w:hint="eastAsia" w:ascii="宋体" w:hAnsi="宋体" w:eastAsia="宋体" w:cs="宋体"/>
                <w:b/>
                <w:smallCaps w:val="0"/>
                <w:color w:val="auto"/>
                <w:kern w:val="0"/>
                <w:highlight w:val="none"/>
              </w:rPr>
            </w:pPr>
            <w:r>
              <w:rPr>
                <w:rFonts w:hint="eastAsia" w:ascii="宋体" w:hAnsi="宋体" w:eastAsia="宋体" w:cs="宋体"/>
                <w:b/>
                <w:smallCaps w:val="0"/>
                <w:color w:val="auto"/>
                <w:highlight w:val="none"/>
                <w:lang w:val="en-US" w:eastAsia="zh-CN"/>
              </w:rPr>
              <w:t>一</w:t>
            </w:r>
            <w:r>
              <w:rPr>
                <w:rFonts w:hint="eastAsia" w:ascii="宋体" w:hAnsi="宋体" w:eastAsia="宋体" w:cs="宋体"/>
                <w:b/>
                <w:smallCaps w:val="0"/>
                <w:color w:val="auto"/>
                <w:highlight w:val="none"/>
              </w:rPr>
              <w:t>、主体</w:t>
            </w:r>
            <w:r>
              <w:rPr>
                <w:rFonts w:hint="eastAsia" w:ascii="宋体" w:hAnsi="宋体" w:eastAsia="宋体" w:cs="宋体"/>
                <w:b/>
                <w:smallCaps w:val="0"/>
                <w:color w:val="auto"/>
                <w:kern w:val="0"/>
                <w:highlight w:val="none"/>
              </w:rPr>
              <w:t>功能区规划和生态功能区划情况</w:t>
            </w:r>
          </w:p>
          <w:p w14:paraId="42941A1B">
            <w:pPr>
              <w:ind w:firstLine="482"/>
              <w:rPr>
                <w:rFonts w:hint="eastAsia" w:ascii="宋体" w:hAnsi="宋体" w:eastAsia="宋体" w:cs="宋体"/>
                <w:b/>
                <w:smallCaps w:val="0"/>
                <w:color w:val="auto"/>
                <w:kern w:val="0"/>
                <w:highlight w:val="none"/>
              </w:rPr>
            </w:pPr>
            <w:r>
              <w:rPr>
                <w:rFonts w:hint="eastAsia" w:ascii="宋体" w:hAnsi="宋体" w:eastAsia="宋体" w:cs="宋体"/>
                <w:b/>
                <w:smallCaps w:val="0"/>
                <w:color w:val="auto"/>
                <w:kern w:val="0"/>
                <w:highlight w:val="none"/>
                <w:lang w:val="en-US" w:eastAsia="zh-CN"/>
              </w:rPr>
              <w:t>1、</w:t>
            </w:r>
            <w:r>
              <w:rPr>
                <w:rFonts w:hint="eastAsia" w:ascii="宋体" w:hAnsi="宋体" w:eastAsia="宋体" w:cs="宋体"/>
                <w:b/>
                <w:smallCaps w:val="0"/>
                <w:color w:val="auto"/>
                <w:kern w:val="0"/>
                <w:highlight w:val="none"/>
              </w:rPr>
              <w:t>项目与《黑龙江省主体功能区规划》符合性分析</w:t>
            </w:r>
          </w:p>
          <w:p w14:paraId="2490822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smallCaps w:val="0"/>
                <w:color w:val="auto"/>
                <w:sz w:val="24"/>
                <w:szCs w:val="24"/>
                <w:highlight w:val="none"/>
                <w:lang w:val="en-US"/>
              </w:rPr>
            </w:pPr>
            <w:r>
              <w:rPr>
                <w:rFonts w:hint="eastAsia" w:ascii="宋体" w:hAnsi="宋体" w:eastAsia="宋体" w:cs="宋体"/>
                <w:smallCaps w:val="0"/>
                <w:color w:val="auto"/>
                <w:sz w:val="24"/>
                <w:szCs w:val="24"/>
                <w:highlight w:val="none"/>
                <w:lang w:val="en-US" w:eastAsia="zh-CN"/>
              </w:rPr>
              <w:t>该项目起点为双鸭山至时代公路钢铁桥桥尾，终点与水泥厂水泥混凝土硬化路相接。2014年修建，砂石路面。现有道路路基状况良好。</w:t>
            </w:r>
          </w:p>
          <w:p w14:paraId="5AC0CE9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lang w:val="en-US" w:eastAsia="zh-CN"/>
              </w:rPr>
              <w:t>项目的建成后可以提升幸福感指数、带动区域经济发展、促进社会和谐稳定、提升城市、镇综合实力。</w:t>
            </w:r>
          </w:p>
          <w:p w14:paraId="2676AE4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功能定位：</w:t>
            </w:r>
            <w:r>
              <w:rPr>
                <w:rFonts w:hint="eastAsia" w:ascii="宋体" w:hAnsi="宋体" w:eastAsia="宋体" w:cs="宋体"/>
                <w:color w:val="auto"/>
                <w:sz w:val="24"/>
                <w:szCs w:val="24"/>
                <w:highlight w:val="none"/>
              </w:rPr>
              <w:t>全省重要的能源、煤电化基地和钢铁生产基地，安全优质农畜产品生产加工基地</w:t>
            </w:r>
            <w:r>
              <w:rPr>
                <w:rFonts w:hint="eastAsia" w:ascii="宋体" w:hAnsi="宋体" w:eastAsia="宋体" w:cs="宋体"/>
                <w:smallCaps w:val="0"/>
                <w:color w:val="auto"/>
                <w:sz w:val="24"/>
                <w:szCs w:val="24"/>
                <w:highlight w:val="none"/>
              </w:rPr>
              <w:t>。</w:t>
            </w:r>
          </w:p>
          <w:p w14:paraId="6BF7B9B9">
            <w:pPr>
              <w:spacing w:line="360" w:lineRule="auto"/>
              <w:ind w:firstLine="480"/>
              <w:rPr>
                <w:rFonts w:hint="eastAsia" w:ascii="宋体" w:hAnsi="宋体" w:eastAsia="宋体" w:cs="宋体"/>
                <w:smallCaps w:val="0"/>
                <w:color w:val="auto"/>
                <w:sz w:val="24"/>
                <w:szCs w:val="24"/>
                <w:highlight w:val="none"/>
              </w:rPr>
            </w:pPr>
            <w:r>
              <w:rPr>
                <w:rFonts w:hint="eastAsia" w:ascii="宋体" w:hAnsi="宋体" w:eastAsia="宋体" w:cs="宋体"/>
                <w:color w:val="auto"/>
                <w:sz w:val="24"/>
                <w:szCs w:val="24"/>
                <w:highlight w:val="none"/>
              </w:rPr>
              <w:t>产业发展方向及布局：发展煤炭、电力、煤化工、钢铁、农畜产品加工、新建材、新能源等七大主导产业。煤化工产业重点发展煤炭气化、液化为路径的甲醇、合成氨、尿素等石化替代产业及其下游产品开发、石油和天然气的开发利用。钢铁产业重点发展优质特种钢和铸造、机械加工等产业。发展绿色食品精深加工、生物质能、生物化工、新建材、新能源等产业。</w:t>
            </w:r>
            <w:r>
              <w:rPr>
                <w:rFonts w:hint="eastAsia" w:ascii="宋体" w:hAnsi="宋体" w:eastAsia="宋体" w:cs="宋体"/>
                <w:color w:val="auto"/>
                <w:sz w:val="24"/>
                <w:szCs w:val="24"/>
                <w:highlight w:val="none"/>
                <w:lang w:eastAsia="zh-CN"/>
              </w:rPr>
              <w:t>岭东区</w:t>
            </w:r>
            <w:r>
              <w:rPr>
                <w:rFonts w:hint="eastAsia" w:ascii="宋体" w:hAnsi="宋体" w:eastAsia="宋体" w:cs="宋体"/>
                <w:color w:val="auto"/>
                <w:sz w:val="24"/>
                <w:szCs w:val="24"/>
                <w:highlight w:val="none"/>
              </w:rPr>
              <w:t>重点发展现代服务业；岭东区重点发展煤炭、煤化工、冶金、建材产业；四方台区重点发展煤炭、煤炭深加工、建材、特种物流业以及煤化工产业配套行业；宝山区重点发展煤炭、电力以及能源综合利用产业。</w:t>
            </w:r>
          </w:p>
          <w:p w14:paraId="502D1A56">
            <w:pPr>
              <w:pStyle w:val="14"/>
              <w:spacing w:before="0" w:after="0" w:line="360" w:lineRule="auto"/>
              <w:ind w:righ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生态建设：加强水土流失预防和治理。开展重点矿区生态修复、环境治理和水资源保护，加强煤矸石、粉煤灰、钢渣等废弃物和采煤沉陷区综合治理，提高矿区土地复垦和矿井水回收利用率。</w:t>
            </w:r>
          </w:p>
          <w:p w14:paraId="57F0F620">
            <w:pPr>
              <w:pStyle w:val="14"/>
              <w:spacing w:before="0" w:after="0" w:line="360" w:lineRule="auto"/>
              <w:ind w:right="0" w:firstLine="480" w:firstLineChars="200"/>
              <w:rPr>
                <w:rFonts w:hint="eastAsia" w:ascii="宋体" w:hAnsi="宋体" w:eastAsia="宋体" w:cs="宋体"/>
                <w:smallCaps w:val="0"/>
                <w:color w:val="auto"/>
                <w:sz w:val="24"/>
                <w:szCs w:val="24"/>
                <w:highlight w:val="none"/>
              </w:rPr>
            </w:pPr>
            <w:r>
              <w:rPr>
                <w:rFonts w:hint="eastAsia" w:ascii="宋体" w:hAnsi="宋体" w:eastAsia="宋体" w:cs="宋体"/>
                <w:color w:val="auto"/>
                <w:sz w:val="24"/>
                <w:szCs w:val="24"/>
                <w:highlight w:val="none"/>
              </w:rPr>
              <w:t>基础设施建设：提升城市总体功能，完善各类产业园区的外部配套基础设施，加快东部煤、粮、钢等大宗物品的仓储物流以及运输通道建设，逐步实施城市中心区扩大工程。</w:t>
            </w:r>
          </w:p>
          <w:p w14:paraId="1EA29F2B">
            <w:pPr>
              <w:ind w:firstLine="482"/>
              <w:rPr>
                <w:rFonts w:hint="eastAsia" w:ascii="宋体" w:hAnsi="宋体" w:eastAsia="宋体" w:cs="宋体"/>
                <w:smallCaps w:val="0"/>
                <w:color w:val="auto"/>
                <w:kern w:val="0"/>
                <w:szCs w:val="24"/>
                <w:highlight w:val="none"/>
                <w:lang w:val="en-US" w:eastAsia="zh-CN"/>
              </w:rPr>
            </w:pPr>
            <w:r>
              <w:rPr>
                <w:rFonts w:hint="eastAsia" w:ascii="宋体" w:hAnsi="宋体" w:eastAsia="宋体" w:cs="宋体"/>
                <w:color w:val="auto"/>
                <w:kern w:val="0"/>
                <w:sz w:val="24"/>
                <w:szCs w:val="24"/>
                <w:highlight w:val="none"/>
                <w:lang w:val="en-US" w:eastAsia="zh-CN" w:bidi="ar-SA"/>
              </w:rPr>
              <w:t>本工程的新建为双鸭山市城市发展建设及城市总体规划提供保障，项目的建设将改善公共基础设施与建设不协调的状况，</w:t>
            </w:r>
            <w:r>
              <w:rPr>
                <w:rFonts w:hint="eastAsia" w:ascii="宋体" w:hAnsi="宋体" w:eastAsia="宋体" w:cs="宋体"/>
                <w:smallCaps w:val="0"/>
                <w:color w:val="auto"/>
                <w:kern w:val="0"/>
                <w:szCs w:val="24"/>
                <w:highlight w:val="none"/>
                <w:lang w:val="en-US" w:eastAsia="zh-CN"/>
              </w:rPr>
              <w:t>项目的建设将解决岭东区中双石墨和新时代水泥厂企业交通出行及运输问题，解决企业实际需求，提高企业效益，促进企业生产，加速岭东区经济发展。</w:t>
            </w:r>
          </w:p>
          <w:p w14:paraId="1074E4EA">
            <w:pPr>
              <w:ind w:firstLine="482"/>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lang w:val="en-US" w:eastAsia="zh-CN"/>
              </w:rPr>
              <w:t>2、</w:t>
            </w:r>
            <w:r>
              <w:rPr>
                <w:rFonts w:hint="eastAsia" w:ascii="宋体" w:hAnsi="宋体" w:eastAsia="宋体" w:cs="宋体"/>
                <w:b/>
                <w:smallCaps w:val="0"/>
                <w:color w:val="auto"/>
                <w:highlight w:val="none"/>
              </w:rPr>
              <w:t>项目与《黑龙江省生态功能区划》符合性分析</w:t>
            </w:r>
          </w:p>
          <w:p w14:paraId="510322C3">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sz w:val="24"/>
                <w:szCs w:val="24"/>
                <w:highlight w:val="none"/>
              </w:rPr>
              <w:t>本项目位于</w:t>
            </w:r>
            <w:r>
              <w:rPr>
                <w:rFonts w:hint="eastAsia" w:ascii="宋体" w:hAnsi="宋体" w:eastAsia="宋体" w:cs="宋体"/>
                <w:smallCaps w:val="0"/>
                <w:color w:val="auto"/>
                <w:sz w:val="24"/>
                <w:highlight w:val="none"/>
                <w:lang w:val="en-US" w:eastAsia="zh-CN"/>
              </w:rPr>
              <w:t>双鸭山市岭东区</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highlight w:val="none"/>
              </w:rPr>
              <w:t>根据《黑龙江省生态功能区划》相关内容：项目位于“Ⅰ—3—2—3双鸭山—集贤矿业与林业、农业生态功能区”，该区主要环境问题为“矿山开采导致生态环境极为脆弱；资源超采严重；产业结构不合理，物能消耗高，产生较大的环境压力”；区域生态敏感性为“大部分地区土地沙漠化敏感性为高度敏感；土壤侵蚀敏感性为中度敏感”。该区主要生态系统服务功能为“土地沙漠化控制、土壤保持、矿、林、农业生产”。该区的保护措施与发展方向：“加大对开采迹地的恢复工作，调整产业结构，加大城市环境基础设施建设”。</w:t>
            </w:r>
          </w:p>
          <w:p w14:paraId="1E2EAB40">
            <w:pPr>
              <w:ind w:firstLine="480"/>
              <w:rPr>
                <w:rFonts w:hint="eastAsia" w:ascii="宋体" w:hAnsi="宋体" w:eastAsia="宋体" w:cs="宋体"/>
                <w:smallCaps w:val="0"/>
                <w:color w:val="auto"/>
                <w:sz w:val="24"/>
                <w:szCs w:val="24"/>
                <w:highlight w:val="none"/>
                <w:lang w:eastAsia="zh-CN"/>
              </w:rPr>
            </w:pPr>
            <w:r>
              <w:rPr>
                <w:rFonts w:hint="eastAsia" w:ascii="宋体" w:hAnsi="宋体" w:eastAsia="宋体" w:cs="宋体"/>
                <w:smallCaps w:val="0"/>
                <w:color w:val="auto"/>
                <w:highlight w:val="none"/>
              </w:rPr>
              <w:t>本项目</w:t>
            </w:r>
            <w:r>
              <w:rPr>
                <w:rFonts w:hint="eastAsia" w:ascii="宋体" w:hAnsi="宋体" w:eastAsia="宋体" w:cs="宋体"/>
                <w:smallCaps w:val="0"/>
                <w:color w:val="auto"/>
                <w:highlight w:val="none"/>
                <w:lang w:val="en-US" w:eastAsia="zh-CN"/>
              </w:rPr>
              <w:t>为</w:t>
            </w:r>
            <w:r>
              <w:rPr>
                <w:rFonts w:hint="eastAsia" w:ascii="宋体" w:hAnsi="宋体" w:eastAsia="宋体" w:cs="宋体"/>
                <w:smallCaps w:val="0"/>
                <w:color w:val="auto"/>
                <w:highlight w:val="none"/>
                <w:lang w:eastAsia="zh-CN"/>
              </w:rPr>
              <w:t>双鸭山至时代公路提质改造工程</w:t>
            </w:r>
            <w:r>
              <w:rPr>
                <w:rFonts w:hint="eastAsia" w:ascii="宋体" w:hAnsi="宋体" w:eastAsia="宋体" w:cs="宋体"/>
                <w:smallCaps w:val="0"/>
                <w:color w:val="auto"/>
                <w:sz w:val="24"/>
                <w:szCs w:val="24"/>
                <w:highlight w:val="none"/>
                <w:lang w:eastAsia="zh-CN"/>
              </w:rPr>
              <w:t>，</w:t>
            </w:r>
            <w:r>
              <w:rPr>
                <w:rFonts w:hint="eastAsia" w:ascii="宋体" w:hAnsi="宋体" w:eastAsia="宋体" w:cs="宋体"/>
                <w:smallCaps w:val="0"/>
                <w:color w:val="auto"/>
                <w:sz w:val="24"/>
                <w:szCs w:val="24"/>
                <w:highlight w:val="none"/>
                <w:lang w:val="en-US" w:eastAsia="zh-CN"/>
              </w:rPr>
              <w:t>本项目的建设，对双鸭山市交通的完善、市区基础设施的建设以及城区环境的改善起到重要的作用。</w:t>
            </w:r>
          </w:p>
          <w:p w14:paraId="51C1BC2A">
            <w:pPr>
              <w:ind w:firstLine="482"/>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lang w:val="en-US" w:eastAsia="zh-CN"/>
              </w:rPr>
              <w:t>二</w:t>
            </w:r>
            <w:r>
              <w:rPr>
                <w:rFonts w:hint="eastAsia" w:ascii="宋体" w:hAnsi="宋体" w:eastAsia="宋体" w:cs="宋体"/>
                <w:b/>
                <w:smallCaps w:val="0"/>
                <w:color w:val="auto"/>
                <w:highlight w:val="none"/>
              </w:rPr>
              <w:t>、生态</w:t>
            </w:r>
            <w:r>
              <w:rPr>
                <w:rFonts w:hint="eastAsia" w:ascii="宋体" w:hAnsi="宋体" w:eastAsia="宋体" w:cs="宋体"/>
                <w:b/>
                <w:smallCaps w:val="0"/>
                <w:color w:val="auto"/>
                <w:highlight w:val="none"/>
                <w:lang w:val="en-US" w:eastAsia="zh-CN"/>
              </w:rPr>
              <w:t>环境</w:t>
            </w:r>
            <w:r>
              <w:rPr>
                <w:rFonts w:hint="eastAsia" w:ascii="宋体" w:hAnsi="宋体" w:eastAsia="宋体" w:cs="宋体"/>
                <w:b/>
                <w:smallCaps w:val="0"/>
                <w:color w:val="auto"/>
                <w:highlight w:val="none"/>
              </w:rPr>
              <w:t>现状</w:t>
            </w:r>
          </w:p>
          <w:p w14:paraId="0714EA24">
            <w:pPr>
              <w:pStyle w:val="14"/>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eastAsia" w:ascii="宋体" w:hAnsi="宋体" w:eastAsia="宋体" w:cs="宋体"/>
                <w:color w:val="auto"/>
                <w:kern w:val="2"/>
                <w:sz w:val="24"/>
                <w:szCs w:val="24"/>
                <w:highlight w:val="yellow"/>
                <w:lang w:val="en-US" w:eastAsia="zh-CN" w:bidi="ar-SA"/>
              </w:rPr>
            </w:pPr>
            <w:r>
              <w:rPr>
                <w:rFonts w:hint="eastAsia" w:ascii="宋体" w:hAnsi="宋体" w:eastAsia="宋体" w:cs="宋体"/>
                <w:color w:val="auto"/>
                <w:kern w:val="2"/>
                <w:sz w:val="24"/>
                <w:szCs w:val="24"/>
                <w:highlight w:val="yellow"/>
                <w:lang w:val="en-US" w:eastAsia="zh-CN" w:bidi="ar-SA"/>
              </w:rPr>
              <w:t>本项目临时用地为闲置耕地、建设用地和未利用地，不占用基本农田。本项目为工业、城镇生态系统，区域范围内不存在重点野生保护植物。动物均为一般野生动物，不存在珍稀濒危物种，根据现有生态现状调查，现有工程未造成重大生态影响，生态系统稳定。具体详细内容详见生态环境影响专项评价。</w:t>
            </w:r>
          </w:p>
          <w:p w14:paraId="087CB4A7">
            <w:pPr>
              <w:bidi w:val="0"/>
              <w:spacing w:line="360" w:lineRule="auto"/>
              <w:rPr>
                <w:rFonts w:hint="eastAsia" w:ascii="宋体" w:hAnsi="宋体" w:eastAsia="宋体" w:cs="宋体"/>
                <w:bCs/>
                <w:smallCaps w:val="0"/>
                <w:color w:val="auto"/>
                <w:highlight w:val="none"/>
              </w:rPr>
            </w:pPr>
            <w:r>
              <w:rPr>
                <w:rFonts w:hint="eastAsia" w:ascii="宋体" w:hAnsi="宋体" w:eastAsia="宋体" w:cs="宋体"/>
                <w:b/>
                <w:bCs/>
                <w:smallCaps w:val="0"/>
                <w:color w:val="auto"/>
                <w:highlight w:val="none"/>
              </w:rPr>
              <w:t>4、环境空气质量</w:t>
            </w:r>
          </w:p>
          <w:p w14:paraId="1EB79B7F">
            <w:pPr>
              <w:rPr>
                <w:rFonts w:hint="eastAsia" w:ascii="宋体" w:hAnsi="宋体" w:eastAsia="宋体" w:cs="宋体"/>
                <w:highlight w:val="yellow"/>
              </w:rPr>
            </w:pPr>
            <w:r>
              <w:rPr>
                <w:rFonts w:hint="eastAsia" w:ascii="宋体" w:hAnsi="宋体" w:eastAsia="宋体" w:cs="宋体"/>
                <w:highlight w:val="yellow"/>
                <w:lang w:val="en-US" w:eastAsia="zh-CN"/>
              </w:rPr>
              <w:t>根据《2023年黑龙江省生态环境质量状况》（黑龙江生态环境监测中心2024年1月）可知，双鸭山市2023年SO</w:t>
            </w:r>
            <w:r>
              <w:rPr>
                <w:rFonts w:hint="eastAsia" w:ascii="宋体" w:hAnsi="宋体" w:eastAsia="宋体" w:cs="宋体"/>
                <w:highlight w:val="yellow"/>
                <w:vertAlign w:val="subscript"/>
                <w:lang w:val="en-US" w:eastAsia="zh-CN"/>
              </w:rPr>
              <w:t>2</w:t>
            </w:r>
            <w:r>
              <w:rPr>
                <w:rFonts w:hint="eastAsia" w:ascii="宋体" w:hAnsi="宋体" w:eastAsia="宋体" w:cs="宋体"/>
                <w:highlight w:val="yellow"/>
                <w:lang w:val="en-US" w:eastAsia="zh-CN"/>
              </w:rPr>
              <w:t>、NO</w:t>
            </w:r>
            <w:r>
              <w:rPr>
                <w:rFonts w:hint="eastAsia" w:ascii="宋体" w:hAnsi="宋体" w:eastAsia="宋体" w:cs="宋体"/>
                <w:highlight w:val="yellow"/>
                <w:vertAlign w:val="subscript"/>
                <w:lang w:val="en-US" w:eastAsia="zh-CN"/>
              </w:rPr>
              <w:t>2</w:t>
            </w:r>
            <w:r>
              <w:rPr>
                <w:rFonts w:hint="eastAsia" w:ascii="宋体" w:hAnsi="宋体" w:eastAsia="宋体" w:cs="宋体"/>
                <w:highlight w:val="yellow"/>
                <w:lang w:val="en-US" w:eastAsia="zh-CN"/>
              </w:rPr>
              <w:t>、PM</w:t>
            </w:r>
            <w:r>
              <w:rPr>
                <w:rFonts w:hint="eastAsia" w:ascii="宋体" w:hAnsi="宋体" w:eastAsia="宋体" w:cs="宋体"/>
                <w:highlight w:val="yellow"/>
                <w:vertAlign w:val="subscript"/>
                <w:lang w:val="en-US" w:eastAsia="zh-CN"/>
              </w:rPr>
              <w:t>10</w:t>
            </w:r>
            <w:r>
              <w:rPr>
                <w:rFonts w:hint="eastAsia" w:ascii="宋体" w:hAnsi="宋体" w:eastAsia="宋体" w:cs="宋体"/>
                <w:highlight w:val="yellow"/>
                <w:lang w:val="en-US" w:eastAsia="zh-CN"/>
              </w:rPr>
              <w:t>、PM</w:t>
            </w:r>
            <w:r>
              <w:rPr>
                <w:rFonts w:hint="eastAsia" w:ascii="宋体" w:hAnsi="宋体" w:eastAsia="宋体" w:cs="宋体"/>
                <w:highlight w:val="yellow"/>
                <w:vertAlign w:val="subscript"/>
                <w:lang w:val="en-US" w:eastAsia="zh-CN"/>
              </w:rPr>
              <w:t>2.5</w:t>
            </w:r>
            <w:r>
              <w:rPr>
                <w:rFonts w:hint="eastAsia" w:ascii="宋体" w:hAnsi="宋体" w:eastAsia="宋体" w:cs="宋体"/>
                <w:highlight w:val="yellow"/>
                <w:lang w:val="en-US" w:eastAsia="zh-CN"/>
              </w:rPr>
              <w:t>年均浓度，CO24小时平均第95百分位数，O</w:t>
            </w:r>
            <w:r>
              <w:rPr>
                <w:rFonts w:hint="eastAsia" w:ascii="宋体" w:hAnsi="宋体" w:eastAsia="宋体" w:cs="宋体"/>
                <w:highlight w:val="yellow"/>
                <w:vertAlign w:val="subscript"/>
                <w:lang w:val="en-US" w:eastAsia="zh-CN"/>
              </w:rPr>
              <w:t>3</w:t>
            </w:r>
            <w:r>
              <w:rPr>
                <w:rFonts w:hint="eastAsia" w:ascii="宋体" w:hAnsi="宋体" w:eastAsia="宋体" w:cs="宋体"/>
                <w:highlight w:val="yellow"/>
                <w:lang w:val="en-US" w:eastAsia="zh-CN"/>
              </w:rPr>
              <w:t>日最大8小时平均第90百分位数均未超过《环境空气质量标准》（GB3095-2012）及其修改单中二级标准限值，因此，双鸭山市为环境空气质量达标区。</w:t>
            </w:r>
          </w:p>
          <w:p w14:paraId="0076D8C7">
            <w:pPr>
              <w:rPr>
                <w:rFonts w:hint="eastAsia" w:ascii="宋体" w:hAnsi="宋体" w:eastAsia="宋体" w:cs="宋体"/>
                <w:highlight w:val="yellow"/>
              </w:rPr>
            </w:pPr>
            <w:r>
              <w:rPr>
                <w:rFonts w:hint="eastAsia" w:ascii="宋体" w:hAnsi="宋体" w:eastAsia="宋体" w:cs="宋体"/>
                <w:highlight w:val="yellow"/>
                <w:lang w:val="en-US" w:eastAsia="zh-CN"/>
              </w:rPr>
              <w:t>本项目采用双鸭山市365天环境空气质量逐日例行监测数据进行分析，双鸭山环境空气质量监测站共有四个，分别为双合村站、南小市站、环保局站、苗圃站（对照点），本项目采用双合村站例行监测点的365天环境空气质量逐日例行监测数据，按照《环境空气质量评价技术规范（试行）》（HJ 663-2013）中各评价项目的年评价指标进行区域环境空气质量达标情况判断。具体见下表。</w:t>
            </w:r>
          </w:p>
          <w:p w14:paraId="2FE51523">
            <w:pPr>
              <w:pStyle w:val="2"/>
              <w:jc w:val="center"/>
              <w:rPr>
                <w:rFonts w:hint="eastAsia" w:ascii="宋体" w:hAnsi="宋体" w:eastAsia="宋体" w:cs="宋体"/>
                <w:b/>
                <w:bCs/>
                <w:smallCaps w:val="0"/>
                <w:color w:val="auto"/>
                <w:kern w:val="2"/>
                <w:sz w:val="21"/>
                <w:szCs w:val="21"/>
                <w:highlight w:val="yellow"/>
              </w:rPr>
            </w:pPr>
            <w:r>
              <w:rPr>
                <w:rFonts w:hint="eastAsia" w:ascii="宋体" w:hAnsi="宋体" w:eastAsia="宋体" w:cs="宋体"/>
                <w:b/>
                <w:bCs/>
                <w:smallCaps w:val="0"/>
                <w:color w:val="auto"/>
                <w:kern w:val="2"/>
                <w:sz w:val="21"/>
                <w:szCs w:val="21"/>
                <w:highlight w:val="yellow"/>
              </w:rPr>
              <w:t>表</w:t>
            </w:r>
            <w:r>
              <w:rPr>
                <w:rFonts w:hint="eastAsia" w:ascii="宋体" w:hAnsi="宋体" w:eastAsia="宋体" w:cs="宋体"/>
                <w:b/>
                <w:bCs/>
                <w:smallCaps w:val="0"/>
                <w:color w:val="auto"/>
                <w:kern w:val="2"/>
                <w:sz w:val="21"/>
                <w:szCs w:val="21"/>
                <w:highlight w:val="yellow"/>
                <w:lang w:val="en-US" w:eastAsia="zh-CN"/>
              </w:rPr>
              <w:t xml:space="preserve">3-1 </w:t>
            </w:r>
            <w:r>
              <w:rPr>
                <w:rFonts w:hint="eastAsia" w:ascii="宋体" w:hAnsi="宋体" w:eastAsia="宋体" w:cs="宋体"/>
                <w:b/>
                <w:bCs/>
                <w:smallCaps w:val="0"/>
                <w:color w:val="auto"/>
                <w:kern w:val="2"/>
                <w:sz w:val="21"/>
                <w:szCs w:val="21"/>
                <w:highlight w:val="yellow"/>
              </w:rPr>
              <w:t>区域空气质量现状评价表</w:t>
            </w:r>
          </w:p>
          <w:tbl>
            <w:tblPr>
              <w:tblStyle w:val="33"/>
              <w:tblW w:w="494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2973"/>
              <w:gridCol w:w="1264"/>
              <w:gridCol w:w="1018"/>
              <w:gridCol w:w="1106"/>
              <w:gridCol w:w="898"/>
            </w:tblGrid>
            <w:tr w14:paraId="034F5A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restart"/>
                  <w:tcBorders>
                    <w:top w:val="single" w:color="474747" w:sz="12" w:space="0"/>
                    <w:left w:val="nil"/>
                    <w:bottom w:val="single" w:color="000000" w:themeColor="text1" w:sz="8" w:space="0"/>
                    <w:right w:val="single" w:color="000000" w:themeColor="text1" w:sz="8" w:space="0"/>
                  </w:tcBorders>
                  <w:shd w:val="clear" w:color="auto" w:fill="auto"/>
                  <w:vAlign w:val="center"/>
                </w:tcPr>
                <w:p w14:paraId="1C7BA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污染物</w:t>
                  </w:r>
                </w:p>
              </w:tc>
              <w:tc>
                <w:tcPr>
                  <w:tcW w:w="2973" w:type="dxa"/>
                  <w:vMerge w:val="restart"/>
                  <w:tcBorders>
                    <w:top w:val="single" w:color="474747" w:sz="12" w:space="0"/>
                    <w:left w:val="single" w:color="000000" w:themeColor="text1" w:sz="8" w:space="0"/>
                    <w:bottom w:val="single" w:color="000000" w:themeColor="text1" w:sz="8" w:space="0"/>
                    <w:right w:val="single" w:color="000000" w:themeColor="text1" w:sz="8" w:space="0"/>
                  </w:tcBorders>
                  <w:shd w:val="clear" w:color="auto" w:fill="auto"/>
                  <w:vAlign w:val="center"/>
                </w:tcPr>
                <w:p w14:paraId="6730FC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年评价指标</w:t>
                  </w:r>
                </w:p>
              </w:tc>
              <w:tc>
                <w:tcPr>
                  <w:tcW w:w="1264" w:type="dxa"/>
                  <w:tcBorders>
                    <w:top w:val="single" w:color="474747" w:sz="12" w:space="0"/>
                    <w:left w:val="single" w:color="000000" w:themeColor="text1" w:sz="8" w:space="0"/>
                    <w:bottom w:val="single" w:color="000000" w:themeColor="text1" w:sz="8" w:space="0"/>
                    <w:right w:val="single" w:color="000000" w:themeColor="text1" w:sz="8" w:space="0"/>
                  </w:tcBorders>
                  <w:shd w:val="clear" w:color="auto" w:fill="auto"/>
                  <w:vAlign w:val="center"/>
                </w:tcPr>
                <w:p w14:paraId="78ADBA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现状浓度/</w:t>
                  </w:r>
                </w:p>
              </w:tc>
              <w:tc>
                <w:tcPr>
                  <w:tcW w:w="1018" w:type="dxa"/>
                  <w:tcBorders>
                    <w:top w:val="single" w:color="474747" w:sz="12" w:space="0"/>
                    <w:left w:val="single" w:color="000000" w:themeColor="text1" w:sz="8" w:space="0"/>
                    <w:bottom w:val="single" w:color="000000" w:themeColor="text1" w:sz="8" w:space="0"/>
                    <w:right w:val="single" w:color="000000" w:themeColor="text1" w:sz="8" w:space="0"/>
                  </w:tcBorders>
                  <w:shd w:val="clear" w:color="auto" w:fill="auto"/>
                  <w:vAlign w:val="center"/>
                </w:tcPr>
                <w:p w14:paraId="4BEC99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标准值/</w:t>
                  </w:r>
                </w:p>
              </w:tc>
              <w:tc>
                <w:tcPr>
                  <w:tcW w:w="1106" w:type="dxa"/>
                  <w:vMerge w:val="restart"/>
                  <w:tcBorders>
                    <w:top w:val="single" w:color="474747" w:sz="12" w:space="0"/>
                    <w:left w:val="single" w:color="000000" w:themeColor="text1" w:sz="8" w:space="0"/>
                    <w:bottom w:val="single" w:color="000000" w:themeColor="text1" w:sz="8" w:space="0"/>
                    <w:right w:val="single" w:color="000000" w:themeColor="text1" w:sz="8" w:space="0"/>
                  </w:tcBorders>
                  <w:shd w:val="clear" w:color="auto" w:fill="auto"/>
                  <w:vAlign w:val="center"/>
                </w:tcPr>
                <w:p w14:paraId="24DF87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占标率（%）</w:t>
                  </w:r>
                </w:p>
              </w:tc>
              <w:tc>
                <w:tcPr>
                  <w:tcW w:w="898" w:type="dxa"/>
                  <w:vMerge w:val="restart"/>
                  <w:tcBorders>
                    <w:top w:val="single" w:color="474747" w:sz="12" w:space="0"/>
                    <w:left w:val="single" w:color="000000" w:themeColor="text1" w:sz="8" w:space="0"/>
                    <w:bottom w:val="single" w:color="000000" w:themeColor="text1" w:sz="8" w:space="0"/>
                    <w:right w:val="nil"/>
                  </w:tcBorders>
                  <w:shd w:val="clear" w:color="auto" w:fill="auto"/>
                  <w:vAlign w:val="center"/>
                </w:tcPr>
                <w:p w14:paraId="543E24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达标情况</w:t>
                  </w:r>
                </w:p>
              </w:tc>
            </w:tr>
            <w:tr w14:paraId="21EBF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continue"/>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5F313E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2973" w:type="dxa"/>
                  <w:vMerge w:val="continue"/>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71E55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50CB9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(μg/m</w:t>
                  </w:r>
                  <w:r>
                    <w:rPr>
                      <w:rFonts w:hint="eastAsia" w:ascii="宋体" w:hAnsi="宋体" w:eastAsia="宋体" w:cs="宋体"/>
                      <w:i w:val="0"/>
                      <w:iCs w:val="0"/>
                      <w:color w:val="000000"/>
                      <w:kern w:val="0"/>
                      <w:sz w:val="21"/>
                      <w:szCs w:val="21"/>
                      <w:highlight w:val="yellow"/>
                      <w:u w:val="none"/>
                      <w:vertAlign w:val="superscript"/>
                      <w:lang w:val="en-US" w:eastAsia="zh-CN" w:bidi="ar"/>
                    </w:rPr>
                    <w:t>3)</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B6514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(μg/m</w:t>
                  </w:r>
                  <w:r>
                    <w:rPr>
                      <w:rFonts w:hint="eastAsia" w:ascii="宋体" w:hAnsi="宋体" w:eastAsia="宋体" w:cs="宋体"/>
                      <w:i w:val="0"/>
                      <w:iCs w:val="0"/>
                      <w:color w:val="000000"/>
                      <w:kern w:val="0"/>
                      <w:sz w:val="21"/>
                      <w:szCs w:val="21"/>
                      <w:highlight w:val="yellow"/>
                      <w:u w:val="none"/>
                      <w:vertAlign w:val="superscript"/>
                      <w:lang w:val="en-US" w:eastAsia="zh-CN" w:bidi="ar"/>
                    </w:rPr>
                    <w:t>3)</w:t>
                  </w:r>
                </w:p>
              </w:tc>
              <w:tc>
                <w:tcPr>
                  <w:tcW w:w="1106" w:type="dxa"/>
                  <w:vMerge w:val="continue"/>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AA8B8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898" w:type="dxa"/>
                  <w:vMerge w:val="continue"/>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1DC550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r>
            <w:tr w14:paraId="47B7E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restart"/>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1794AA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SO</w:t>
                  </w:r>
                  <w:r>
                    <w:rPr>
                      <w:rFonts w:hint="eastAsia" w:ascii="宋体" w:hAnsi="宋体" w:eastAsia="宋体" w:cs="宋体"/>
                      <w:i w:val="0"/>
                      <w:iCs w:val="0"/>
                      <w:color w:val="000000"/>
                      <w:kern w:val="0"/>
                      <w:sz w:val="21"/>
                      <w:szCs w:val="21"/>
                      <w:highlight w:val="yellow"/>
                      <w:u w:val="none"/>
                      <w:vertAlign w:val="subscript"/>
                      <w:lang w:val="en-US" w:eastAsia="zh-CN" w:bidi="ar"/>
                    </w:rPr>
                    <w:t>2</w:t>
                  </w: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1303C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年平均质量浓度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E803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6734C0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60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BEBEF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15.4</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66ED5B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1065BC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continue"/>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79420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09ED2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98百分位数日平均质量浓度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6FF1F8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18</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57816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150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5FE096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12</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04620A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34510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restart"/>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1296EC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NO</w:t>
                  </w:r>
                  <w:r>
                    <w:rPr>
                      <w:rFonts w:hint="eastAsia" w:ascii="宋体" w:hAnsi="宋体" w:eastAsia="宋体" w:cs="宋体"/>
                      <w:i w:val="0"/>
                      <w:iCs w:val="0"/>
                      <w:color w:val="000000"/>
                      <w:kern w:val="0"/>
                      <w:sz w:val="21"/>
                      <w:szCs w:val="21"/>
                      <w:highlight w:val="yellow"/>
                      <w:u w:val="none"/>
                      <w:vertAlign w:val="subscript"/>
                      <w:lang w:val="en-US" w:eastAsia="zh-CN" w:bidi="ar"/>
                    </w:rPr>
                    <w:t>2</w:t>
                  </w: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04827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年平均质量浓度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52C2F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17</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78C51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1F194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41.7</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29CF6E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446B44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continue"/>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1A1FF8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2D692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98百分位数日平均质量浓度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F3177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40</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52CF9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80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15959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49.7</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19507C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26289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restart"/>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309555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PM</w:t>
                  </w:r>
                  <w:r>
                    <w:rPr>
                      <w:rFonts w:hint="eastAsia" w:ascii="宋体" w:hAnsi="宋体" w:eastAsia="宋体" w:cs="宋体"/>
                      <w:i w:val="0"/>
                      <w:iCs w:val="0"/>
                      <w:color w:val="000000"/>
                      <w:kern w:val="0"/>
                      <w:sz w:val="21"/>
                      <w:szCs w:val="21"/>
                      <w:highlight w:val="yellow"/>
                      <w:u w:val="none"/>
                      <w:vertAlign w:val="subscript"/>
                      <w:lang w:val="en-US" w:eastAsia="zh-CN" w:bidi="ar"/>
                    </w:rPr>
                    <w:t>2.5</w:t>
                  </w: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48D7C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年平均质量浓度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780038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26</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0BB3F9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35</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DBAAB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73.3</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0CB596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1C4B86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continue"/>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486BB3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0A5E1B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95百分位数日平均质量浓度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5BE30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59</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4151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75</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57BCC9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78.7</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01795B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57258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restart"/>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134AEC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PM</w:t>
                  </w:r>
                  <w:r>
                    <w:rPr>
                      <w:rFonts w:hint="eastAsia" w:ascii="宋体" w:hAnsi="宋体" w:eastAsia="宋体" w:cs="宋体"/>
                      <w:i w:val="0"/>
                      <w:iCs w:val="0"/>
                      <w:color w:val="000000"/>
                      <w:kern w:val="0"/>
                      <w:sz w:val="21"/>
                      <w:szCs w:val="21"/>
                      <w:highlight w:val="yellow"/>
                      <w:u w:val="none"/>
                      <w:vertAlign w:val="subscript"/>
                      <w:lang w:val="en-US" w:eastAsia="zh-CN" w:bidi="ar"/>
                    </w:rPr>
                    <w:t>10</w:t>
                  </w: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34670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年平均质量浓度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6B6DF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41</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0281D3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70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4389D6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58.7</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0ECD74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21EEAB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vMerge w:val="continue"/>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1126CF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3E44E1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95百分位数日平均质量浓度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26ECFB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91</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96AAD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150</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735B9B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60.7</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63298A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5DCC6B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13" w:type="dxa"/>
                  <w:tcBorders>
                    <w:top w:val="single" w:color="000000" w:themeColor="text1" w:sz="8" w:space="0"/>
                    <w:left w:val="nil"/>
                    <w:bottom w:val="single" w:color="000000" w:themeColor="text1" w:sz="8" w:space="0"/>
                    <w:right w:val="single" w:color="000000" w:themeColor="text1" w:sz="8" w:space="0"/>
                  </w:tcBorders>
                  <w:shd w:val="clear" w:color="auto" w:fill="auto"/>
                  <w:vAlign w:val="center"/>
                </w:tcPr>
                <w:p w14:paraId="2CBF00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CO</w:t>
                  </w:r>
                </w:p>
              </w:tc>
              <w:tc>
                <w:tcPr>
                  <w:tcW w:w="297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6A54A3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95百分位数日平均质量浓度</w:t>
                  </w:r>
                </w:p>
              </w:tc>
              <w:tc>
                <w:tcPr>
                  <w:tcW w:w="126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06D1AA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0.9mg/m</w:t>
                  </w:r>
                  <w:r>
                    <w:rPr>
                      <w:rFonts w:hint="eastAsia" w:ascii="宋体" w:hAnsi="宋体" w:eastAsia="宋体" w:cs="宋体"/>
                      <w:i w:val="0"/>
                      <w:iCs w:val="0"/>
                      <w:color w:val="000000"/>
                      <w:kern w:val="0"/>
                      <w:sz w:val="21"/>
                      <w:szCs w:val="21"/>
                      <w:highlight w:val="yellow"/>
                      <w:u w:val="none"/>
                      <w:vertAlign w:val="superscript"/>
                      <w:lang w:val="en-US" w:eastAsia="zh-CN" w:bidi="ar"/>
                    </w:rPr>
                    <w:t>3</w:t>
                  </w:r>
                </w:p>
              </w:tc>
              <w:tc>
                <w:tcPr>
                  <w:tcW w:w="101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185347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4mg/m</w:t>
                  </w:r>
                  <w:r>
                    <w:rPr>
                      <w:rFonts w:hint="eastAsia" w:ascii="宋体" w:hAnsi="宋体" w:eastAsia="宋体" w:cs="宋体"/>
                      <w:i w:val="0"/>
                      <w:iCs w:val="0"/>
                      <w:color w:val="000000"/>
                      <w:kern w:val="0"/>
                      <w:sz w:val="21"/>
                      <w:szCs w:val="21"/>
                      <w:highlight w:val="yellow"/>
                      <w:u w:val="none"/>
                      <w:vertAlign w:val="superscript"/>
                      <w:lang w:val="en-US" w:eastAsia="zh-CN" w:bidi="ar"/>
                    </w:rPr>
                    <w:t>3</w:t>
                  </w:r>
                </w:p>
              </w:tc>
              <w:tc>
                <w:tcPr>
                  <w:tcW w:w="110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vAlign w:val="center"/>
                </w:tcPr>
                <w:p w14:paraId="7BE7E7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22.5</w:t>
                  </w:r>
                </w:p>
              </w:tc>
              <w:tc>
                <w:tcPr>
                  <w:tcW w:w="898" w:type="dxa"/>
                  <w:tcBorders>
                    <w:top w:val="single" w:color="000000" w:themeColor="text1" w:sz="8" w:space="0"/>
                    <w:left w:val="single" w:color="000000" w:themeColor="text1" w:sz="8" w:space="0"/>
                    <w:bottom w:val="single" w:color="000000" w:themeColor="text1" w:sz="8" w:space="0"/>
                    <w:right w:val="nil"/>
                  </w:tcBorders>
                  <w:shd w:val="clear" w:color="auto" w:fill="auto"/>
                  <w:vAlign w:val="center"/>
                </w:tcPr>
                <w:p w14:paraId="2E40D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r w14:paraId="2FB52D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713" w:type="dxa"/>
                  <w:tcBorders>
                    <w:top w:val="single" w:color="000000" w:themeColor="text1" w:sz="8" w:space="0"/>
                    <w:left w:val="nil"/>
                    <w:bottom w:val="single" w:color="474747" w:sz="12" w:space="0"/>
                    <w:right w:val="single" w:color="000000" w:themeColor="text1" w:sz="8" w:space="0"/>
                  </w:tcBorders>
                  <w:shd w:val="clear" w:color="auto" w:fill="auto"/>
                  <w:vAlign w:val="center"/>
                </w:tcPr>
                <w:p w14:paraId="45B2B3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O</w:t>
                  </w:r>
                  <w:r>
                    <w:rPr>
                      <w:rFonts w:hint="eastAsia" w:ascii="宋体" w:hAnsi="宋体" w:eastAsia="宋体" w:cs="宋体"/>
                      <w:i w:val="0"/>
                      <w:iCs w:val="0"/>
                      <w:color w:val="000000"/>
                      <w:kern w:val="0"/>
                      <w:sz w:val="21"/>
                      <w:szCs w:val="21"/>
                      <w:highlight w:val="yellow"/>
                      <w:u w:val="none"/>
                      <w:vertAlign w:val="subscript"/>
                      <w:lang w:val="en-US" w:eastAsia="zh-CN" w:bidi="ar"/>
                    </w:rPr>
                    <w:t>3</w:t>
                  </w:r>
                </w:p>
              </w:tc>
              <w:tc>
                <w:tcPr>
                  <w:tcW w:w="2973" w:type="dxa"/>
                  <w:tcBorders>
                    <w:top w:val="single" w:color="000000" w:themeColor="text1" w:sz="8" w:space="0"/>
                    <w:left w:val="single" w:color="000000" w:themeColor="text1" w:sz="8" w:space="0"/>
                    <w:bottom w:val="single" w:color="474747" w:sz="12" w:space="0"/>
                    <w:right w:val="single" w:color="000000" w:themeColor="text1" w:sz="8" w:space="0"/>
                  </w:tcBorders>
                  <w:shd w:val="clear" w:color="auto" w:fill="auto"/>
                  <w:vAlign w:val="center"/>
                </w:tcPr>
                <w:p w14:paraId="1EFD1D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90百分位数最大8小时滑动平均值</w:t>
                  </w:r>
                </w:p>
              </w:tc>
              <w:tc>
                <w:tcPr>
                  <w:tcW w:w="1264" w:type="dxa"/>
                  <w:tcBorders>
                    <w:top w:val="single" w:color="000000" w:themeColor="text1" w:sz="8" w:space="0"/>
                    <w:left w:val="single" w:color="000000" w:themeColor="text1" w:sz="8" w:space="0"/>
                    <w:bottom w:val="single" w:color="474747" w:sz="12" w:space="0"/>
                    <w:right w:val="single" w:color="000000" w:themeColor="text1" w:sz="8" w:space="0"/>
                  </w:tcBorders>
                  <w:shd w:val="clear" w:color="auto" w:fill="auto"/>
                  <w:vAlign w:val="center"/>
                </w:tcPr>
                <w:p w14:paraId="5E73B8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110</w:t>
                  </w:r>
                </w:p>
              </w:tc>
              <w:tc>
                <w:tcPr>
                  <w:tcW w:w="1018" w:type="dxa"/>
                  <w:tcBorders>
                    <w:top w:val="single" w:color="000000" w:themeColor="text1" w:sz="8" w:space="0"/>
                    <w:left w:val="single" w:color="000000" w:themeColor="text1" w:sz="8" w:space="0"/>
                    <w:bottom w:val="single" w:color="474747" w:sz="12" w:space="0"/>
                    <w:right w:val="single" w:color="000000" w:themeColor="text1" w:sz="8" w:space="0"/>
                  </w:tcBorders>
                  <w:shd w:val="clear" w:color="auto" w:fill="auto"/>
                  <w:vAlign w:val="center"/>
                </w:tcPr>
                <w:p w14:paraId="299E6C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160</w:t>
                  </w:r>
                </w:p>
              </w:tc>
              <w:tc>
                <w:tcPr>
                  <w:tcW w:w="1106" w:type="dxa"/>
                  <w:tcBorders>
                    <w:top w:val="single" w:color="000000" w:themeColor="text1" w:sz="8" w:space="0"/>
                    <w:left w:val="single" w:color="000000" w:themeColor="text1" w:sz="8" w:space="0"/>
                    <w:bottom w:val="single" w:color="474747" w:sz="12" w:space="0"/>
                    <w:right w:val="single" w:color="000000" w:themeColor="text1" w:sz="8" w:space="0"/>
                  </w:tcBorders>
                  <w:shd w:val="clear" w:color="auto" w:fill="auto"/>
                  <w:vAlign w:val="center"/>
                </w:tcPr>
                <w:p w14:paraId="087B13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68.6</w:t>
                  </w:r>
                </w:p>
              </w:tc>
              <w:tc>
                <w:tcPr>
                  <w:tcW w:w="898" w:type="dxa"/>
                  <w:tcBorders>
                    <w:top w:val="single" w:color="000000" w:themeColor="text1" w:sz="8" w:space="0"/>
                    <w:left w:val="single" w:color="000000" w:themeColor="text1" w:sz="8" w:space="0"/>
                    <w:bottom w:val="single" w:color="474747" w:sz="12" w:space="0"/>
                    <w:right w:val="nil"/>
                  </w:tcBorders>
                  <w:shd w:val="clear" w:color="auto" w:fill="auto"/>
                  <w:vAlign w:val="center"/>
                </w:tcPr>
                <w:p w14:paraId="4F8C9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达标</w:t>
                  </w:r>
                </w:p>
              </w:tc>
            </w:tr>
          </w:tbl>
          <w:p w14:paraId="4E9174DB">
            <w:pPr>
              <w:keepNext w:val="0"/>
              <w:keepLines w:val="0"/>
              <w:widowControl/>
              <w:suppressLineNumbers w:val="0"/>
              <w:jc w:val="left"/>
              <w:rPr>
                <w:rFonts w:hint="eastAsia" w:ascii="宋体" w:hAnsi="宋体" w:eastAsia="宋体" w:cs="宋体"/>
                <w:highlight w:val="yellow"/>
              </w:rPr>
            </w:pPr>
            <w:r>
              <w:rPr>
                <w:rFonts w:hint="eastAsia" w:ascii="宋体" w:hAnsi="宋体" w:eastAsia="宋体" w:cs="宋体"/>
                <w:color w:val="000000"/>
                <w:kern w:val="0"/>
                <w:sz w:val="24"/>
                <w:szCs w:val="24"/>
                <w:highlight w:val="yellow"/>
                <w:lang w:val="en-US" w:eastAsia="zh-CN" w:bidi="ar"/>
              </w:rPr>
              <w:t>根据统计结果，各污染物平均浓度均满足《环境空气质量标准》（GB 3095-2012）中二级标准限值，双鸭山市为环境空气质量达标区，区域环境空气质量现状良好。</w:t>
            </w:r>
          </w:p>
          <w:p w14:paraId="17D4F151">
            <w:pPr>
              <w:adjustRightInd w:val="0"/>
              <w:snapToGrid w:val="0"/>
              <w:ind w:firstLine="482"/>
              <w:rPr>
                <w:rFonts w:hint="eastAsia" w:ascii="宋体" w:hAnsi="宋体" w:eastAsia="宋体" w:cs="宋体"/>
                <w:b/>
                <w:bCs/>
                <w:smallCaps w:val="0"/>
                <w:color w:val="auto"/>
                <w:kern w:val="0"/>
                <w:szCs w:val="21"/>
                <w:highlight w:val="none"/>
              </w:rPr>
            </w:pPr>
            <w:r>
              <w:rPr>
                <w:rFonts w:hint="eastAsia" w:ascii="宋体" w:hAnsi="宋体" w:eastAsia="宋体" w:cs="宋体"/>
                <w:b/>
                <w:bCs/>
                <w:smallCaps w:val="0"/>
                <w:color w:val="auto"/>
                <w:kern w:val="0"/>
                <w:szCs w:val="21"/>
                <w:highlight w:val="none"/>
              </w:rPr>
              <w:t>5、地表水环境质量现状</w:t>
            </w:r>
          </w:p>
          <w:p w14:paraId="58C41676">
            <w:pPr>
              <w:spacing w:line="360" w:lineRule="auto"/>
              <w:ind w:firstLine="480"/>
              <w:rPr>
                <w:rFonts w:hint="eastAsia" w:ascii="宋体" w:hAnsi="宋体" w:eastAsia="宋体" w:cs="宋体"/>
                <w:color w:val="auto"/>
                <w:spacing w:val="0"/>
                <w:kern w:val="0"/>
                <w:sz w:val="24"/>
                <w:szCs w:val="32"/>
                <w:highlight w:val="none"/>
              </w:rPr>
            </w:pPr>
            <w:r>
              <w:rPr>
                <w:rFonts w:hint="eastAsia" w:ascii="宋体" w:hAnsi="宋体" w:eastAsia="宋体" w:cs="宋体"/>
                <w:color w:val="auto"/>
                <w:sz w:val="24"/>
                <w:szCs w:val="24"/>
                <w:highlight w:val="yellow"/>
                <w:lang w:val="zh-TW" w:eastAsia="zh-TW"/>
              </w:rPr>
              <w:t>本项目所在区域水体为</w:t>
            </w:r>
            <w:r>
              <w:rPr>
                <w:rFonts w:hint="eastAsia" w:ascii="宋体" w:hAnsi="宋体" w:eastAsia="宋体" w:cs="宋体"/>
                <w:color w:val="auto"/>
                <w:sz w:val="24"/>
                <w:szCs w:val="24"/>
                <w:highlight w:val="yellow"/>
                <w:lang w:val="en-US" w:eastAsia="zh-CN"/>
              </w:rPr>
              <w:t>安邦河</w:t>
            </w:r>
            <w:r>
              <w:rPr>
                <w:rFonts w:hint="eastAsia" w:ascii="宋体" w:hAnsi="宋体" w:eastAsia="宋体" w:cs="宋体"/>
                <w:color w:val="auto"/>
                <w:sz w:val="24"/>
                <w:szCs w:val="24"/>
                <w:highlight w:val="yellow"/>
                <w:lang w:val="zh-TW" w:eastAsia="zh-TW"/>
              </w:rPr>
              <w:t>，</w:t>
            </w:r>
            <w:r>
              <w:rPr>
                <w:rFonts w:hint="eastAsia" w:ascii="宋体" w:hAnsi="宋体" w:eastAsia="宋体" w:cs="宋体"/>
                <w:bCs/>
                <w:color w:val="auto"/>
                <w:sz w:val="24"/>
                <w:highlight w:val="yellow"/>
                <w:lang w:val="en-US" w:eastAsia="zh-CN"/>
              </w:rPr>
              <w:t>根据《全国重要江河湖泊水功能区划（2011-2030）》（黑龙江省）可知，寒葱沟水库库尾至窑地村执行《地表水环境质量标准》（GB3838-2002）中的II~III类水体标准。</w:t>
            </w:r>
            <w:r>
              <w:rPr>
                <w:rFonts w:hint="eastAsia" w:ascii="宋体" w:hAnsi="宋体" w:eastAsia="宋体" w:cs="宋体"/>
                <w:color w:val="auto"/>
                <w:sz w:val="24"/>
                <w:szCs w:val="24"/>
                <w:highlight w:val="yellow"/>
                <w:lang w:val="en-US" w:eastAsia="zh-TW"/>
              </w:rPr>
              <w:t>根据</w:t>
            </w:r>
            <w:r>
              <w:rPr>
                <w:rFonts w:hint="eastAsia" w:ascii="宋体" w:hAnsi="宋体" w:eastAsia="宋体" w:cs="宋体"/>
                <w:color w:val="auto"/>
                <w:sz w:val="24"/>
                <w:szCs w:val="24"/>
                <w:highlight w:val="yellow"/>
                <w:lang w:val="zh-CN"/>
              </w:rPr>
              <w:t>《2023年黑龙江省生态环境质量状况</w:t>
            </w:r>
            <w:r>
              <w:rPr>
                <w:rFonts w:hint="eastAsia" w:ascii="宋体" w:hAnsi="宋体" w:eastAsia="宋体" w:cs="宋体"/>
                <w:color w:val="auto"/>
                <w:sz w:val="24"/>
                <w:szCs w:val="24"/>
                <w:highlight w:val="yellow"/>
                <w:lang w:val="zh-CN" w:eastAsia="zh-CN"/>
              </w:rPr>
              <w:t>》</w:t>
            </w:r>
            <w:r>
              <w:rPr>
                <w:rFonts w:hint="eastAsia" w:ascii="宋体" w:hAnsi="宋体" w:eastAsia="宋体" w:cs="宋体"/>
                <w:color w:val="auto"/>
                <w:sz w:val="24"/>
                <w:szCs w:val="24"/>
                <w:highlight w:val="yellow"/>
                <w:lang w:val="en-US" w:eastAsia="zh-CN"/>
              </w:rPr>
              <w:t>公布数据</w:t>
            </w:r>
            <w:r>
              <w:rPr>
                <w:rFonts w:hint="eastAsia" w:ascii="宋体" w:hAnsi="宋体" w:eastAsia="宋体" w:cs="宋体"/>
                <w:color w:val="auto"/>
                <w:sz w:val="24"/>
                <w:szCs w:val="24"/>
                <w:highlight w:val="yellow"/>
                <w:lang w:val="zh-CN" w:eastAsia="zh-CN"/>
              </w:rPr>
              <w:t>，</w:t>
            </w:r>
            <w:r>
              <w:rPr>
                <w:rFonts w:hint="eastAsia" w:ascii="宋体" w:hAnsi="宋体" w:eastAsia="宋体" w:cs="宋体"/>
                <w:color w:val="auto"/>
                <w:sz w:val="24"/>
                <w:szCs w:val="24"/>
                <w:highlight w:val="yellow"/>
                <w:lang w:val="en-US" w:eastAsia="zh-CN"/>
              </w:rPr>
              <w:t>安邦河双鸭山市区段水质满足III类水质</w:t>
            </w:r>
            <w:r>
              <w:rPr>
                <w:rFonts w:hint="eastAsia" w:ascii="宋体" w:hAnsi="宋体" w:eastAsia="宋体" w:cs="宋体"/>
                <w:color w:val="auto"/>
                <w:sz w:val="24"/>
                <w:szCs w:val="24"/>
                <w:highlight w:val="yellow"/>
                <w:lang w:val="en-US" w:eastAsia="zh-TW"/>
              </w:rPr>
              <w:t>。</w:t>
            </w:r>
            <w:r>
              <w:rPr>
                <w:rFonts w:hint="eastAsia" w:ascii="宋体" w:hAnsi="宋体" w:eastAsia="宋体" w:cs="宋体"/>
                <w:color w:val="auto"/>
                <w:sz w:val="24"/>
                <w:szCs w:val="24"/>
                <w:highlight w:val="yellow"/>
                <w:lang w:val="zh-TW" w:eastAsia="zh-TW"/>
              </w:rPr>
              <w:t>因此，本项目所在河段符合《地表水环境质量标准》（GB3838-2002）III类标准。</w:t>
            </w:r>
          </w:p>
          <w:p w14:paraId="2C2BD780">
            <w:pPr>
              <w:ind w:firstLine="480"/>
              <w:rPr>
                <w:rFonts w:hint="eastAsia" w:ascii="宋体" w:hAnsi="宋体" w:eastAsia="宋体" w:cs="宋体"/>
                <w:b/>
                <w:bCs/>
                <w:smallCaps w:val="0"/>
                <w:color w:val="auto"/>
                <w:highlight w:val="none"/>
              </w:rPr>
            </w:pPr>
            <w:r>
              <w:rPr>
                <w:rFonts w:hint="eastAsia" w:ascii="宋体" w:hAnsi="宋体" w:eastAsia="宋体" w:cs="宋体"/>
                <w:b/>
                <w:bCs/>
                <w:smallCaps w:val="0"/>
                <w:color w:val="auto"/>
                <w:highlight w:val="none"/>
              </w:rPr>
              <w:t>6、声环境质量现状</w:t>
            </w:r>
          </w:p>
          <w:p w14:paraId="53114944">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left"/>
              <w:textAlignment w:val="auto"/>
              <w:rPr>
                <w:rFonts w:hint="eastAsia" w:ascii="宋体" w:hAnsi="宋体" w:eastAsia="宋体" w:cs="宋体"/>
                <w:color w:val="auto"/>
                <w:highlight w:val="none"/>
                <w:lang w:eastAsia="zh-CN"/>
              </w:rPr>
            </w:pPr>
            <w:r>
              <w:rPr>
                <w:rFonts w:hint="eastAsia" w:ascii="宋体" w:hAnsi="宋体" w:eastAsia="宋体" w:cs="宋体"/>
                <w:bCs/>
                <w:color w:val="auto"/>
                <w:sz w:val="24"/>
                <w:highlight w:val="none"/>
                <w:lang w:val="en-US" w:eastAsia="zh-CN"/>
              </w:rPr>
              <w:t>根据《2023年黑龙江省生态环境质量状况》可知，双鸭山市区域昼间声环境质量为二级，等效声级为54.4dB(A)，夜间声环境质量为二级，等效声级为44.9dB(A)；道路交通昼间声环境质量为一级，等效声级为67.7dB(A)，夜间声环境质量为一级，等效声级为54.5dB(A)；功能区昼间达标率100%；功能区夜间达标率100%。</w:t>
            </w:r>
          </w:p>
        </w:tc>
      </w:tr>
      <w:tr w14:paraId="1F3137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2" w:hRule="atLeast"/>
          <w:jc w:val="center"/>
        </w:trPr>
        <w:tc>
          <w:tcPr>
            <w:tcW w:w="694" w:type="dxa"/>
            <w:noWrap w:val="0"/>
            <w:vAlign w:val="center"/>
          </w:tcPr>
          <w:p w14:paraId="31D817D3">
            <w:pPr>
              <w:pStyle w:val="73"/>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sz w:val="21"/>
                <w:szCs w:val="20"/>
                <w:highlight w:val="none"/>
              </w:rPr>
              <w:t>与项目有关的原有环境污染和生态破坏问题</w:t>
            </w:r>
          </w:p>
        </w:tc>
        <w:tc>
          <w:tcPr>
            <w:tcW w:w="8378" w:type="dxa"/>
            <w:noWrap w:val="0"/>
            <w:vAlign w:val="center"/>
          </w:tcPr>
          <w:p w14:paraId="11BF14D6">
            <w:pPr>
              <w:adjustRightInd w:val="0"/>
              <w:snapToGrid w:val="0"/>
              <w:ind w:firstLine="480"/>
              <w:rPr>
                <w:rFonts w:hint="eastAsia" w:ascii="宋体" w:hAnsi="宋体" w:eastAsia="宋体" w:cs="宋体"/>
                <w:smallCaps w:val="0"/>
                <w:color w:val="auto"/>
                <w:kern w:val="0"/>
                <w:szCs w:val="21"/>
                <w:highlight w:val="yellow"/>
                <w:lang w:val="en-US" w:eastAsia="zh-CN"/>
              </w:rPr>
            </w:pPr>
            <w:r>
              <w:rPr>
                <w:rFonts w:hint="eastAsia" w:ascii="宋体" w:hAnsi="宋体" w:eastAsia="宋体" w:cs="宋体"/>
                <w:smallCaps w:val="0"/>
                <w:color w:val="auto"/>
                <w:kern w:val="0"/>
                <w:szCs w:val="21"/>
                <w:highlight w:val="yellow"/>
                <w:lang w:val="en-US" w:eastAsia="zh-CN"/>
              </w:rPr>
              <w:t>1.现有道路工程分析</w:t>
            </w:r>
          </w:p>
          <w:p w14:paraId="56778C1E">
            <w:pPr>
              <w:adjustRightInd w:val="0"/>
              <w:snapToGrid w:val="0"/>
              <w:ind w:firstLine="480"/>
              <w:rPr>
                <w:rFonts w:hint="eastAsia" w:ascii="宋体" w:hAnsi="宋体" w:eastAsia="宋体" w:cs="宋体"/>
                <w:smallCaps w:val="0"/>
                <w:color w:val="auto"/>
                <w:kern w:val="0"/>
                <w:szCs w:val="21"/>
                <w:highlight w:val="yellow"/>
                <w:lang w:val="en-US" w:eastAsia="zh-CN"/>
              </w:rPr>
            </w:pPr>
            <w:r>
              <w:rPr>
                <w:rFonts w:hint="eastAsia" w:ascii="宋体" w:hAnsi="宋体" w:eastAsia="宋体" w:cs="宋体"/>
                <w:smallCaps w:val="0"/>
                <w:color w:val="auto"/>
                <w:kern w:val="0"/>
                <w:szCs w:val="21"/>
                <w:highlight w:val="yellow"/>
                <w:lang w:val="en-US" w:eastAsia="zh-CN"/>
              </w:rPr>
              <w:t>双鸭山至时代公路（K6+050-K8+175段）于2014年修建，未开展环境影响评价工作。旧路为砂石路面，路面宽度为8m-12m不等，旧路路基高度在0.6-2.0m。未进行道路等级确定，未设计时速。</w:t>
            </w:r>
          </w:p>
          <w:p w14:paraId="349F09E5">
            <w:pPr>
              <w:adjustRightInd w:val="0"/>
              <w:snapToGrid w:val="0"/>
              <w:ind w:firstLine="480"/>
              <w:rPr>
                <w:rFonts w:hint="eastAsia" w:ascii="宋体" w:hAnsi="宋体" w:eastAsia="宋体" w:cs="宋体"/>
                <w:smallCaps w:val="0"/>
                <w:color w:val="auto"/>
                <w:kern w:val="0"/>
                <w:szCs w:val="21"/>
                <w:highlight w:val="yellow"/>
                <w:lang w:val="en-US" w:eastAsia="zh-CN"/>
              </w:rPr>
            </w:pPr>
            <w:r>
              <w:rPr>
                <w:rFonts w:hint="eastAsia" w:ascii="宋体" w:hAnsi="宋体" w:eastAsia="宋体" w:cs="宋体"/>
                <w:smallCaps w:val="0"/>
                <w:color w:val="auto"/>
                <w:kern w:val="0"/>
                <w:szCs w:val="21"/>
                <w:highlight w:val="yellow"/>
                <w:lang w:val="en-US" w:eastAsia="zh-CN"/>
              </w:rPr>
              <w:t>2.现有道路现状</w:t>
            </w:r>
          </w:p>
          <w:p w14:paraId="0F330940">
            <w:pPr>
              <w:adjustRightInd w:val="0"/>
              <w:snapToGrid w:val="0"/>
              <w:ind w:firstLine="480"/>
              <w:rPr>
                <w:rFonts w:hint="eastAsia" w:ascii="宋体" w:hAnsi="宋体" w:eastAsia="宋体" w:cs="宋体"/>
                <w:smallCaps w:val="0"/>
                <w:color w:val="auto"/>
                <w:kern w:val="0"/>
                <w:szCs w:val="21"/>
                <w:highlight w:val="yellow"/>
              </w:rPr>
            </w:pPr>
            <w:r>
              <w:rPr>
                <w:rFonts w:hint="eastAsia" w:ascii="宋体" w:hAnsi="宋体" w:eastAsia="宋体" w:cs="宋体"/>
                <w:smallCaps w:val="0"/>
                <w:color w:val="auto"/>
                <w:kern w:val="0"/>
                <w:szCs w:val="21"/>
                <w:highlight w:val="yellow"/>
              </w:rPr>
              <w:t>拟建项目现有道路修建时间较早，</w:t>
            </w:r>
            <w:r>
              <w:rPr>
                <w:rFonts w:hint="eastAsia" w:ascii="宋体" w:hAnsi="宋体" w:eastAsia="宋体" w:cs="宋体"/>
                <w:smallCaps w:val="0"/>
                <w:color w:val="auto"/>
                <w:kern w:val="0"/>
                <w:szCs w:val="21"/>
                <w:highlight w:val="yellow"/>
                <w:lang w:val="en-US" w:eastAsia="zh-CN"/>
              </w:rPr>
              <w:t>为砂石路面，</w:t>
            </w:r>
            <w:r>
              <w:rPr>
                <w:rFonts w:hint="eastAsia" w:ascii="宋体" w:hAnsi="宋体" w:eastAsia="宋体" w:cs="宋体"/>
                <w:smallCaps w:val="0"/>
                <w:color w:val="auto"/>
                <w:kern w:val="0"/>
                <w:szCs w:val="21"/>
                <w:highlight w:val="yellow"/>
              </w:rPr>
              <w:t>平面</w:t>
            </w:r>
            <w:r>
              <w:rPr>
                <w:rFonts w:hint="eastAsia" w:ascii="宋体" w:hAnsi="宋体" w:eastAsia="宋体" w:cs="宋体"/>
                <w:smallCaps w:val="0"/>
                <w:color w:val="auto"/>
                <w:kern w:val="0"/>
                <w:szCs w:val="21"/>
                <w:highlight w:val="yellow"/>
                <w:lang w:eastAsia="zh-CN"/>
              </w:rPr>
              <w:t>线形</w:t>
            </w:r>
            <w:r>
              <w:rPr>
                <w:rFonts w:hint="eastAsia" w:ascii="宋体" w:hAnsi="宋体" w:eastAsia="宋体" w:cs="宋体"/>
                <w:smallCaps w:val="0"/>
                <w:color w:val="auto"/>
                <w:kern w:val="0"/>
                <w:szCs w:val="21"/>
                <w:highlight w:val="yellow"/>
              </w:rPr>
              <w:t>差、纵坡较大，道路转弯半径小，涵洞破损和堵塞，交安设施不够完善；随着经济社会的快速发展，运输需求不断升级，项目目前已无法满足现有经济发展需求，且车辆会车亦存在较大风险。旧路存在沉陷等病害。</w:t>
            </w:r>
          </w:p>
          <w:p w14:paraId="336708DF">
            <w:pPr>
              <w:adjustRightInd w:val="0"/>
              <w:snapToGrid w:val="0"/>
              <w:ind w:firstLine="480"/>
              <w:rPr>
                <w:rFonts w:hint="eastAsia" w:ascii="宋体" w:hAnsi="宋体" w:eastAsia="宋体" w:cs="宋体"/>
                <w:smallCaps w:val="0"/>
                <w:color w:val="auto"/>
                <w:kern w:val="0"/>
                <w:szCs w:val="21"/>
                <w:highlight w:val="yellow"/>
              </w:rPr>
            </w:pPr>
            <w:r>
              <w:rPr>
                <w:rFonts w:hint="eastAsia" w:ascii="宋体" w:hAnsi="宋体" w:eastAsia="宋体" w:cs="宋体"/>
                <w:smallCaps w:val="0"/>
                <w:color w:val="auto"/>
                <w:kern w:val="0"/>
                <w:szCs w:val="21"/>
                <w:highlight w:val="yellow"/>
              </w:rPr>
              <w:t>旧路共有涵洞</w:t>
            </w:r>
            <w:r>
              <w:rPr>
                <w:rFonts w:hint="eastAsia" w:ascii="宋体" w:hAnsi="宋体" w:eastAsia="宋体" w:cs="宋体"/>
                <w:smallCaps w:val="0"/>
                <w:color w:val="auto"/>
                <w:kern w:val="0"/>
                <w:szCs w:val="21"/>
                <w:highlight w:val="yellow"/>
                <w:lang w:val="en-US" w:eastAsia="zh-CN"/>
              </w:rPr>
              <w:t>2</w:t>
            </w:r>
            <w:r>
              <w:rPr>
                <w:rFonts w:hint="eastAsia" w:ascii="宋体" w:hAnsi="宋体" w:eastAsia="宋体" w:cs="宋体"/>
                <w:smallCaps w:val="0"/>
                <w:color w:val="auto"/>
                <w:kern w:val="0"/>
                <w:szCs w:val="21"/>
                <w:highlight w:val="yellow"/>
              </w:rPr>
              <w:t>道，</w:t>
            </w:r>
            <w:r>
              <w:rPr>
                <w:rFonts w:hint="eastAsia" w:ascii="宋体" w:hAnsi="宋体" w:eastAsia="宋体" w:cs="宋体"/>
                <w:smallCaps w:val="0"/>
                <w:color w:val="auto"/>
                <w:kern w:val="0"/>
                <w:szCs w:val="21"/>
                <w:highlight w:val="yellow"/>
                <w:lang w:val="en-US" w:eastAsia="zh-CN"/>
              </w:rPr>
              <w:t>为1-1.5m、2-1.5m流纹管涵</w:t>
            </w:r>
            <w:r>
              <w:rPr>
                <w:rFonts w:hint="eastAsia" w:ascii="宋体" w:hAnsi="宋体" w:eastAsia="宋体" w:cs="宋体"/>
                <w:smallCaps w:val="0"/>
                <w:color w:val="auto"/>
                <w:kern w:val="0"/>
                <w:szCs w:val="21"/>
                <w:highlight w:val="yellow"/>
              </w:rPr>
              <w:t>，近年来，由于车流量的增加，波纹管涵洞破损严重，荷载等级及泄洪能力已不能满足要求。</w:t>
            </w:r>
          </w:p>
          <w:p w14:paraId="4417B6BA">
            <w:pPr>
              <w:adjustRightInd w:val="0"/>
              <w:snapToGrid w:val="0"/>
              <w:ind w:firstLine="480"/>
              <w:rPr>
                <w:rFonts w:hint="eastAsia" w:ascii="宋体" w:hAnsi="宋体" w:eastAsia="宋体" w:cs="宋体"/>
                <w:smallCaps w:val="0"/>
                <w:color w:val="auto"/>
                <w:kern w:val="0"/>
                <w:szCs w:val="21"/>
                <w:highlight w:val="yellow"/>
                <w:lang w:val="en-US" w:eastAsia="zh-CN"/>
              </w:rPr>
            </w:pPr>
            <w:r>
              <w:rPr>
                <w:rFonts w:hint="eastAsia" w:ascii="宋体" w:hAnsi="宋体" w:eastAsia="宋体" w:cs="宋体"/>
                <w:smallCaps w:val="0"/>
                <w:color w:val="auto"/>
                <w:kern w:val="0"/>
                <w:szCs w:val="21"/>
                <w:highlight w:val="yellow"/>
                <w:lang w:val="en-US" w:eastAsia="zh-CN"/>
              </w:rPr>
              <w:t>3.与项目有关的原有环境污染和生态破坏问题</w:t>
            </w:r>
          </w:p>
          <w:p w14:paraId="2F4B3A18">
            <w:pPr>
              <w:adjustRightInd w:val="0"/>
              <w:snapToGrid w:val="0"/>
              <w:ind w:firstLine="480"/>
              <w:rPr>
                <w:rFonts w:hint="eastAsia" w:ascii="宋体" w:hAnsi="宋体" w:eastAsia="宋体" w:cs="宋体"/>
                <w:smallCaps w:val="0"/>
                <w:color w:val="auto"/>
                <w:kern w:val="0"/>
                <w:szCs w:val="21"/>
                <w:highlight w:val="yellow"/>
              </w:rPr>
            </w:pPr>
            <w:r>
              <w:rPr>
                <w:rFonts w:hint="eastAsia" w:ascii="宋体" w:hAnsi="宋体" w:eastAsia="宋体" w:cs="宋体"/>
                <w:smallCaps w:val="0"/>
                <w:color w:val="auto"/>
                <w:kern w:val="0"/>
                <w:szCs w:val="21"/>
                <w:highlight w:val="yellow"/>
              </w:rPr>
              <w:t>现有的道路改建年代较久，等级较低，线形指标差，路基宽度较窄，路面整体强度不足，通行能力低，行车舒适性差，已无法满足交通运输发展的需求。</w:t>
            </w:r>
          </w:p>
          <w:p w14:paraId="0E5CF306">
            <w:pPr>
              <w:adjustRightInd w:val="0"/>
              <w:snapToGrid w:val="0"/>
              <w:ind w:left="0" w:leftChars="0" w:firstLine="0" w:firstLineChars="0"/>
              <w:rPr>
                <w:rFonts w:hint="eastAsia" w:ascii="宋体" w:hAnsi="宋体" w:eastAsia="宋体" w:cs="宋体"/>
                <w:smallCaps w:val="0"/>
                <w:color w:val="auto"/>
                <w:kern w:val="0"/>
                <w:szCs w:val="21"/>
                <w:highlight w:val="yellow"/>
                <w:lang w:val="en-US" w:eastAsia="zh-CN"/>
              </w:rPr>
            </w:pPr>
            <w:r>
              <w:rPr>
                <w:rFonts w:hint="eastAsia" w:ascii="宋体" w:hAnsi="宋体" w:eastAsia="宋体" w:cs="宋体"/>
                <w:smallCaps w:val="0"/>
                <w:color w:val="auto"/>
                <w:kern w:val="0"/>
                <w:szCs w:val="21"/>
                <w:highlight w:val="yellow"/>
                <w:lang w:val="en-US" w:eastAsia="zh-CN"/>
              </w:rPr>
              <w:t>现有的主要环境问题为车辆行驶产生的扬尘，因路面平整度不足，使车辆行驶噪声增大，因路面不平整，导致排水不畅造成路面积水，长期如此造成路面塌陷。</w:t>
            </w:r>
          </w:p>
          <w:p w14:paraId="45331F68">
            <w:pPr>
              <w:adjustRightInd w:val="0"/>
              <w:snapToGrid w:val="0"/>
              <w:ind w:firstLine="480"/>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Cs w:val="21"/>
                <w:highlight w:val="lightGray"/>
              </w:rPr>
              <w:t>本项目为道路改建项目，</w:t>
            </w:r>
            <w:r>
              <w:rPr>
                <w:rFonts w:hint="eastAsia" w:ascii="宋体" w:hAnsi="宋体" w:eastAsia="宋体" w:cs="宋体"/>
                <w:smallCaps w:val="0"/>
                <w:color w:val="auto"/>
                <w:kern w:val="0"/>
                <w:szCs w:val="21"/>
                <w:highlight w:val="lightGray"/>
                <w:lang w:val="en-US" w:eastAsia="zh-CN"/>
              </w:rPr>
              <w:t>项目建成后，能够改善现有环境问题，改建后为水泥混凝土路面，路面平整，减少行驶噪声，减少行驶扬尘。本项目道路两侧设有排水沟、涵洞，建成后路面排水与泄洪情况得到有效缓解。</w:t>
            </w:r>
            <w:r>
              <w:rPr>
                <w:rFonts w:hint="eastAsia" w:ascii="宋体" w:hAnsi="宋体" w:cs="宋体"/>
                <w:smallCaps w:val="0"/>
                <w:color w:val="auto"/>
                <w:kern w:val="0"/>
                <w:szCs w:val="21"/>
                <w:highlight w:val="lightGray"/>
                <w:lang w:val="en-US" w:eastAsia="zh-CN"/>
              </w:rPr>
              <w:t>通过采用上述以新带老措施，</w:t>
            </w:r>
            <w:r>
              <w:rPr>
                <w:rFonts w:hint="eastAsia" w:ascii="宋体" w:hAnsi="宋体" w:eastAsia="宋体" w:cs="宋体"/>
                <w:smallCaps w:val="0"/>
                <w:color w:val="auto"/>
                <w:kern w:val="0"/>
                <w:szCs w:val="21"/>
                <w:highlight w:val="lightGray"/>
                <w:lang w:val="en-US" w:eastAsia="zh-CN"/>
              </w:rPr>
              <w:t>本项目建成后可有效解决现有产生的环境问题</w:t>
            </w:r>
            <w:r>
              <w:rPr>
                <w:rFonts w:hint="eastAsia" w:ascii="宋体" w:hAnsi="宋体" w:eastAsia="宋体" w:cs="宋体"/>
                <w:smallCaps w:val="0"/>
                <w:color w:val="auto"/>
                <w:kern w:val="0"/>
                <w:szCs w:val="21"/>
                <w:highlight w:val="lightGray"/>
              </w:rPr>
              <w:t>。</w:t>
            </w:r>
          </w:p>
        </w:tc>
      </w:tr>
      <w:tr w14:paraId="71BB9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9" w:hRule="atLeast"/>
          <w:jc w:val="center"/>
        </w:trPr>
        <w:tc>
          <w:tcPr>
            <w:tcW w:w="694" w:type="dxa"/>
            <w:noWrap w:val="0"/>
            <w:vAlign w:val="center"/>
          </w:tcPr>
          <w:p w14:paraId="698288B7">
            <w:pPr>
              <w:pStyle w:val="73"/>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1"/>
                <w:szCs w:val="20"/>
                <w:highlight w:val="none"/>
              </w:rPr>
              <w:t>生态环境保护目标</w:t>
            </w:r>
          </w:p>
        </w:tc>
        <w:tc>
          <w:tcPr>
            <w:tcW w:w="8378" w:type="dxa"/>
            <w:noWrap w:val="0"/>
            <w:vAlign w:val="center"/>
          </w:tcPr>
          <w:p w14:paraId="31512A0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smallCaps w:val="0"/>
                <w:color w:val="auto"/>
                <w:sz w:val="24"/>
                <w:szCs w:val="24"/>
                <w:highlight w:val="lightGray"/>
                <w:lang w:val="en-US" w:eastAsia="zh-CN"/>
              </w:rPr>
            </w:pPr>
            <w:r>
              <w:rPr>
                <w:rFonts w:hint="eastAsia" w:ascii="宋体" w:hAnsi="宋体" w:eastAsia="宋体" w:cs="宋体"/>
                <w:smallCaps w:val="0"/>
                <w:color w:val="auto"/>
                <w:sz w:val="24"/>
                <w:szCs w:val="24"/>
                <w:highlight w:val="lightGray"/>
                <w:lang w:val="en-US" w:eastAsia="zh-CN"/>
              </w:rPr>
              <w:t>本项目大气环境、声环境评价范围均为道路中心线两侧200m范围内，生态评价范围均为道路中心线两侧300m范围内，水环境评价范围为项目中心线两侧200m范围内的地表水体。</w:t>
            </w:r>
          </w:p>
          <w:p w14:paraId="32E7C36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1、声环境</w:t>
            </w:r>
          </w:p>
          <w:p w14:paraId="5C19227F">
            <w:pPr>
              <w:pStyle w:val="20"/>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eastAsia" w:ascii="宋体" w:hAnsi="宋体" w:eastAsia="宋体" w:cs="宋体"/>
                <w:b w:val="0"/>
                <w:bCs w:val="0"/>
                <w:smallCaps w:val="0"/>
                <w:color w:val="auto"/>
                <w:sz w:val="24"/>
                <w:szCs w:val="24"/>
                <w:highlight w:val="none"/>
                <w:lang w:val="en-US" w:eastAsia="zh-CN"/>
              </w:rPr>
            </w:pPr>
            <w:r>
              <w:rPr>
                <w:rFonts w:hint="eastAsia" w:ascii="宋体" w:hAnsi="宋体" w:eastAsia="宋体" w:cs="宋体"/>
                <w:b w:val="0"/>
                <w:bCs w:val="0"/>
                <w:smallCaps w:val="0"/>
                <w:color w:val="auto"/>
                <w:sz w:val="24"/>
                <w:szCs w:val="24"/>
                <w:highlight w:val="none"/>
                <w:lang w:val="en-US" w:eastAsia="zh-CN"/>
              </w:rPr>
              <w:t>本项目200m保护目标为南侧平房居民，详细信息见声专项评价。</w:t>
            </w:r>
          </w:p>
          <w:p w14:paraId="67D1FBB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highlight w:val="none"/>
                <w:lang w:val="en-US" w:eastAsia="zh-CN"/>
              </w:rPr>
              <w:t>2、</w:t>
            </w:r>
            <w:r>
              <w:rPr>
                <w:rFonts w:hint="eastAsia" w:ascii="宋体" w:hAnsi="宋体" w:eastAsia="宋体" w:cs="宋体"/>
                <w:smallCaps w:val="0"/>
                <w:color w:val="auto"/>
                <w:sz w:val="24"/>
                <w:szCs w:val="24"/>
                <w:highlight w:val="none"/>
                <w:lang w:val="en-US" w:eastAsia="zh-CN"/>
              </w:rPr>
              <w:t>地下水环境</w:t>
            </w:r>
          </w:p>
          <w:p w14:paraId="0930884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本项目道路中心线两侧</w:t>
            </w:r>
            <w:r>
              <w:rPr>
                <w:rFonts w:hint="eastAsia" w:ascii="宋体" w:hAnsi="宋体" w:cs="宋体"/>
                <w:smallCaps w:val="0"/>
                <w:color w:val="auto"/>
                <w:sz w:val="24"/>
                <w:szCs w:val="24"/>
                <w:highlight w:val="none"/>
                <w:lang w:val="en-US" w:eastAsia="zh-CN"/>
              </w:rPr>
              <w:t>2</w:t>
            </w:r>
            <w:r>
              <w:rPr>
                <w:rFonts w:hint="eastAsia" w:ascii="宋体" w:hAnsi="宋体" w:eastAsia="宋体" w:cs="宋体"/>
                <w:smallCaps w:val="0"/>
                <w:color w:val="auto"/>
                <w:sz w:val="24"/>
                <w:szCs w:val="24"/>
                <w:highlight w:val="none"/>
                <w:lang w:val="en-US" w:eastAsia="zh-CN"/>
              </w:rPr>
              <w:t>00m范围内没有地下水集中式饮用水水源和热水、矿泉水、温泉等特殊地下水资源。</w:t>
            </w:r>
          </w:p>
          <w:p w14:paraId="7B6C263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3、大气环境</w:t>
            </w:r>
          </w:p>
          <w:p w14:paraId="26E20726">
            <w:pPr>
              <w:pStyle w:val="20"/>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Chars="0"/>
              <w:jc w:val="center"/>
              <w:textAlignment w:val="auto"/>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表3-2 大气环境保护目标</w:t>
            </w:r>
          </w:p>
          <w:tbl>
            <w:tblPr>
              <w:tblStyle w:val="33"/>
              <w:tblW w:w="494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76"/>
              <w:gridCol w:w="1216"/>
              <w:gridCol w:w="1651"/>
              <w:gridCol w:w="855"/>
              <w:gridCol w:w="1965"/>
              <w:gridCol w:w="1509"/>
            </w:tblGrid>
            <w:tr w14:paraId="425881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776" w:type="dxa"/>
                  <w:tcBorders>
                    <w:top w:val="single" w:color="000000" w:sz="12" w:space="0"/>
                    <w:left w:val="nil"/>
                    <w:bottom w:val="single" w:color="000000" w:sz="4" w:space="0"/>
                    <w:right w:val="single" w:color="000000" w:sz="4" w:space="0"/>
                  </w:tcBorders>
                  <w:shd w:val="clear" w:color="auto" w:fill="auto"/>
                  <w:noWrap/>
                  <w:vAlign w:val="center"/>
                </w:tcPr>
                <w:p w14:paraId="389B1C67">
                  <w:pPr>
                    <w:pStyle w:val="68"/>
                    <w:spacing w:line="240" w:lineRule="auto"/>
                    <w:rPr>
                      <w:rFonts w:hint="eastAsia"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序号</w:t>
                  </w:r>
                </w:p>
              </w:tc>
              <w:tc>
                <w:tcPr>
                  <w:tcW w:w="1216" w:type="dxa"/>
                  <w:tcBorders>
                    <w:top w:val="single" w:color="000000" w:sz="12" w:space="0"/>
                    <w:left w:val="single" w:color="000000" w:sz="4" w:space="0"/>
                    <w:bottom w:val="single" w:color="000000" w:sz="4" w:space="0"/>
                    <w:right w:val="single" w:color="000000" w:sz="4" w:space="0"/>
                  </w:tcBorders>
                  <w:shd w:val="clear" w:color="auto" w:fill="auto"/>
                  <w:noWrap/>
                  <w:vAlign w:val="center"/>
                </w:tcPr>
                <w:p w14:paraId="5913819A">
                  <w:pPr>
                    <w:pStyle w:val="68"/>
                    <w:spacing w:line="240" w:lineRule="auto"/>
                    <w:rPr>
                      <w:rFonts w:hint="default"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敏感目标名称</w:t>
                  </w:r>
                </w:p>
              </w:tc>
              <w:tc>
                <w:tcPr>
                  <w:tcW w:w="1651" w:type="dxa"/>
                  <w:tcBorders>
                    <w:top w:val="single" w:color="000000" w:sz="12" w:space="0"/>
                    <w:left w:val="single" w:color="000000" w:sz="4" w:space="0"/>
                    <w:bottom w:val="single" w:color="000000" w:sz="4" w:space="0"/>
                    <w:right w:val="single" w:color="000000" w:sz="4" w:space="0"/>
                  </w:tcBorders>
                  <w:shd w:val="clear" w:color="auto" w:fill="auto"/>
                  <w:noWrap/>
                  <w:vAlign w:val="center"/>
                </w:tcPr>
                <w:p w14:paraId="62AEA081">
                  <w:pPr>
                    <w:pStyle w:val="68"/>
                    <w:spacing w:line="240" w:lineRule="auto"/>
                    <w:rPr>
                      <w:rFonts w:hint="default"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涉及桩号</w:t>
                  </w:r>
                </w:p>
              </w:tc>
              <w:tc>
                <w:tcPr>
                  <w:tcW w:w="855" w:type="dxa"/>
                  <w:tcBorders>
                    <w:top w:val="single" w:color="000000" w:sz="12" w:space="0"/>
                    <w:left w:val="single" w:color="000000" w:sz="4" w:space="0"/>
                    <w:bottom w:val="single" w:color="000000" w:sz="4" w:space="0"/>
                    <w:right w:val="single" w:color="000000" w:sz="4" w:space="0"/>
                  </w:tcBorders>
                  <w:shd w:val="clear" w:color="auto" w:fill="auto"/>
                  <w:noWrap/>
                  <w:vAlign w:val="center"/>
                </w:tcPr>
                <w:p w14:paraId="758A818F">
                  <w:pPr>
                    <w:pStyle w:val="68"/>
                    <w:spacing w:line="240" w:lineRule="auto"/>
                    <w:rPr>
                      <w:rFonts w:hint="default"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项目方位</w:t>
                  </w:r>
                </w:p>
              </w:tc>
              <w:tc>
                <w:tcPr>
                  <w:tcW w:w="1965" w:type="dxa"/>
                  <w:tcBorders>
                    <w:top w:val="single" w:color="000000" w:sz="12" w:space="0"/>
                    <w:left w:val="single" w:color="000000" w:sz="4" w:space="0"/>
                    <w:bottom w:val="single" w:color="000000" w:sz="4" w:space="0"/>
                    <w:right w:val="single" w:color="000000" w:sz="4" w:space="0"/>
                  </w:tcBorders>
                  <w:shd w:val="clear" w:color="auto" w:fill="auto"/>
                  <w:noWrap/>
                  <w:vAlign w:val="center"/>
                </w:tcPr>
                <w:p w14:paraId="41D92F8D">
                  <w:pPr>
                    <w:pStyle w:val="68"/>
                    <w:spacing w:line="240" w:lineRule="auto"/>
                    <w:rPr>
                      <w:rFonts w:hint="default"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距本项目道路边界/中心线距离（m)</w:t>
                  </w:r>
                </w:p>
              </w:tc>
              <w:tc>
                <w:tcPr>
                  <w:tcW w:w="1509" w:type="dxa"/>
                  <w:tcBorders>
                    <w:top w:val="single" w:color="000000" w:sz="12" w:space="0"/>
                    <w:left w:val="single" w:color="000000" w:sz="4" w:space="0"/>
                    <w:bottom w:val="single" w:color="000000" w:sz="4" w:space="0"/>
                    <w:right w:val="nil"/>
                  </w:tcBorders>
                  <w:shd w:val="clear" w:color="auto" w:fill="auto"/>
                  <w:noWrap/>
                  <w:vAlign w:val="center"/>
                </w:tcPr>
                <w:p w14:paraId="42B0FB90">
                  <w:pPr>
                    <w:pStyle w:val="68"/>
                    <w:spacing w:line="240" w:lineRule="auto"/>
                    <w:rPr>
                      <w:rFonts w:hint="default" w:ascii="宋体" w:hAnsi="宋体" w:eastAsia="宋体" w:cs="宋体"/>
                      <w:b/>
                      <w:bCs/>
                      <w:smallCaps w:val="0"/>
                      <w:color w:val="auto"/>
                      <w:sz w:val="21"/>
                      <w:szCs w:val="21"/>
                      <w:highlight w:val="lightGray"/>
                      <w:lang w:val="en-US" w:eastAsia="zh-CN"/>
                    </w:rPr>
                  </w:pPr>
                  <w:r>
                    <w:rPr>
                      <w:rFonts w:hint="default" w:ascii="宋体" w:hAnsi="宋体" w:eastAsia="宋体" w:cs="宋体"/>
                      <w:b/>
                      <w:bCs/>
                      <w:smallCaps w:val="0"/>
                      <w:color w:val="auto"/>
                      <w:sz w:val="21"/>
                      <w:szCs w:val="21"/>
                      <w:highlight w:val="lightGray"/>
                      <w:lang w:val="en-US" w:eastAsia="zh-CN"/>
                    </w:rPr>
                    <w:t>敏感</w:t>
                  </w:r>
                  <w:r>
                    <w:rPr>
                      <w:rFonts w:hint="eastAsia" w:ascii="宋体" w:hAnsi="宋体" w:eastAsia="宋体" w:cs="宋体"/>
                      <w:b/>
                      <w:bCs/>
                      <w:smallCaps w:val="0"/>
                      <w:color w:val="auto"/>
                      <w:sz w:val="21"/>
                      <w:szCs w:val="21"/>
                      <w:highlight w:val="lightGray"/>
                      <w:lang w:val="en-US" w:eastAsia="zh-CN"/>
                    </w:rPr>
                    <w:t>目</w:t>
                  </w:r>
                  <w:r>
                    <w:rPr>
                      <w:rFonts w:hint="default" w:ascii="宋体" w:hAnsi="宋体" w:eastAsia="宋体" w:cs="宋体"/>
                      <w:b/>
                      <w:bCs/>
                      <w:smallCaps w:val="0"/>
                      <w:color w:val="auto"/>
                      <w:sz w:val="21"/>
                      <w:szCs w:val="21"/>
                      <w:highlight w:val="lightGray"/>
                      <w:lang w:val="en-US" w:eastAsia="zh-CN"/>
                    </w:rPr>
                    <w:t>标基本情况</w:t>
                  </w:r>
                </w:p>
              </w:tc>
            </w:tr>
            <w:tr w14:paraId="6AFDA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776" w:type="dxa"/>
                  <w:tcBorders>
                    <w:top w:val="single" w:color="000000" w:sz="4" w:space="0"/>
                    <w:left w:val="nil"/>
                    <w:bottom w:val="single" w:color="000000" w:sz="12" w:space="0"/>
                    <w:right w:val="single" w:color="000000" w:sz="4" w:space="0"/>
                  </w:tcBorders>
                  <w:shd w:val="clear" w:color="auto" w:fill="auto"/>
                  <w:noWrap/>
                  <w:vAlign w:val="center"/>
                </w:tcPr>
                <w:p w14:paraId="2CDA764F">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default" w:ascii="宋体" w:hAnsi="宋体" w:eastAsia="宋体" w:cs="宋体"/>
                      <w:b w:val="0"/>
                      <w:bCs w:val="0"/>
                      <w:smallCaps w:val="0"/>
                      <w:color w:val="auto"/>
                      <w:sz w:val="21"/>
                      <w:szCs w:val="21"/>
                      <w:highlight w:val="lightGray"/>
                      <w:lang w:val="en-US" w:eastAsia="zh-CN"/>
                    </w:rPr>
                    <w:t>1</w:t>
                  </w:r>
                </w:p>
              </w:tc>
              <w:tc>
                <w:tcPr>
                  <w:tcW w:w="1216"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14:paraId="157AD6D7">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eastAsia" w:ascii="宋体" w:hAnsi="宋体" w:eastAsia="宋体" w:cs="宋体"/>
                      <w:b w:val="0"/>
                      <w:bCs w:val="0"/>
                      <w:smallCaps w:val="0"/>
                      <w:color w:val="auto"/>
                      <w:sz w:val="21"/>
                      <w:szCs w:val="21"/>
                      <w:highlight w:val="lightGray"/>
                      <w:lang w:val="en-US" w:eastAsia="zh-CN"/>
                    </w:rPr>
                    <w:t>南侧平房居民</w:t>
                  </w:r>
                </w:p>
              </w:tc>
              <w:tc>
                <w:tcPr>
                  <w:tcW w:w="1651"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14:paraId="0E8BF4F5">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eastAsia" w:ascii="宋体" w:hAnsi="宋体" w:eastAsia="宋体" w:cs="宋体"/>
                      <w:b w:val="0"/>
                      <w:bCs w:val="0"/>
                      <w:smallCaps w:val="0"/>
                      <w:color w:val="auto"/>
                      <w:sz w:val="21"/>
                      <w:szCs w:val="21"/>
                      <w:highlight w:val="lightGray"/>
                      <w:lang w:val="en-US" w:eastAsia="zh-CN"/>
                    </w:rPr>
                    <w:t>K6+760~K8+175</w:t>
                  </w:r>
                </w:p>
              </w:tc>
              <w:tc>
                <w:tcPr>
                  <w:tcW w:w="855"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14:paraId="6870730B">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default" w:ascii="宋体" w:hAnsi="宋体" w:eastAsia="宋体" w:cs="宋体"/>
                      <w:b w:val="0"/>
                      <w:bCs w:val="0"/>
                      <w:smallCaps w:val="0"/>
                      <w:color w:val="auto"/>
                      <w:sz w:val="21"/>
                      <w:szCs w:val="21"/>
                      <w:highlight w:val="lightGray"/>
                      <w:lang w:val="en-US" w:eastAsia="zh-CN"/>
                    </w:rPr>
                    <w:t>路北</w:t>
                  </w:r>
                </w:p>
              </w:tc>
              <w:tc>
                <w:tcPr>
                  <w:tcW w:w="1965"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14:paraId="3EBD03B1">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eastAsia" w:ascii="宋体" w:hAnsi="宋体" w:eastAsia="宋体" w:cs="宋体"/>
                      <w:b w:val="0"/>
                      <w:bCs w:val="0"/>
                      <w:smallCaps w:val="0"/>
                      <w:color w:val="auto"/>
                      <w:sz w:val="21"/>
                      <w:szCs w:val="21"/>
                      <w:highlight w:val="lightGray"/>
                      <w:lang w:val="en-US" w:eastAsia="zh-CN"/>
                    </w:rPr>
                    <w:t>10</w:t>
                  </w:r>
                  <w:r>
                    <w:rPr>
                      <w:rFonts w:hint="default" w:ascii="宋体" w:hAnsi="宋体" w:eastAsia="宋体" w:cs="宋体"/>
                      <w:b w:val="0"/>
                      <w:bCs w:val="0"/>
                      <w:smallCaps w:val="0"/>
                      <w:color w:val="auto"/>
                      <w:sz w:val="21"/>
                      <w:szCs w:val="21"/>
                      <w:highlight w:val="lightGray"/>
                      <w:lang w:val="en-US" w:eastAsia="zh-CN"/>
                    </w:rPr>
                    <w:t>/</w:t>
                  </w:r>
                  <w:r>
                    <w:rPr>
                      <w:rFonts w:hint="eastAsia" w:ascii="宋体" w:hAnsi="宋体" w:eastAsia="宋体" w:cs="宋体"/>
                      <w:b w:val="0"/>
                      <w:bCs w:val="0"/>
                      <w:smallCaps w:val="0"/>
                      <w:color w:val="auto"/>
                      <w:sz w:val="21"/>
                      <w:szCs w:val="21"/>
                      <w:highlight w:val="lightGray"/>
                      <w:lang w:val="en-US" w:eastAsia="zh-CN"/>
                    </w:rPr>
                    <w:t>15</w:t>
                  </w:r>
                </w:p>
              </w:tc>
              <w:tc>
                <w:tcPr>
                  <w:tcW w:w="1509" w:type="dxa"/>
                  <w:tcBorders>
                    <w:top w:val="single" w:color="000000" w:sz="4" w:space="0"/>
                    <w:left w:val="single" w:color="000000" w:sz="4" w:space="0"/>
                    <w:bottom w:val="single" w:color="000000" w:sz="12" w:space="0"/>
                    <w:right w:val="nil"/>
                  </w:tcBorders>
                  <w:shd w:val="clear" w:color="auto" w:fill="auto"/>
                  <w:noWrap/>
                  <w:vAlign w:val="center"/>
                </w:tcPr>
                <w:p w14:paraId="408144BF">
                  <w:pPr>
                    <w:pStyle w:val="68"/>
                    <w:spacing w:line="240" w:lineRule="auto"/>
                    <w:rPr>
                      <w:rFonts w:hint="default" w:ascii="宋体" w:hAnsi="宋体" w:eastAsia="宋体" w:cs="宋体"/>
                      <w:b w:val="0"/>
                      <w:bCs w:val="0"/>
                      <w:smallCaps w:val="0"/>
                      <w:color w:val="auto"/>
                      <w:sz w:val="21"/>
                      <w:szCs w:val="21"/>
                      <w:highlight w:val="lightGray"/>
                      <w:lang w:val="en-US" w:eastAsia="zh-CN"/>
                    </w:rPr>
                  </w:pPr>
                  <w:r>
                    <w:rPr>
                      <w:rFonts w:hint="eastAsia" w:ascii="宋体" w:hAnsi="宋体" w:eastAsia="宋体" w:cs="宋体"/>
                      <w:b w:val="0"/>
                      <w:bCs w:val="0"/>
                      <w:smallCaps w:val="0"/>
                      <w:color w:val="auto"/>
                      <w:sz w:val="21"/>
                      <w:szCs w:val="21"/>
                      <w:highlight w:val="lightGray"/>
                      <w:lang w:val="en-US" w:eastAsia="zh-CN"/>
                    </w:rPr>
                    <w:t>平房1层</w:t>
                  </w:r>
                </w:p>
              </w:tc>
            </w:tr>
          </w:tbl>
          <w:p w14:paraId="170370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4"/>
                <w:szCs w:val="24"/>
                <w:highlight w:val="lightGray"/>
                <w:lang w:val="en-US" w:eastAsia="zh-CN"/>
              </w:rPr>
            </w:pPr>
            <w:r>
              <w:rPr>
                <w:rFonts w:hint="eastAsia" w:ascii="宋体" w:hAnsi="宋体" w:eastAsia="宋体" w:cs="宋体"/>
                <w:smallCaps w:val="0"/>
                <w:color w:val="auto"/>
                <w:sz w:val="24"/>
                <w:szCs w:val="24"/>
                <w:highlight w:val="none"/>
                <w:lang w:val="en-US" w:eastAsia="zh-CN"/>
              </w:rPr>
              <w:drawing>
                <wp:inline distT="0" distB="0" distL="114300" distR="114300">
                  <wp:extent cx="5177790" cy="2311400"/>
                  <wp:effectExtent l="0" t="0" r="3810" b="12700"/>
                  <wp:docPr id="42" name="图片 42" descr="敏感目标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敏感目标图片"/>
                          <pic:cNvPicPr>
                            <a:picLocks noChangeAspect="1"/>
                          </pic:cNvPicPr>
                        </pic:nvPicPr>
                        <pic:blipFill>
                          <a:blip r:embed="rId28"/>
                          <a:stretch>
                            <a:fillRect/>
                          </a:stretch>
                        </pic:blipFill>
                        <pic:spPr>
                          <a:xfrm>
                            <a:off x="0" y="0"/>
                            <a:ext cx="5177790" cy="2311400"/>
                          </a:xfrm>
                          <a:prstGeom prst="rect">
                            <a:avLst/>
                          </a:prstGeom>
                        </pic:spPr>
                      </pic:pic>
                    </a:graphicData>
                  </a:graphic>
                </wp:inline>
              </w:drawing>
            </w:r>
          </w:p>
          <w:p w14:paraId="2187E5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smallCaps w:val="0"/>
                <w:color w:val="auto"/>
                <w:sz w:val="21"/>
                <w:szCs w:val="21"/>
                <w:highlight w:val="lightGray"/>
                <w:lang w:val="en-US" w:eastAsia="zh-CN"/>
              </w:rPr>
            </w:pPr>
            <w:r>
              <w:rPr>
                <w:rFonts w:hint="eastAsia" w:ascii="宋体" w:hAnsi="宋体" w:cs="宋体"/>
                <w:b/>
                <w:bCs/>
                <w:smallCaps w:val="0"/>
                <w:color w:val="auto"/>
                <w:sz w:val="21"/>
                <w:szCs w:val="21"/>
                <w:highlight w:val="lightGray"/>
                <w:lang w:val="en-US" w:eastAsia="zh-CN"/>
              </w:rPr>
              <w:t>图3-1 大气环境敏感目标现状图</w:t>
            </w:r>
          </w:p>
          <w:p w14:paraId="5EACD99A">
            <w:pPr>
              <w:adjustRightInd w:val="0"/>
              <w:snapToGrid w:val="0"/>
              <w:spacing w:line="360" w:lineRule="auto"/>
              <w:ind w:firstLine="480" w:firstLineChars="200"/>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4、生态环境</w:t>
            </w:r>
          </w:p>
          <w:p w14:paraId="70478695">
            <w:pPr>
              <w:keepNext w:val="0"/>
              <w:keepLines w:val="0"/>
              <w:widowControl/>
              <w:suppressLineNumbers w:val="0"/>
              <w:jc w:val="left"/>
              <w:rPr>
                <w:rFonts w:hint="eastAsia" w:ascii="宋体" w:hAnsi="宋体" w:eastAsia="宋体" w:cs="宋体"/>
                <w:color w:val="auto"/>
                <w:highlight w:val="none"/>
              </w:rPr>
            </w:pPr>
            <w:r>
              <w:rPr>
                <w:rFonts w:hint="eastAsia" w:ascii="宋体" w:hAnsi="宋体" w:eastAsia="宋体" w:cs="宋体"/>
                <w:color w:val="auto"/>
                <w:kern w:val="0"/>
                <w:sz w:val="24"/>
                <w:szCs w:val="24"/>
                <w:highlight w:val="none"/>
                <w:lang w:val="en-US" w:eastAsia="zh-CN" w:bidi="ar"/>
              </w:rPr>
              <w:t>本项目位于双鸭山市岭东区，永久占地范围内无生态环境保护目标，根据《建设项目环境影响报告表编制技术指南（生态影响类）（试行）》，本项目不涉及国家、省、市级自然保护区、风景名胜区、文物等保护目标环境敏感区，项目区生物多样性水平较低，植被类型相对单一，主要为草地、林地，无野生珍稀或濒危植物分布，植物群落的物种组成及结构较为单一，均为该地区的广布种、常见种。</w:t>
            </w:r>
          </w:p>
          <w:p w14:paraId="7078B286">
            <w:pPr>
              <w:keepNext w:val="0"/>
              <w:keepLines w:val="0"/>
              <w:widowControl/>
              <w:suppressLineNumbers w:val="0"/>
              <w:jc w:val="left"/>
              <w:rPr>
                <w:rFonts w:hint="eastAsia" w:ascii="宋体" w:hAnsi="宋体" w:eastAsia="宋体" w:cs="宋体"/>
                <w:smallCaps w:val="0"/>
                <w:color w:val="auto"/>
                <w:kern w:val="0"/>
                <w:szCs w:val="21"/>
                <w:highlight w:val="none"/>
                <w:lang w:val="en-US" w:eastAsia="zh-CN"/>
              </w:rPr>
            </w:pPr>
            <w:r>
              <w:rPr>
                <w:rFonts w:hint="eastAsia" w:ascii="宋体" w:hAnsi="宋体" w:eastAsia="宋体" w:cs="宋体"/>
                <w:color w:val="auto"/>
                <w:kern w:val="0"/>
                <w:sz w:val="24"/>
                <w:szCs w:val="24"/>
                <w:highlight w:val="none"/>
                <w:lang w:val="en-US" w:eastAsia="zh-CN" w:bidi="ar"/>
              </w:rPr>
              <w:t>多年来，在车辆来往的共同影响下，评价区对动物产生的趋避作用，使得评价区附近无大型兽类出没。本项目周围无生态环境敏感点，评价区域内无国家级、省级重点保护珍稀或濒危物种。野生动物一般多为常见的麻雀、乌鸦、喜鹊等鸟类、鼠类，此外还有一些常见昆虫，无重点保护的野生动物栖息地。评价区生态系统保持着完整性和稳定性。</w:t>
            </w:r>
          </w:p>
          <w:p w14:paraId="5142FBF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smallCaps w:val="0"/>
                <w:color w:val="auto"/>
                <w:kern w:val="0"/>
                <w:szCs w:val="21"/>
                <w:highlight w:val="none"/>
                <w:lang w:val="en-US" w:eastAsia="zh-CN"/>
              </w:rPr>
            </w:pPr>
            <w:r>
              <w:rPr>
                <w:rFonts w:hint="eastAsia" w:ascii="宋体" w:hAnsi="宋体" w:eastAsia="宋体" w:cs="宋体"/>
                <w:smallCaps w:val="0"/>
                <w:color w:val="auto"/>
                <w:kern w:val="0"/>
                <w:szCs w:val="21"/>
                <w:highlight w:val="none"/>
                <w:lang w:val="en-US" w:eastAsia="zh-CN"/>
              </w:rPr>
              <w:t>5、地表水环境</w:t>
            </w:r>
          </w:p>
          <w:p w14:paraId="012CA75A">
            <w:pPr>
              <w:spacing w:line="240" w:lineRule="auto"/>
              <w:ind w:firstLine="422"/>
              <w:jc w:val="center"/>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表3-</w:t>
            </w:r>
            <w:r>
              <w:rPr>
                <w:rFonts w:hint="eastAsia" w:ascii="宋体" w:hAnsi="宋体" w:eastAsia="宋体" w:cs="宋体"/>
                <w:b/>
                <w:bCs/>
                <w:smallCaps w:val="0"/>
                <w:color w:val="auto"/>
                <w:sz w:val="21"/>
                <w:szCs w:val="21"/>
                <w:highlight w:val="none"/>
                <w:lang w:val="en-US" w:eastAsia="zh-CN"/>
              </w:rPr>
              <w:t>3</w:t>
            </w:r>
            <w:r>
              <w:rPr>
                <w:rFonts w:hint="eastAsia" w:ascii="宋体" w:hAnsi="宋体" w:eastAsia="宋体" w:cs="宋体"/>
                <w:b/>
                <w:bCs/>
                <w:smallCaps w:val="0"/>
                <w:color w:val="auto"/>
                <w:sz w:val="21"/>
                <w:szCs w:val="21"/>
                <w:highlight w:val="none"/>
              </w:rPr>
              <w:t xml:space="preserve"> </w:t>
            </w:r>
            <w:r>
              <w:rPr>
                <w:rFonts w:hint="eastAsia" w:ascii="宋体" w:hAnsi="宋体" w:eastAsia="宋体" w:cs="宋体"/>
                <w:b/>
                <w:bCs/>
                <w:smallCaps w:val="0"/>
                <w:color w:val="auto"/>
                <w:sz w:val="21"/>
                <w:szCs w:val="21"/>
                <w:highlight w:val="none"/>
                <w:lang w:val="en-US" w:eastAsia="zh-CN"/>
              </w:rPr>
              <w:t>地表水</w:t>
            </w:r>
            <w:r>
              <w:rPr>
                <w:rFonts w:hint="eastAsia" w:ascii="宋体" w:hAnsi="宋体" w:eastAsia="宋体" w:cs="宋体"/>
                <w:b/>
                <w:bCs/>
                <w:smallCaps w:val="0"/>
                <w:color w:val="auto"/>
                <w:sz w:val="21"/>
                <w:szCs w:val="21"/>
                <w:highlight w:val="none"/>
              </w:rPr>
              <w:t>环境保护目标</w:t>
            </w:r>
          </w:p>
          <w:tbl>
            <w:tblPr>
              <w:tblStyle w:val="34"/>
              <w:tblW w:w="49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8"/>
              <w:gridCol w:w="687"/>
              <w:gridCol w:w="1311"/>
              <w:gridCol w:w="1251"/>
              <w:gridCol w:w="815"/>
              <w:gridCol w:w="1688"/>
              <w:gridCol w:w="716"/>
              <w:gridCol w:w="795"/>
            </w:tblGrid>
            <w:tr w14:paraId="0F8F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Merge w:val="restart"/>
                  <w:tcBorders>
                    <w:top w:val="single" w:color="auto" w:sz="12" w:space="0"/>
                    <w:left w:val="nil"/>
                  </w:tcBorders>
                  <w:noWrap w:val="0"/>
                  <w:vAlign w:val="center"/>
                </w:tcPr>
                <w:p w14:paraId="23972B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环境要素</w:t>
                  </w:r>
                </w:p>
              </w:tc>
              <w:tc>
                <w:tcPr>
                  <w:tcW w:w="688" w:type="dxa"/>
                  <w:vMerge w:val="restart"/>
                  <w:tcBorders>
                    <w:top w:val="single" w:color="auto" w:sz="12" w:space="0"/>
                  </w:tcBorders>
                  <w:noWrap w:val="0"/>
                  <w:vAlign w:val="center"/>
                </w:tcPr>
                <w:p w14:paraId="02E82B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工程类别</w:t>
                  </w:r>
                </w:p>
              </w:tc>
              <w:tc>
                <w:tcPr>
                  <w:tcW w:w="2566" w:type="dxa"/>
                  <w:gridSpan w:val="2"/>
                  <w:tcBorders>
                    <w:top w:val="single" w:color="auto" w:sz="12" w:space="0"/>
                  </w:tcBorders>
                  <w:noWrap w:val="0"/>
                  <w:vAlign w:val="center"/>
                </w:tcPr>
                <w:p w14:paraId="13C068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坐标/°</w:t>
                  </w:r>
                </w:p>
              </w:tc>
              <w:tc>
                <w:tcPr>
                  <w:tcW w:w="816" w:type="dxa"/>
                  <w:vMerge w:val="restart"/>
                  <w:tcBorders>
                    <w:top w:val="single" w:color="auto" w:sz="12" w:space="0"/>
                  </w:tcBorders>
                  <w:noWrap w:val="0"/>
                  <w:vAlign w:val="center"/>
                </w:tcPr>
                <w:p w14:paraId="3C9DB6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保护对象</w:t>
                  </w:r>
                </w:p>
              </w:tc>
              <w:tc>
                <w:tcPr>
                  <w:tcW w:w="1690" w:type="dxa"/>
                  <w:vMerge w:val="restart"/>
                  <w:tcBorders>
                    <w:top w:val="single" w:color="auto" w:sz="12" w:space="0"/>
                  </w:tcBorders>
                  <w:noWrap w:val="0"/>
                  <w:vAlign w:val="center"/>
                </w:tcPr>
                <w:p w14:paraId="623F06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环境功能区</w:t>
                  </w:r>
                </w:p>
              </w:tc>
              <w:tc>
                <w:tcPr>
                  <w:tcW w:w="717" w:type="dxa"/>
                  <w:vMerge w:val="restart"/>
                  <w:tcBorders>
                    <w:top w:val="single" w:color="auto" w:sz="12" w:space="0"/>
                  </w:tcBorders>
                  <w:noWrap w:val="0"/>
                  <w:vAlign w:val="center"/>
                </w:tcPr>
                <w:p w14:paraId="5481B3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相对方位</w:t>
                  </w:r>
                </w:p>
              </w:tc>
              <w:tc>
                <w:tcPr>
                  <w:tcW w:w="796" w:type="dxa"/>
                  <w:vMerge w:val="restart"/>
                  <w:tcBorders>
                    <w:top w:val="single" w:color="auto" w:sz="12" w:space="0"/>
                    <w:right w:val="nil"/>
                  </w:tcBorders>
                  <w:noWrap w:val="0"/>
                  <w:vAlign w:val="center"/>
                </w:tcPr>
                <w:p w14:paraId="195775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smallCaps w:val="0"/>
                      <w:color w:val="auto"/>
                      <w:kern w:val="0"/>
                      <w:sz w:val="21"/>
                      <w:szCs w:val="21"/>
                      <w:highlight w:val="none"/>
                      <w:vertAlign w:val="baseline"/>
                      <w:lang w:val="en-US" w:eastAsia="zh-CN"/>
                    </w:rPr>
                  </w:pPr>
                  <w:r>
                    <w:rPr>
                      <w:rFonts w:hint="eastAsia" w:ascii="宋体" w:hAnsi="宋体" w:eastAsia="宋体" w:cs="宋体"/>
                      <w:b/>
                      <w:bCs/>
                      <w:smallCaps w:val="0"/>
                      <w:color w:val="auto"/>
                      <w:kern w:val="0"/>
                      <w:sz w:val="21"/>
                      <w:szCs w:val="21"/>
                      <w:highlight w:val="none"/>
                      <w:vertAlign w:val="baseline"/>
                      <w:lang w:val="en-US" w:eastAsia="zh-CN"/>
                    </w:rPr>
                    <w:t>相对距离m</w:t>
                  </w:r>
                </w:p>
              </w:tc>
            </w:tr>
            <w:tr w14:paraId="472B3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Merge w:val="continue"/>
                  <w:tcBorders>
                    <w:left w:val="nil"/>
                  </w:tcBorders>
                  <w:noWrap w:val="0"/>
                  <w:vAlign w:val="center"/>
                </w:tcPr>
                <w:p w14:paraId="2F8D71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p>
              </w:tc>
              <w:tc>
                <w:tcPr>
                  <w:tcW w:w="688" w:type="dxa"/>
                  <w:vMerge w:val="continue"/>
                  <w:noWrap w:val="0"/>
                  <w:vAlign w:val="center"/>
                </w:tcPr>
                <w:p w14:paraId="038F00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p>
              </w:tc>
              <w:tc>
                <w:tcPr>
                  <w:tcW w:w="1313" w:type="dxa"/>
                  <w:noWrap w:val="0"/>
                  <w:vAlign w:val="center"/>
                </w:tcPr>
                <w:p w14:paraId="0C81FC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经度</w:t>
                  </w:r>
                </w:p>
              </w:tc>
              <w:tc>
                <w:tcPr>
                  <w:tcW w:w="1253" w:type="dxa"/>
                  <w:noWrap w:val="0"/>
                  <w:vAlign w:val="center"/>
                </w:tcPr>
                <w:p w14:paraId="6BDF49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纬度</w:t>
                  </w:r>
                </w:p>
              </w:tc>
              <w:tc>
                <w:tcPr>
                  <w:tcW w:w="816" w:type="dxa"/>
                  <w:vMerge w:val="continue"/>
                  <w:noWrap w:val="0"/>
                  <w:vAlign w:val="center"/>
                </w:tcPr>
                <w:p w14:paraId="483DAB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p>
              </w:tc>
              <w:tc>
                <w:tcPr>
                  <w:tcW w:w="1690" w:type="dxa"/>
                  <w:vMerge w:val="continue"/>
                  <w:noWrap w:val="0"/>
                  <w:vAlign w:val="center"/>
                </w:tcPr>
                <w:p w14:paraId="790D26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p>
              </w:tc>
              <w:tc>
                <w:tcPr>
                  <w:tcW w:w="717" w:type="dxa"/>
                  <w:vMerge w:val="continue"/>
                  <w:noWrap w:val="0"/>
                  <w:vAlign w:val="center"/>
                </w:tcPr>
                <w:p w14:paraId="1DD952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p>
              </w:tc>
              <w:tc>
                <w:tcPr>
                  <w:tcW w:w="796" w:type="dxa"/>
                  <w:vMerge w:val="continue"/>
                  <w:tcBorders>
                    <w:right w:val="nil"/>
                  </w:tcBorders>
                  <w:noWrap w:val="0"/>
                  <w:vAlign w:val="center"/>
                </w:tcPr>
                <w:p w14:paraId="4BCEFB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p>
              </w:tc>
            </w:tr>
            <w:tr w14:paraId="061B5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9" w:type="dxa"/>
                  <w:tcBorders>
                    <w:left w:val="nil"/>
                    <w:bottom w:val="single" w:color="auto" w:sz="12" w:space="0"/>
                  </w:tcBorders>
                  <w:noWrap w:val="0"/>
                  <w:vAlign w:val="center"/>
                </w:tcPr>
                <w:p w14:paraId="701469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地表水</w:t>
                  </w:r>
                </w:p>
              </w:tc>
              <w:tc>
                <w:tcPr>
                  <w:tcW w:w="688" w:type="dxa"/>
                  <w:tcBorders>
                    <w:bottom w:val="single" w:color="auto" w:sz="12" w:space="0"/>
                  </w:tcBorders>
                  <w:noWrap w:val="0"/>
                  <w:vAlign w:val="center"/>
                </w:tcPr>
                <w:p w14:paraId="662D1E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道路工程</w:t>
                  </w:r>
                </w:p>
              </w:tc>
              <w:tc>
                <w:tcPr>
                  <w:tcW w:w="1313" w:type="dxa"/>
                  <w:tcBorders>
                    <w:bottom w:val="single" w:color="auto" w:sz="12" w:space="0"/>
                  </w:tcBorders>
                  <w:noWrap w:val="0"/>
                  <w:vAlign w:val="center"/>
                </w:tcPr>
                <w:p w14:paraId="67AA8A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131.071027</w:t>
                  </w:r>
                </w:p>
              </w:tc>
              <w:tc>
                <w:tcPr>
                  <w:tcW w:w="1253" w:type="dxa"/>
                  <w:tcBorders>
                    <w:bottom w:val="single" w:color="auto" w:sz="12" w:space="0"/>
                  </w:tcBorders>
                  <w:noWrap w:val="0"/>
                  <w:vAlign w:val="center"/>
                </w:tcPr>
                <w:p w14:paraId="49698D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46.596169</w:t>
                  </w:r>
                </w:p>
              </w:tc>
              <w:tc>
                <w:tcPr>
                  <w:tcW w:w="816" w:type="dxa"/>
                  <w:tcBorders>
                    <w:bottom w:val="single" w:color="auto" w:sz="12" w:space="0"/>
                  </w:tcBorders>
                  <w:noWrap w:val="0"/>
                  <w:vAlign w:val="center"/>
                </w:tcPr>
                <w:p w14:paraId="650D6E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马蹄河</w:t>
                  </w:r>
                </w:p>
              </w:tc>
              <w:tc>
                <w:tcPr>
                  <w:tcW w:w="1690" w:type="dxa"/>
                  <w:tcBorders>
                    <w:bottom w:val="single" w:color="auto" w:sz="12" w:space="0"/>
                  </w:tcBorders>
                  <w:noWrap w:val="0"/>
                  <w:vAlign w:val="center"/>
                </w:tcPr>
                <w:p w14:paraId="75BD9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《地表水环境质量标准》（GB3838-2002）Ⅳ类</w:t>
                  </w:r>
                </w:p>
              </w:tc>
              <w:tc>
                <w:tcPr>
                  <w:tcW w:w="717" w:type="dxa"/>
                  <w:tcBorders>
                    <w:bottom w:val="single" w:color="auto" w:sz="12" w:space="0"/>
                  </w:tcBorders>
                  <w:noWrap w:val="0"/>
                  <w:vAlign w:val="center"/>
                </w:tcPr>
                <w:p w14:paraId="494EE3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东</w:t>
                  </w:r>
                </w:p>
              </w:tc>
              <w:tc>
                <w:tcPr>
                  <w:tcW w:w="796" w:type="dxa"/>
                  <w:tcBorders>
                    <w:bottom w:val="single" w:color="auto" w:sz="12" w:space="0"/>
                    <w:right w:val="nil"/>
                  </w:tcBorders>
                  <w:noWrap w:val="0"/>
                  <w:vAlign w:val="center"/>
                </w:tcPr>
                <w:p w14:paraId="36B713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kern w:val="0"/>
                      <w:sz w:val="21"/>
                      <w:szCs w:val="21"/>
                      <w:highlight w:val="none"/>
                      <w:vertAlign w:val="baseline"/>
                      <w:lang w:val="en-US" w:eastAsia="zh-CN"/>
                    </w:rPr>
                  </w:pPr>
                  <w:r>
                    <w:rPr>
                      <w:rFonts w:hint="eastAsia" w:ascii="宋体" w:hAnsi="宋体" w:eastAsia="宋体" w:cs="宋体"/>
                      <w:smallCaps w:val="0"/>
                      <w:color w:val="auto"/>
                      <w:kern w:val="0"/>
                      <w:sz w:val="21"/>
                      <w:szCs w:val="21"/>
                      <w:highlight w:val="none"/>
                      <w:vertAlign w:val="baseline"/>
                      <w:lang w:val="en-US" w:eastAsia="zh-CN"/>
                    </w:rPr>
                    <w:t>50</w:t>
                  </w:r>
                </w:p>
              </w:tc>
            </w:tr>
          </w:tbl>
          <w:p w14:paraId="7BAE7C4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smallCaps w:val="0"/>
                <w:color w:val="auto"/>
                <w:kern w:val="0"/>
                <w:szCs w:val="21"/>
                <w:highlight w:val="none"/>
                <w:lang w:val="en-US" w:eastAsia="zh-CN"/>
              </w:rPr>
            </w:pPr>
          </w:p>
        </w:tc>
      </w:tr>
      <w:tr w14:paraId="025265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8" w:hRule="atLeast"/>
          <w:jc w:val="center"/>
        </w:trPr>
        <w:tc>
          <w:tcPr>
            <w:tcW w:w="694" w:type="dxa"/>
            <w:noWrap w:val="0"/>
            <w:vAlign w:val="center"/>
          </w:tcPr>
          <w:p w14:paraId="563B1A7B">
            <w:pPr>
              <w:adjustRightInd w:val="0"/>
              <w:snapToGrid w:val="0"/>
              <w:spacing w:line="240" w:lineRule="auto"/>
              <w:ind w:firstLine="0" w:firstLineChars="0"/>
              <w:rPr>
                <w:rFonts w:hint="eastAsia" w:ascii="宋体" w:hAnsi="宋体" w:eastAsia="宋体" w:cs="宋体"/>
                <w:smallCaps w:val="0"/>
                <w:color w:val="auto"/>
                <w:kern w:val="0"/>
                <w:sz w:val="21"/>
                <w:szCs w:val="18"/>
                <w:highlight w:val="none"/>
              </w:rPr>
            </w:pPr>
            <w:r>
              <w:rPr>
                <w:rFonts w:hint="eastAsia" w:ascii="宋体" w:hAnsi="宋体" w:eastAsia="宋体" w:cs="宋体"/>
                <w:smallCaps w:val="0"/>
                <w:color w:val="auto"/>
                <w:kern w:val="0"/>
                <w:sz w:val="21"/>
                <w:szCs w:val="18"/>
                <w:highlight w:val="none"/>
              </w:rPr>
              <w:t>评价</w:t>
            </w:r>
          </w:p>
          <w:p w14:paraId="2003A022">
            <w:pPr>
              <w:adjustRightInd w:val="0"/>
              <w:snapToGrid w:val="0"/>
              <w:spacing w:line="240" w:lineRule="auto"/>
              <w:ind w:firstLine="0" w:firstLineChars="0"/>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 w:val="21"/>
                <w:szCs w:val="18"/>
                <w:highlight w:val="none"/>
              </w:rPr>
              <w:t>标准</w:t>
            </w:r>
          </w:p>
        </w:tc>
        <w:tc>
          <w:tcPr>
            <w:tcW w:w="8378" w:type="dxa"/>
            <w:noWrap w:val="0"/>
            <w:vAlign w:val="center"/>
          </w:tcPr>
          <w:p w14:paraId="637165DB">
            <w:pPr>
              <w:ind w:firstLine="482"/>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1、环境质量标准</w:t>
            </w:r>
          </w:p>
          <w:p w14:paraId="4C796849">
            <w:pPr>
              <w:ind w:firstLine="482"/>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（1）环境空气</w:t>
            </w:r>
          </w:p>
          <w:p w14:paraId="3AC6E248">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本项目所在地环境空气质量执行《环境空气质量标准》（GB3095</w:t>
            </w:r>
            <w:r>
              <w:rPr>
                <w:rFonts w:hint="eastAsia" w:ascii="宋体" w:hAnsi="宋体" w:eastAsia="宋体" w:cs="宋体"/>
                <w:smallCaps w:val="0"/>
                <w:color w:val="auto"/>
                <w:highlight w:val="none"/>
              </w:rPr>
              <w:sym w:font="Symbol" w:char="F02D"/>
            </w:r>
            <w:r>
              <w:rPr>
                <w:rFonts w:hint="eastAsia" w:ascii="宋体" w:hAnsi="宋体" w:eastAsia="宋体" w:cs="宋体"/>
                <w:smallCaps w:val="0"/>
                <w:color w:val="auto"/>
                <w:highlight w:val="none"/>
              </w:rPr>
              <w:t>2012）二级标准的浓度限值，标准值见</w:t>
            </w:r>
            <w:r>
              <w:rPr>
                <w:rFonts w:hint="eastAsia" w:ascii="宋体" w:hAnsi="宋体" w:eastAsia="宋体" w:cs="宋体"/>
                <w:smallCaps w:val="0"/>
                <w:color w:val="auto"/>
                <w:highlight w:val="none"/>
                <w:lang w:val="en-US" w:eastAsia="zh-CN"/>
              </w:rPr>
              <w:t>下</w:t>
            </w:r>
            <w:r>
              <w:rPr>
                <w:rFonts w:hint="eastAsia" w:ascii="宋体" w:hAnsi="宋体" w:eastAsia="宋体" w:cs="宋体"/>
                <w:smallCaps w:val="0"/>
                <w:color w:val="auto"/>
                <w:highlight w:val="none"/>
              </w:rPr>
              <w:t>表。</w:t>
            </w:r>
          </w:p>
          <w:p w14:paraId="537FF684">
            <w:pPr>
              <w:adjustRightInd w:val="0"/>
              <w:snapToGrid w:val="0"/>
              <w:spacing w:line="360" w:lineRule="auto"/>
              <w:ind w:firstLine="48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环境质量标准：</w:t>
            </w:r>
          </w:p>
          <w:p w14:paraId="7C0E1F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kern w:val="0"/>
                <w:sz w:val="21"/>
                <w:szCs w:val="21"/>
                <w:highlight w:val="none"/>
              </w:rPr>
            </w:pPr>
            <w:r>
              <w:rPr>
                <w:rFonts w:hint="eastAsia" w:ascii="宋体" w:hAnsi="宋体" w:eastAsia="宋体" w:cs="宋体"/>
                <w:b/>
                <w:color w:val="auto"/>
                <w:spacing w:val="0"/>
                <w:kern w:val="0"/>
                <w:sz w:val="21"/>
                <w:szCs w:val="21"/>
                <w:highlight w:val="none"/>
              </w:rPr>
              <w:t>表3-</w:t>
            </w:r>
            <w:r>
              <w:rPr>
                <w:rFonts w:hint="eastAsia" w:ascii="宋体" w:hAnsi="宋体" w:eastAsia="宋体" w:cs="宋体"/>
                <w:b/>
                <w:color w:val="auto"/>
                <w:spacing w:val="0"/>
                <w:kern w:val="0"/>
                <w:sz w:val="21"/>
                <w:szCs w:val="21"/>
                <w:highlight w:val="none"/>
                <w:lang w:val="en-US" w:eastAsia="zh-CN"/>
              </w:rPr>
              <w:t>4</w:t>
            </w:r>
            <w:r>
              <w:rPr>
                <w:rFonts w:hint="eastAsia" w:ascii="宋体" w:hAnsi="宋体" w:eastAsia="宋体" w:cs="宋体"/>
                <w:b/>
                <w:color w:val="auto"/>
                <w:spacing w:val="0"/>
                <w:kern w:val="0"/>
                <w:sz w:val="21"/>
                <w:szCs w:val="21"/>
                <w:highlight w:val="none"/>
              </w:rPr>
              <w:t>环境空气质量标准</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9"/>
              <w:gridCol w:w="2246"/>
              <w:gridCol w:w="1496"/>
              <w:gridCol w:w="2332"/>
            </w:tblGrid>
            <w:tr w14:paraId="47C3D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noWrap w:val="0"/>
                  <w:vAlign w:val="center"/>
                </w:tcPr>
                <w:p w14:paraId="4F1E025B">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污染物名称</w:t>
                  </w:r>
                </w:p>
              </w:tc>
              <w:tc>
                <w:tcPr>
                  <w:tcW w:w="1394" w:type="pct"/>
                  <w:noWrap w:val="0"/>
                  <w:vAlign w:val="center"/>
                </w:tcPr>
                <w:p w14:paraId="70915F0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取值时间</w:t>
                  </w:r>
                </w:p>
              </w:tc>
              <w:tc>
                <w:tcPr>
                  <w:tcW w:w="929" w:type="pct"/>
                  <w:noWrap w:val="0"/>
                  <w:vAlign w:val="center"/>
                </w:tcPr>
                <w:p w14:paraId="2CA84EC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浓度限值</w:t>
                  </w:r>
                </w:p>
              </w:tc>
              <w:tc>
                <w:tcPr>
                  <w:tcW w:w="1448" w:type="pct"/>
                  <w:noWrap w:val="0"/>
                  <w:vAlign w:val="center"/>
                </w:tcPr>
                <w:p w14:paraId="6B1D6D90">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标准来源</w:t>
                  </w:r>
                </w:p>
              </w:tc>
            </w:tr>
            <w:tr w14:paraId="6C48B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5B93783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color w:val="auto"/>
                      <w:spacing w:val="0"/>
                      <w:sz w:val="21"/>
                      <w:szCs w:val="21"/>
                      <w:highlight w:val="none"/>
                    </w:rPr>
                    <w:t>二氧化硫（SO</w:t>
                  </w:r>
                  <w:r>
                    <w:rPr>
                      <w:rFonts w:hint="eastAsia" w:ascii="宋体" w:hAnsi="宋体" w:eastAsia="宋体" w:cs="宋体"/>
                      <w:color w:val="auto"/>
                      <w:spacing w:val="0"/>
                      <w:sz w:val="21"/>
                      <w:szCs w:val="21"/>
                      <w:highlight w:val="none"/>
                      <w:vertAlign w:val="subscript"/>
                    </w:rPr>
                    <w:t>2</w:t>
                  </w:r>
                  <w:r>
                    <w:rPr>
                      <w:rFonts w:hint="eastAsia" w:ascii="宋体" w:hAnsi="宋体" w:eastAsia="宋体" w:cs="宋体"/>
                      <w:color w:val="auto"/>
                      <w:spacing w:val="0"/>
                      <w:sz w:val="21"/>
                      <w:szCs w:val="21"/>
                      <w:highlight w:val="none"/>
                    </w:rPr>
                    <w:t>）</w:t>
                  </w:r>
                </w:p>
              </w:tc>
              <w:tc>
                <w:tcPr>
                  <w:tcW w:w="1394" w:type="pct"/>
                  <w:noWrap w:val="0"/>
                  <w:vAlign w:val="center"/>
                </w:tcPr>
                <w:p w14:paraId="6E5661FE">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年平均</w:t>
                  </w:r>
                </w:p>
              </w:tc>
              <w:tc>
                <w:tcPr>
                  <w:tcW w:w="929" w:type="pct"/>
                  <w:noWrap w:val="0"/>
                  <w:vAlign w:val="center"/>
                </w:tcPr>
                <w:p w14:paraId="0675853D">
                  <w:pPr>
                    <w:pStyle w:val="22"/>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60</w:t>
                  </w:r>
                  <w:r>
                    <w:rPr>
                      <w:rFonts w:hint="eastAsia" w:ascii="宋体" w:hAnsi="宋体" w:eastAsia="宋体" w:cs="宋体"/>
                      <w:snapToGrid w:val="0"/>
                      <w:color w:val="auto"/>
                      <w:spacing w:val="0"/>
                      <w:sz w:val="21"/>
                      <w:szCs w:val="21"/>
                      <w:highlight w:val="none"/>
                    </w:rPr>
                    <w:t>μg/m</w:t>
                  </w:r>
                  <w:r>
                    <w:rPr>
                      <w:rFonts w:hint="eastAsia" w:ascii="宋体" w:hAnsi="宋体" w:eastAsia="宋体" w:cs="宋体"/>
                      <w:snapToGrid w:val="0"/>
                      <w:color w:val="auto"/>
                      <w:spacing w:val="0"/>
                      <w:sz w:val="21"/>
                      <w:szCs w:val="21"/>
                      <w:highlight w:val="none"/>
                      <w:vertAlign w:val="superscript"/>
                    </w:rPr>
                    <w:t>3</w:t>
                  </w:r>
                </w:p>
              </w:tc>
              <w:tc>
                <w:tcPr>
                  <w:tcW w:w="1448" w:type="pct"/>
                  <w:vMerge w:val="restart"/>
                  <w:noWrap w:val="0"/>
                  <w:vAlign w:val="center"/>
                </w:tcPr>
                <w:p w14:paraId="53D1AF4D">
                  <w:pPr>
                    <w:pStyle w:val="104"/>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《环境空气质量标准》（GB3095-2012）及修改单二级标准</w:t>
                  </w:r>
                </w:p>
              </w:tc>
            </w:tr>
            <w:tr w14:paraId="21DC7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7B47323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0B3F4AC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5951B358">
                  <w:pPr>
                    <w:pStyle w:val="22"/>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150</w:t>
                  </w:r>
                  <w:r>
                    <w:rPr>
                      <w:rFonts w:hint="eastAsia" w:ascii="宋体" w:hAnsi="宋体" w:eastAsia="宋体" w:cs="宋体"/>
                      <w:snapToGrid w:val="0"/>
                      <w:color w:val="auto"/>
                      <w:spacing w:val="0"/>
                      <w:sz w:val="21"/>
                      <w:szCs w:val="21"/>
                      <w:highlight w:val="none"/>
                    </w:rPr>
                    <w:t>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42D3C00C">
                  <w:pPr>
                    <w:pStyle w:val="22"/>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r>
            <w:tr w14:paraId="78913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58EB2A4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721AE52A">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1小时平均</w:t>
                  </w:r>
                </w:p>
              </w:tc>
              <w:tc>
                <w:tcPr>
                  <w:tcW w:w="929" w:type="pct"/>
                  <w:noWrap w:val="0"/>
                  <w:vAlign w:val="center"/>
                </w:tcPr>
                <w:p w14:paraId="1A7E515F">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500μg/m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76E80A6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5EAD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5BEE1B8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二氧化氮（NO</w:t>
                  </w:r>
                  <w:r>
                    <w:rPr>
                      <w:rFonts w:hint="eastAsia" w:ascii="宋体" w:hAnsi="宋体" w:eastAsia="宋体" w:cs="宋体"/>
                      <w:snapToGrid w:val="0"/>
                      <w:color w:val="auto"/>
                      <w:spacing w:val="0"/>
                      <w:sz w:val="21"/>
                      <w:szCs w:val="21"/>
                      <w:highlight w:val="none"/>
                      <w:vertAlign w:val="subscript"/>
                    </w:rPr>
                    <w:t>2</w:t>
                  </w:r>
                  <w:r>
                    <w:rPr>
                      <w:rFonts w:hint="eastAsia" w:ascii="宋体" w:hAnsi="宋体" w:eastAsia="宋体" w:cs="宋体"/>
                      <w:snapToGrid w:val="0"/>
                      <w:color w:val="auto"/>
                      <w:spacing w:val="0"/>
                      <w:sz w:val="21"/>
                      <w:szCs w:val="21"/>
                      <w:highlight w:val="none"/>
                    </w:rPr>
                    <w:t>）</w:t>
                  </w:r>
                </w:p>
              </w:tc>
              <w:tc>
                <w:tcPr>
                  <w:tcW w:w="1394" w:type="pct"/>
                  <w:noWrap w:val="0"/>
                  <w:vAlign w:val="center"/>
                </w:tcPr>
                <w:p w14:paraId="111F4D5A">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年平均</w:t>
                  </w:r>
                </w:p>
              </w:tc>
              <w:tc>
                <w:tcPr>
                  <w:tcW w:w="929" w:type="pct"/>
                  <w:noWrap w:val="0"/>
                  <w:vAlign w:val="center"/>
                </w:tcPr>
                <w:p w14:paraId="6026211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40μg/m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063C435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189FEC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08D7CF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0045266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09913AFE">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80μg/m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38FEC76F">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14104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140C022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567B69F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1小时平均</w:t>
                  </w:r>
                </w:p>
              </w:tc>
              <w:tc>
                <w:tcPr>
                  <w:tcW w:w="929" w:type="pct"/>
                  <w:noWrap w:val="0"/>
                  <w:vAlign w:val="center"/>
                </w:tcPr>
                <w:p w14:paraId="11AF8FEC">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200μg/m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35A81824">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9D7B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0C061AF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颗粒物（粒径小于等于10μm）</w:t>
                  </w:r>
                </w:p>
              </w:tc>
              <w:tc>
                <w:tcPr>
                  <w:tcW w:w="1394" w:type="pct"/>
                  <w:noWrap w:val="0"/>
                  <w:vAlign w:val="center"/>
                </w:tcPr>
                <w:p w14:paraId="0F5B1BB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年平均</w:t>
                  </w:r>
                </w:p>
              </w:tc>
              <w:tc>
                <w:tcPr>
                  <w:tcW w:w="929" w:type="pct"/>
                  <w:noWrap w:val="0"/>
                  <w:vAlign w:val="center"/>
                </w:tcPr>
                <w:p w14:paraId="5255EB1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70μg/m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681B63B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71582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6241BA8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0512E90A">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4602CA3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150μg/m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10529D0D">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2247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48FC914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颗粒物（粒径小于等于2.5μm）</w:t>
                  </w:r>
                </w:p>
              </w:tc>
              <w:tc>
                <w:tcPr>
                  <w:tcW w:w="1394" w:type="pct"/>
                  <w:noWrap w:val="0"/>
                  <w:vAlign w:val="center"/>
                </w:tcPr>
                <w:p w14:paraId="6787D62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年平均</w:t>
                  </w:r>
                </w:p>
              </w:tc>
              <w:tc>
                <w:tcPr>
                  <w:tcW w:w="929" w:type="pct"/>
                  <w:noWrap w:val="0"/>
                  <w:vAlign w:val="center"/>
                </w:tcPr>
                <w:p w14:paraId="73C6CD34">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35μg/m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3681A237">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34945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6839130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768D488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371A3CE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75μg/m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4E57DB7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238D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296B71CE">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一氧化碳（CO）</w:t>
                  </w:r>
                </w:p>
              </w:tc>
              <w:tc>
                <w:tcPr>
                  <w:tcW w:w="1394" w:type="pct"/>
                  <w:noWrap w:val="0"/>
                  <w:vAlign w:val="center"/>
                </w:tcPr>
                <w:p w14:paraId="527A3A9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199DA884">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4mg/m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527C204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46DB5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5473BDF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78F298D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1小时平均</w:t>
                  </w:r>
                </w:p>
              </w:tc>
              <w:tc>
                <w:tcPr>
                  <w:tcW w:w="929" w:type="pct"/>
                  <w:noWrap w:val="0"/>
                  <w:vAlign w:val="center"/>
                </w:tcPr>
                <w:p w14:paraId="7F5509B8">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10mg/m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7A27DD7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74D78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0363EB7B">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臭氧（O</w:t>
                  </w:r>
                  <w:r>
                    <w:rPr>
                      <w:rFonts w:hint="eastAsia" w:ascii="宋体" w:hAnsi="宋体" w:eastAsia="宋体" w:cs="宋体"/>
                      <w:snapToGrid w:val="0"/>
                      <w:color w:val="auto"/>
                      <w:spacing w:val="0"/>
                      <w:sz w:val="21"/>
                      <w:szCs w:val="21"/>
                      <w:highlight w:val="none"/>
                      <w:vertAlign w:val="subscript"/>
                    </w:rPr>
                    <w:t>3</w:t>
                  </w:r>
                  <w:r>
                    <w:rPr>
                      <w:rFonts w:hint="eastAsia" w:ascii="宋体" w:hAnsi="宋体" w:eastAsia="宋体" w:cs="宋体"/>
                      <w:snapToGrid w:val="0"/>
                      <w:color w:val="auto"/>
                      <w:spacing w:val="0"/>
                      <w:sz w:val="21"/>
                      <w:szCs w:val="21"/>
                      <w:highlight w:val="none"/>
                    </w:rPr>
                    <w:t>）</w:t>
                  </w:r>
                </w:p>
              </w:tc>
              <w:tc>
                <w:tcPr>
                  <w:tcW w:w="1394" w:type="pct"/>
                  <w:noWrap w:val="0"/>
                  <w:vAlign w:val="center"/>
                </w:tcPr>
                <w:p w14:paraId="62F28F8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日最大8小时平均</w:t>
                  </w:r>
                </w:p>
              </w:tc>
              <w:tc>
                <w:tcPr>
                  <w:tcW w:w="929" w:type="pct"/>
                  <w:noWrap w:val="0"/>
                  <w:vAlign w:val="center"/>
                </w:tcPr>
                <w:p w14:paraId="6909B2F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160μg/m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4DF9FF5B">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6A825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6D38C0B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21FA882E">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1小时平均</w:t>
                  </w:r>
                </w:p>
              </w:tc>
              <w:tc>
                <w:tcPr>
                  <w:tcW w:w="929" w:type="pct"/>
                  <w:noWrap w:val="0"/>
                  <w:vAlign w:val="center"/>
                </w:tcPr>
                <w:p w14:paraId="00C20B2D">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200μg/m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1C1F6E70">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58FF1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restart"/>
                  <w:noWrap w:val="0"/>
                  <w:vAlign w:val="center"/>
                </w:tcPr>
                <w:p w14:paraId="67E6B79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总悬浮颗粒物（TSP）</w:t>
                  </w:r>
                </w:p>
              </w:tc>
              <w:tc>
                <w:tcPr>
                  <w:tcW w:w="1394" w:type="pct"/>
                  <w:noWrap w:val="0"/>
                  <w:vAlign w:val="center"/>
                </w:tcPr>
                <w:p w14:paraId="7735F2E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24小时平均</w:t>
                  </w:r>
                </w:p>
              </w:tc>
              <w:tc>
                <w:tcPr>
                  <w:tcW w:w="929" w:type="pct"/>
                  <w:noWrap w:val="0"/>
                  <w:vAlign w:val="center"/>
                </w:tcPr>
                <w:p w14:paraId="4ACE512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300μg/m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31F7668B">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r w14:paraId="4554D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9" w:type="pct"/>
                  <w:vMerge w:val="continue"/>
                  <w:noWrap w:val="0"/>
                  <w:vAlign w:val="center"/>
                </w:tcPr>
                <w:p w14:paraId="2445303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c>
                <w:tcPr>
                  <w:tcW w:w="1394" w:type="pct"/>
                  <w:noWrap w:val="0"/>
                  <w:vAlign w:val="center"/>
                </w:tcPr>
                <w:p w14:paraId="449F21BA">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年平均</w:t>
                  </w:r>
                </w:p>
              </w:tc>
              <w:tc>
                <w:tcPr>
                  <w:tcW w:w="929" w:type="pct"/>
                  <w:noWrap w:val="0"/>
                  <w:vAlign w:val="center"/>
                </w:tcPr>
                <w:p w14:paraId="1056283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r>
                    <w:rPr>
                      <w:rFonts w:hint="eastAsia" w:ascii="宋体" w:hAnsi="宋体" w:eastAsia="宋体" w:cs="宋体"/>
                      <w:snapToGrid w:val="0"/>
                      <w:color w:val="auto"/>
                      <w:spacing w:val="0"/>
                      <w:sz w:val="21"/>
                      <w:szCs w:val="21"/>
                      <w:highlight w:val="none"/>
                    </w:rPr>
                    <w:t>200μg/m</w:t>
                  </w:r>
                  <w:r>
                    <w:rPr>
                      <w:rFonts w:hint="eastAsia" w:ascii="宋体" w:hAnsi="宋体" w:eastAsia="宋体" w:cs="宋体"/>
                      <w:snapToGrid w:val="0"/>
                      <w:color w:val="auto"/>
                      <w:spacing w:val="0"/>
                      <w:sz w:val="21"/>
                      <w:szCs w:val="21"/>
                      <w:highlight w:val="none"/>
                      <w:vertAlign w:val="superscript"/>
                    </w:rPr>
                    <w:t>3</w:t>
                  </w:r>
                </w:p>
              </w:tc>
              <w:tc>
                <w:tcPr>
                  <w:tcW w:w="1448" w:type="pct"/>
                  <w:vMerge w:val="continue"/>
                  <w:noWrap w:val="0"/>
                  <w:vAlign w:val="center"/>
                </w:tcPr>
                <w:p w14:paraId="7C94C18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napToGrid w:val="0"/>
                      <w:color w:val="auto"/>
                      <w:spacing w:val="0"/>
                      <w:sz w:val="21"/>
                      <w:szCs w:val="21"/>
                      <w:highlight w:val="none"/>
                    </w:rPr>
                  </w:pPr>
                </w:p>
              </w:tc>
            </w:tr>
          </w:tbl>
          <w:p w14:paraId="6744D187">
            <w:pPr>
              <w:ind w:firstLine="482"/>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（2）地表水</w:t>
            </w:r>
          </w:p>
          <w:p w14:paraId="662192BE">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本项目所处区域地表水体执行《地表水环境质量标准》（GB3838-2002）</w:t>
            </w:r>
            <w:r>
              <w:rPr>
                <w:rFonts w:hint="eastAsia" w:ascii="宋体" w:hAnsi="宋体" w:eastAsia="宋体" w:cs="宋体"/>
                <w:smallCaps w:val="0"/>
                <w:color w:val="auto"/>
                <w:kern w:val="0"/>
                <w:sz w:val="24"/>
                <w:szCs w:val="24"/>
                <w:highlight w:val="none"/>
                <w:vertAlign w:val="baseline"/>
                <w:lang w:val="en-US" w:eastAsia="zh-CN"/>
              </w:rPr>
              <w:t>Ⅳ</w:t>
            </w:r>
            <w:r>
              <w:rPr>
                <w:rFonts w:hint="eastAsia" w:ascii="宋体" w:hAnsi="宋体" w:eastAsia="宋体" w:cs="宋体"/>
                <w:smallCaps w:val="0"/>
                <w:color w:val="auto"/>
                <w:highlight w:val="none"/>
              </w:rPr>
              <w:t>类标准，标准值见</w:t>
            </w:r>
            <w:r>
              <w:rPr>
                <w:rFonts w:hint="eastAsia" w:ascii="宋体" w:hAnsi="宋体" w:eastAsia="宋体" w:cs="宋体"/>
                <w:smallCaps w:val="0"/>
                <w:color w:val="auto"/>
                <w:highlight w:val="none"/>
                <w:lang w:val="en-US" w:eastAsia="zh-CN"/>
              </w:rPr>
              <w:t>下</w:t>
            </w:r>
            <w:r>
              <w:rPr>
                <w:rFonts w:hint="eastAsia" w:ascii="宋体" w:hAnsi="宋体" w:eastAsia="宋体" w:cs="宋体"/>
                <w:smallCaps w:val="0"/>
                <w:color w:val="auto"/>
                <w:highlight w:val="none"/>
              </w:rPr>
              <w:t>表。</w:t>
            </w:r>
          </w:p>
          <w:p w14:paraId="46226EAD">
            <w:pPr>
              <w:pStyle w:val="66"/>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表3-</w:t>
            </w:r>
            <w:r>
              <w:rPr>
                <w:rFonts w:hint="eastAsia" w:ascii="宋体" w:hAnsi="宋体" w:eastAsia="宋体" w:cs="宋体"/>
                <w:b/>
                <w:bCs/>
                <w:smallCaps w:val="0"/>
                <w:color w:val="auto"/>
                <w:sz w:val="21"/>
                <w:szCs w:val="21"/>
                <w:highlight w:val="none"/>
                <w:lang w:val="en-US" w:eastAsia="zh-CN"/>
              </w:rPr>
              <w:t>5</w:t>
            </w:r>
            <w:r>
              <w:rPr>
                <w:rFonts w:hint="eastAsia" w:ascii="宋体" w:hAnsi="宋体" w:eastAsia="宋体" w:cs="宋体"/>
                <w:b/>
                <w:bCs/>
                <w:smallCaps w:val="0"/>
                <w:color w:val="auto"/>
                <w:sz w:val="21"/>
                <w:szCs w:val="21"/>
                <w:highlight w:val="none"/>
              </w:rPr>
              <w:t xml:space="preserve"> 地表水环境质量标准</w:t>
            </w:r>
          </w:p>
          <w:tbl>
            <w:tblPr>
              <w:tblStyle w:val="33"/>
              <w:tblW w:w="495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87"/>
              <w:gridCol w:w="855"/>
              <w:gridCol w:w="960"/>
              <w:gridCol w:w="960"/>
              <w:gridCol w:w="960"/>
              <w:gridCol w:w="960"/>
              <w:gridCol w:w="961"/>
            </w:tblGrid>
            <w:tr w14:paraId="7F9FA7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jc w:val="center"/>
              </w:trPr>
              <w:tc>
                <w:tcPr>
                  <w:tcW w:w="2287" w:type="dxa"/>
                  <w:tcBorders>
                    <w:left w:val="nil"/>
                    <w:bottom w:val="single" w:color="auto" w:sz="8" w:space="0"/>
                  </w:tcBorders>
                  <w:noWrap w:val="0"/>
                  <w:vAlign w:val="center"/>
                </w:tcPr>
                <w:p w14:paraId="4F9972D1">
                  <w:pPr>
                    <w:pStyle w:val="73"/>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污染物名称</w:t>
                  </w:r>
                </w:p>
              </w:tc>
              <w:tc>
                <w:tcPr>
                  <w:tcW w:w="855" w:type="dxa"/>
                  <w:tcBorders>
                    <w:bottom w:val="single" w:color="auto" w:sz="8" w:space="0"/>
                  </w:tcBorders>
                  <w:noWrap w:val="0"/>
                  <w:vAlign w:val="center"/>
                </w:tcPr>
                <w:p w14:paraId="76F347B8">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pH</w:t>
                  </w:r>
                </w:p>
              </w:tc>
              <w:tc>
                <w:tcPr>
                  <w:tcW w:w="959" w:type="dxa"/>
                  <w:tcBorders>
                    <w:bottom w:val="single" w:color="auto" w:sz="8" w:space="0"/>
                  </w:tcBorders>
                  <w:noWrap w:val="0"/>
                  <w:vAlign w:val="center"/>
                </w:tcPr>
                <w:p w14:paraId="42813053">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DO</w:t>
                  </w:r>
                </w:p>
              </w:tc>
              <w:tc>
                <w:tcPr>
                  <w:tcW w:w="959" w:type="dxa"/>
                  <w:tcBorders>
                    <w:bottom w:val="single" w:color="auto" w:sz="8" w:space="0"/>
                  </w:tcBorders>
                  <w:noWrap w:val="0"/>
                  <w:vAlign w:val="center"/>
                </w:tcPr>
                <w:p w14:paraId="7159CFAC">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COD</w:t>
                  </w:r>
                  <w:r>
                    <w:rPr>
                      <w:rFonts w:hint="eastAsia" w:ascii="宋体" w:hAnsi="宋体" w:eastAsia="宋体" w:cs="宋体"/>
                      <w:bCs/>
                      <w:smallCaps w:val="0"/>
                      <w:color w:val="auto"/>
                      <w:sz w:val="21"/>
                      <w:szCs w:val="21"/>
                      <w:highlight w:val="none"/>
                      <w:vertAlign w:val="subscript"/>
                    </w:rPr>
                    <w:t>Cr</w:t>
                  </w:r>
                </w:p>
              </w:tc>
              <w:tc>
                <w:tcPr>
                  <w:tcW w:w="959" w:type="dxa"/>
                  <w:tcBorders>
                    <w:bottom w:val="single" w:color="auto" w:sz="8" w:space="0"/>
                  </w:tcBorders>
                  <w:noWrap w:val="0"/>
                  <w:vAlign w:val="center"/>
                </w:tcPr>
                <w:p w14:paraId="3D1045D1">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BOD</w:t>
                  </w:r>
                  <w:r>
                    <w:rPr>
                      <w:rFonts w:hint="eastAsia" w:ascii="宋体" w:hAnsi="宋体" w:eastAsia="宋体" w:cs="宋体"/>
                      <w:bCs/>
                      <w:smallCaps w:val="0"/>
                      <w:color w:val="auto"/>
                      <w:sz w:val="21"/>
                      <w:szCs w:val="21"/>
                      <w:highlight w:val="none"/>
                      <w:vertAlign w:val="subscript"/>
                    </w:rPr>
                    <w:t>5</w:t>
                  </w:r>
                </w:p>
              </w:tc>
              <w:tc>
                <w:tcPr>
                  <w:tcW w:w="959" w:type="dxa"/>
                  <w:tcBorders>
                    <w:bottom w:val="single" w:color="auto" w:sz="8" w:space="0"/>
                  </w:tcBorders>
                  <w:noWrap w:val="0"/>
                  <w:vAlign w:val="center"/>
                </w:tcPr>
                <w:p w14:paraId="0620A3B2">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TP</w:t>
                  </w:r>
                </w:p>
              </w:tc>
              <w:tc>
                <w:tcPr>
                  <w:tcW w:w="960" w:type="dxa"/>
                  <w:tcBorders>
                    <w:bottom w:val="single" w:color="auto" w:sz="8" w:space="0"/>
                    <w:right w:val="nil"/>
                  </w:tcBorders>
                  <w:noWrap w:val="0"/>
                  <w:vAlign w:val="center"/>
                </w:tcPr>
                <w:p w14:paraId="36D5160D">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氨氮</w:t>
                  </w:r>
                </w:p>
              </w:tc>
            </w:tr>
            <w:tr w14:paraId="08B14C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7" w:type="dxa"/>
                  <w:tcBorders>
                    <w:top w:val="single" w:color="auto" w:sz="8" w:space="0"/>
                    <w:left w:val="nil"/>
                    <w:bottom w:val="single" w:color="auto" w:sz="12" w:space="0"/>
                  </w:tcBorders>
                  <w:noWrap w:val="0"/>
                  <w:vAlign w:val="center"/>
                </w:tcPr>
                <w:p w14:paraId="269062A2">
                  <w:pPr>
                    <w:pStyle w:val="73"/>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kern w:val="0"/>
                      <w:sz w:val="21"/>
                      <w:szCs w:val="21"/>
                      <w:highlight w:val="none"/>
                      <w:vertAlign w:val="baseline"/>
                      <w:lang w:val="en-US" w:eastAsia="zh-CN"/>
                    </w:rPr>
                    <w:t>Ⅳ</w:t>
                  </w:r>
                  <w:r>
                    <w:rPr>
                      <w:rFonts w:hint="eastAsia" w:ascii="宋体" w:hAnsi="宋体" w:eastAsia="宋体" w:cs="宋体"/>
                      <w:bCs/>
                      <w:smallCaps w:val="0"/>
                      <w:color w:val="auto"/>
                      <w:sz w:val="21"/>
                      <w:szCs w:val="21"/>
                      <w:highlight w:val="none"/>
                    </w:rPr>
                    <w:t>类标准限值（mg/L）</w:t>
                  </w:r>
                </w:p>
              </w:tc>
              <w:tc>
                <w:tcPr>
                  <w:tcW w:w="855" w:type="dxa"/>
                  <w:tcBorders>
                    <w:top w:val="single" w:color="auto" w:sz="8" w:space="0"/>
                    <w:bottom w:val="single" w:color="auto" w:sz="12" w:space="0"/>
                  </w:tcBorders>
                  <w:noWrap w:val="0"/>
                  <w:vAlign w:val="center"/>
                </w:tcPr>
                <w:p w14:paraId="775E391E">
                  <w:pPr>
                    <w:pStyle w:val="73"/>
                    <w:rPr>
                      <w:rFonts w:hint="eastAsia" w:ascii="宋体" w:hAnsi="宋体" w:eastAsia="宋体" w:cs="宋体"/>
                      <w:bCs/>
                      <w:smallCaps w:val="0"/>
                      <w:color w:val="auto"/>
                      <w:sz w:val="21"/>
                      <w:szCs w:val="21"/>
                      <w:highlight w:val="none"/>
                    </w:rPr>
                  </w:pPr>
                  <w:r>
                    <w:rPr>
                      <w:rFonts w:hint="eastAsia" w:ascii="宋体" w:hAnsi="宋体" w:eastAsia="宋体" w:cs="宋体"/>
                      <w:bCs/>
                      <w:smallCaps w:val="0"/>
                      <w:color w:val="auto"/>
                      <w:sz w:val="21"/>
                      <w:szCs w:val="21"/>
                      <w:highlight w:val="none"/>
                    </w:rPr>
                    <w:t>6</w:t>
                  </w:r>
                  <w:r>
                    <w:rPr>
                      <w:rFonts w:hint="eastAsia" w:ascii="宋体" w:hAnsi="宋体" w:eastAsia="宋体" w:cs="宋体"/>
                      <w:bCs/>
                      <w:smallCaps w:val="0"/>
                      <w:color w:val="auto"/>
                      <w:sz w:val="21"/>
                      <w:szCs w:val="21"/>
                      <w:highlight w:val="none"/>
                      <w:lang w:eastAsia="zh-CN"/>
                    </w:rPr>
                    <w:t>~</w:t>
                  </w:r>
                  <w:r>
                    <w:rPr>
                      <w:rFonts w:hint="eastAsia" w:ascii="宋体" w:hAnsi="宋体" w:eastAsia="宋体" w:cs="宋体"/>
                      <w:bCs/>
                      <w:smallCaps w:val="0"/>
                      <w:color w:val="auto"/>
                      <w:sz w:val="21"/>
                      <w:szCs w:val="21"/>
                      <w:highlight w:val="none"/>
                    </w:rPr>
                    <w:t>9</w:t>
                  </w:r>
                </w:p>
              </w:tc>
              <w:tc>
                <w:tcPr>
                  <w:tcW w:w="959" w:type="dxa"/>
                  <w:tcBorders>
                    <w:top w:val="single" w:color="auto" w:sz="8" w:space="0"/>
                    <w:bottom w:val="single" w:color="auto" w:sz="12" w:space="0"/>
                  </w:tcBorders>
                  <w:noWrap w:val="0"/>
                  <w:vAlign w:val="center"/>
                </w:tcPr>
                <w:p w14:paraId="747C607C">
                  <w:pPr>
                    <w:pStyle w:val="73"/>
                    <w:rPr>
                      <w:rFonts w:hint="eastAsia" w:ascii="宋体" w:hAnsi="宋体" w:eastAsia="宋体" w:cs="宋体"/>
                      <w:bCs/>
                      <w:smallCaps w:val="0"/>
                      <w:color w:val="auto"/>
                      <w:sz w:val="21"/>
                      <w:szCs w:val="21"/>
                      <w:highlight w:val="none"/>
                      <w:lang w:eastAsia="zh-CN"/>
                    </w:rPr>
                  </w:pPr>
                  <w:r>
                    <w:rPr>
                      <w:rFonts w:hint="eastAsia" w:ascii="宋体" w:hAnsi="宋体" w:eastAsia="宋体" w:cs="宋体"/>
                      <w:bCs/>
                      <w:smallCaps w:val="0"/>
                      <w:color w:val="auto"/>
                      <w:sz w:val="21"/>
                      <w:szCs w:val="21"/>
                      <w:highlight w:val="none"/>
                    </w:rPr>
                    <w:t>≥</w:t>
                  </w:r>
                  <w:r>
                    <w:rPr>
                      <w:rFonts w:hint="eastAsia" w:ascii="宋体" w:hAnsi="宋体" w:eastAsia="宋体" w:cs="宋体"/>
                      <w:bCs/>
                      <w:smallCaps w:val="0"/>
                      <w:color w:val="auto"/>
                      <w:sz w:val="21"/>
                      <w:szCs w:val="21"/>
                      <w:highlight w:val="none"/>
                      <w:lang w:val="en-US" w:eastAsia="zh-CN"/>
                    </w:rPr>
                    <w:t>3</w:t>
                  </w:r>
                </w:p>
              </w:tc>
              <w:tc>
                <w:tcPr>
                  <w:tcW w:w="959" w:type="dxa"/>
                  <w:tcBorders>
                    <w:top w:val="single" w:color="auto" w:sz="8" w:space="0"/>
                    <w:bottom w:val="single" w:color="auto" w:sz="12" w:space="0"/>
                  </w:tcBorders>
                  <w:noWrap w:val="0"/>
                  <w:vAlign w:val="center"/>
                </w:tcPr>
                <w:p w14:paraId="6ABB774F">
                  <w:pPr>
                    <w:pStyle w:val="73"/>
                    <w:rPr>
                      <w:rFonts w:hint="eastAsia" w:ascii="宋体" w:hAnsi="宋体" w:eastAsia="宋体" w:cs="宋体"/>
                      <w:bCs/>
                      <w:smallCaps w:val="0"/>
                      <w:color w:val="auto"/>
                      <w:sz w:val="21"/>
                      <w:szCs w:val="21"/>
                      <w:highlight w:val="none"/>
                    </w:rPr>
                  </w:pPr>
                  <w:r>
                    <w:rPr>
                      <w:rFonts w:hint="eastAsia" w:ascii="宋体" w:hAnsi="宋体" w:eastAsia="宋体" w:cs="宋体"/>
                      <w:smallCaps w:val="0"/>
                      <w:color w:val="auto"/>
                      <w:sz w:val="21"/>
                      <w:szCs w:val="21"/>
                      <w:highlight w:val="none"/>
                    </w:rPr>
                    <w:t>≤</w:t>
                  </w:r>
                  <w:r>
                    <w:rPr>
                      <w:rFonts w:hint="eastAsia" w:ascii="宋体" w:hAnsi="宋体" w:eastAsia="宋体" w:cs="宋体"/>
                      <w:smallCaps w:val="0"/>
                      <w:color w:val="auto"/>
                      <w:sz w:val="21"/>
                      <w:szCs w:val="21"/>
                      <w:highlight w:val="none"/>
                      <w:lang w:val="en-US" w:eastAsia="zh-CN"/>
                    </w:rPr>
                    <w:t>3</w:t>
                  </w:r>
                  <w:r>
                    <w:rPr>
                      <w:rFonts w:hint="eastAsia" w:ascii="宋体" w:hAnsi="宋体" w:eastAsia="宋体" w:cs="宋体"/>
                      <w:smallCaps w:val="0"/>
                      <w:color w:val="auto"/>
                      <w:sz w:val="21"/>
                      <w:szCs w:val="21"/>
                      <w:highlight w:val="none"/>
                    </w:rPr>
                    <w:t>0</w:t>
                  </w:r>
                </w:p>
              </w:tc>
              <w:tc>
                <w:tcPr>
                  <w:tcW w:w="959" w:type="dxa"/>
                  <w:tcBorders>
                    <w:top w:val="single" w:color="auto" w:sz="8" w:space="0"/>
                    <w:bottom w:val="single" w:color="auto" w:sz="12" w:space="0"/>
                  </w:tcBorders>
                  <w:noWrap w:val="0"/>
                  <w:vAlign w:val="center"/>
                </w:tcPr>
                <w:p w14:paraId="486186C3">
                  <w:pPr>
                    <w:pStyle w:val="73"/>
                    <w:rPr>
                      <w:rFonts w:hint="eastAsia" w:ascii="宋体" w:hAnsi="宋体" w:eastAsia="宋体" w:cs="宋体"/>
                      <w:bCs/>
                      <w:smallCaps w:val="0"/>
                      <w:color w:val="auto"/>
                      <w:sz w:val="21"/>
                      <w:szCs w:val="21"/>
                      <w:highlight w:val="none"/>
                      <w:lang w:eastAsia="zh-CN"/>
                    </w:rPr>
                  </w:pPr>
                  <w:r>
                    <w:rPr>
                      <w:rFonts w:hint="eastAsia" w:ascii="宋体" w:hAnsi="宋体" w:eastAsia="宋体" w:cs="宋体"/>
                      <w:smallCaps w:val="0"/>
                      <w:color w:val="auto"/>
                      <w:sz w:val="21"/>
                      <w:szCs w:val="21"/>
                      <w:highlight w:val="none"/>
                    </w:rPr>
                    <w:t>≤</w:t>
                  </w:r>
                  <w:r>
                    <w:rPr>
                      <w:rFonts w:hint="eastAsia" w:ascii="宋体" w:hAnsi="宋体" w:eastAsia="宋体" w:cs="宋体"/>
                      <w:smallCaps w:val="0"/>
                      <w:color w:val="auto"/>
                      <w:sz w:val="21"/>
                      <w:szCs w:val="21"/>
                      <w:highlight w:val="none"/>
                      <w:lang w:val="en-US" w:eastAsia="zh-CN"/>
                    </w:rPr>
                    <w:t>6</w:t>
                  </w:r>
                </w:p>
              </w:tc>
              <w:tc>
                <w:tcPr>
                  <w:tcW w:w="959" w:type="dxa"/>
                  <w:tcBorders>
                    <w:top w:val="single" w:color="auto" w:sz="8" w:space="0"/>
                    <w:bottom w:val="single" w:color="auto" w:sz="12" w:space="0"/>
                  </w:tcBorders>
                  <w:noWrap w:val="0"/>
                  <w:vAlign w:val="center"/>
                </w:tcPr>
                <w:p w14:paraId="63E88BDB">
                  <w:pPr>
                    <w:pStyle w:val="73"/>
                    <w:rPr>
                      <w:rFonts w:hint="eastAsia" w:ascii="宋体" w:hAnsi="宋体" w:eastAsia="宋体" w:cs="宋体"/>
                      <w:bCs/>
                      <w:smallCaps w:val="0"/>
                      <w:color w:val="auto"/>
                      <w:sz w:val="21"/>
                      <w:szCs w:val="21"/>
                      <w:highlight w:val="none"/>
                      <w:lang w:eastAsia="zh-CN"/>
                    </w:rPr>
                  </w:pPr>
                  <w:r>
                    <w:rPr>
                      <w:rFonts w:hint="eastAsia" w:ascii="宋体" w:hAnsi="宋体" w:eastAsia="宋体" w:cs="宋体"/>
                      <w:smallCaps w:val="0"/>
                      <w:color w:val="auto"/>
                      <w:sz w:val="21"/>
                      <w:szCs w:val="21"/>
                      <w:highlight w:val="none"/>
                    </w:rPr>
                    <w:t>≤0.</w:t>
                  </w:r>
                  <w:r>
                    <w:rPr>
                      <w:rFonts w:hint="eastAsia" w:ascii="宋体" w:hAnsi="宋体" w:eastAsia="宋体" w:cs="宋体"/>
                      <w:smallCaps w:val="0"/>
                      <w:color w:val="auto"/>
                      <w:sz w:val="21"/>
                      <w:szCs w:val="21"/>
                      <w:highlight w:val="none"/>
                      <w:lang w:val="en-US" w:eastAsia="zh-CN"/>
                    </w:rPr>
                    <w:t>1</w:t>
                  </w:r>
                </w:p>
              </w:tc>
              <w:tc>
                <w:tcPr>
                  <w:tcW w:w="960" w:type="dxa"/>
                  <w:tcBorders>
                    <w:top w:val="single" w:color="auto" w:sz="8" w:space="0"/>
                    <w:bottom w:val="single" w:color="auto" w:sz="12" w:space="0"/>
                    <w:right w:val="nil"/>
                  </w:tcBorders>
                  <w:noWrap w:val="0"/>
                  <w:vAlign w:val="center"/>
                </w:tcPr>
                <w:p w14:paraId="18966AF2">
                  <w:pPr>
                    <w:pStyle w:val="73"/>
                    <w:rPr>
                      <w:rFonts w:hint="eastAsia" w:ascii="宋体" w:hAnsi="宋体" w:eastAsia="宋体" w:cs="宋体"/>
                      <w:bCs/>
                      <w:smallCaps w:val="0"/>
                      <w:color w:val="auto"/>
                      <w:sz w:val="21"/>
                      <w:szCs w:val="21"/>
                      <w:highlight w:val="none"/>
                      <w:lang w:eastAsia="zh-CN"/>
                    </w:rPr>
                  </w:pPr>
                  <w:r>
                    <w:rPr>
                      <w:rFonts w:hint="eastAsia" w:ascii="宋体" w:hAnsi="宋体" w:eastAsia="宋体" w:cs="宋体"/>
                      <w:smallCaps w:val="0"/>
                      <w:color w:val="auto"/>
                      <w:sz w:val="21"/>
                      <w:szCs w:val="21"/>
                      <w:highlight w:val="none"/>
                    </w:rPr>
                    <w:t>≤1.</w:t>
                  </w:r>
                  <w:r>
                    <w:rPr>
                      <w:rFonts w:hint="eastAsia" w:ascii="宋体" w:hAnsi="宋体" w:eastAsia="宋体" w:cs="宋体"/>
                      <w:smallCaps w:val="0"/>
                      <w:color w:val="auto"/>
                      <w:sz w:val="21"/>
                      <w:szCs w:val="21"/>
                      <w:highlight w:val="none"/>
                      <w:lang w:val="en-US" w:eastAsia="zh-CN"/>
                    </w:rPr>
                    <w:t>5</w:t>
                  </w:r>
                </w:p>
              </w:tc>
            </w:tr>
          </w:tbl>
          <w:p w14:paraId="6F2FF0FF">
            <w:pPr>
              <w:ind w:firstLine="482"/>
              <w:rPr>
                <w:rFonts w:hint="eastAsia" w:ascii="宋体" w:hAnsi="宋体" w:eastAsia="宋体" w:cs="宋体"/>
                <w:b/>
                <w:smallCaps w:val="0"/>
                <w:color w:val="auto"/>
                <w:szCs w:val="22"/>
                <w:highlight w:val="none"/>
              </w:rPr>
            </w:pPr>
            <w:r>
              <w:rPr>
                <w:rFonts w:hint="eastAsia" w:ascii="宋体" w:hAnsi="宋体" w:eastAsia="宋体" w:cs="宋体"/>
                <w:b/>
                <w:smallCaps w:val="0"/>
                <w:color w:val="auto"/>
                <w:szCs w:val="22"/>
                <w:highlight w:val="none"/>
              </w:rPr>
              <w:t>（3）声环境</w:t>
            </w:r>
          </w:p>
          <w:p w14:paraId="1B7BA6AF">
            <w:pPr>
              <w:ind w:firstLine="480"/>
              <w:rPr>
                <w:rFonts w:hint="eastAsia" w:ascii="宋体" w:hAnsi="宋体" w:eastAsia="宋体" w:cs="宋体"/>
                <w:smallCaps w:val="0"/>
                <w:color w:val="auto"/>
                <w:szCs w:val="22"/>
                <w:highlight w:val="none"/>
              </w:rPr>
            </w:pPr>
            <w:bookmarkStart w:id="8" w:name="_Ref236373458"/>
            <w:r>
              <w:rPr>
                <w:rFonts w:hint="eastAsia" w:ascii="宋体" w:hAnsi="宋体" w:eastAsia="宋体" w:cs="宋体"/>
                <w:smallCaps w:val="0"/>
                <w:color w:val="auto"/>
                <w:szCs w:val="22"/>
                <w:highlight w:val="none"/>
                <w:lang w:val="en-US" w:eastAsia="zh-CN"/>
              </w:rPr>
              <w:t>根据《声环境功能区划分技术规范》（GB/T15190-2014）、《双鸭山市人民政府关于双鸭山市市区声环境功能区划的公告》，位于交通干线两侧一定距离内的噪声敏感建筑物执行4类声环境功能区要求，本项目道路红线区域内执行4a类声环境功能区。交通干线边界线外其他区域为2类声环境功能区。道路红线两侧40m范围内执行《声环境质量标准》（GB3096-2008）4a类标准，道路红线两侧40m范围外执行《声环境质量标准》（GB3096-2008）2类标准</w:t>
            </w:r>
            <w:r>
              <w:rPr>
                <w:rFonts w:hint="eastAsia" w:ascii="宋体" w:hAnsi="宋体" w:eastAsia="宋体" w:cs="宋体"/>
                <w:smallCaps w:val="0"/>
                <w:color w:val="auto"/>
                <w:szCs w:val="22"/>
                <w:highlight w:val="none"/>
              </w:rPr>
              <w:t>。</w:t>
            </w:r>
          </w:p>
          <w:p w14:paraId="5DF0425F">
            <w:pPr>
              <w:spacing w:line="240" w:lineRule="auto"/>
              <w:ind w:firstLine="422"/>
              <w:jc w:val="center"/>
              <w:rPr>
                <w:rFonts w:hint="eastAsia" w:ascii="宋体" w:hAnsi="宋体" w:eastAsia="宋体" w:cs="宋体"/>
                <w:b/>
                <w:smallCaps w:val="0"/>
                <w:color w:val="auto"/>
                <w:sz w:val="21"/>
                <w:szCs w:val="21"/>
                <w:highlight w:val="none"/>
              </w:rPr>
            </w:pPr>
            <w:r>
              <w:rPr>
                <w:rFonts w:hint="eastAsia" w:ascii="宋体" w:hAnsi="宋体" w:eastAsia="宋体" w:cs="宋体"/>
                <w:b/>
                <w:smallCaps w:val="0"/>
                <w:color w:val="auto"/>
                <w:sz w:val="21"/>
                <w:szCs w:val="21"/>
                <w:highlight w:val="none"/>
              </w:rPr>
              <w:t>表</w:t>
            </w:r>
            <w:bookmarkEnd w:id="8"/>
            <w:r>
              <w:rPr>
                <w:rFonts w:hint="eastAsia" w:ascii="宋体" w:hAnsi="宋体" w:eastAsia="宋体" w:cs="宋体"/>
                <w:b/>
                <w:smallCaps w:val="0"/>
                <w:color w:val="auto"/>
                <w:sz w:val="21"/>
                <w:szCs w:val="21"/>
                <w:highlight w:val="none"/>
              </w:rPr>
              <w:t>3-</w:t>
            </w:r>
            <w:r>
              <w:rPr>
                <w:rFonts w:hint="eastAsia" w:ascii="宋体" w:hAnsi="宋体" w:eastAsia="宋体" w:cs="宋体"/>
                <w:b/>
                <w:smallCaps w:val="0"/>
                <w:color w:val="auto"/>
                <w:sz w:val="21"/>
                <w:szCs w:val="21"/>
                <w:highlight w:val="none"/>
                <w:lang w:val="en-US" w:eastAsia="zh-CN"/>
              </w:rPr>
              <w:t>6</w:t>
            </w:r>
            <w:r>
              <w:rPr>
                <w:rFonts w:hint="eastAsia" w:ascii="宋体" w:hAnsi="宋体" w:eastAsia="宋体" w:cs="宋体"/>
                <w:b/>
                <w:smallCaps w:val="0"/>
                <w:color w:val="auto"/>
                <w:sz w:val="21"/>
                <w:szCs w:val="21"/>
                <w:highlight w:val="none"/>
              </w:rPr>
              <w:t xml:space="preserve"> 声环境质量标准   等效声级Leq：dB（A）</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0" w:type="dxa"/>
                <w:bottom w:w="0" w:type="dxa"/>
                <w:right w:w="0" w:type="dxa"/>
              </w:tblCellMar>
            </w:tblPr>
            <w:tblGrid>
              <w:gridCol w:w="4784"/>
              <w:gridCol w:w="1544"/>
              <w:gridCol w:w="1695"/>
            </w:tblGrid>
            <w:tr w14:paraId="1F058365">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4733" w:type="dxa"/>
                  <w:vMerge w:val="restart"/>
                  <w:tcBorders>
                    <w:left w:val="nil"/>
                  </w:tcBorders>
                  <w:noWrap w:val="0"/>
                  <w:tcMar>
                    <w:top w:w="17" w:type="dxa"/>
                    <w:left w:w="17" w:type="dxa"/>
                    <w:bottom w:w="0" w:type="dxa"/>
                    <w:right w:w="17" w:type="dxa"/>
                  </w:tcMar>
                  <w:vAlign w:val="center"/>
                </w:tcPr>
                <w:p w14:paraId="0927A330">
                  <w:pPr>
                    <w:pStyle w:val="61"/>
                    <w:tabs>
                      <w:tab w:val="center" w:pos="4393"/>
                      <w:tab w:val="left" w:pos="6780"/>
                    </w:tabs>
                    <w:spacing w:before="24" w:after="24" w:line="240" w:lineRule="auto"/>
                    <w:ind w:left="420" w:hanging="420"/>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标准</w:t>
                  </w:r>
                </w:p>
              </w:tc>
              <w:tc>
                <w:tcPr>
                  <w:tcW w:w="3204" w:type="dxa"/>
                  <w:gridSpan w:val="2"/>
                  <w:tcBorders>
                    <w:right w:val="nil"/>
                  </w:tcBorders>
                  <w:noWrap w:val="0"/>
                  <w:tcMar>
                    <w:top w:w="17" w:type="dxa"/>
                    <w:left w:w="17" w:type="dxa"/>
                    <w:bottom w:w="0" w:type="dxa"/>
                    <w:right w:w="17" w:type="dxa"/>
                  </w:tcMar>
                  <w:vAlign w:val="center"/>
                </w:tcPr>
                <w:p w14:paraId="1980A257">
                  <w:pPr>
                    <w:pStyle w:val="61"/>
                    <w:tabs>
                      <w:tab w:val="center" w:pos="4393"/>
                      <w:tab w:val="left" w:pos="6780"/>
                    </w:tabs>
                    <w:spacing w:before="24" w:after="24" w:line="240" w:lineRule="auto"/>
                    <w:ind w:left="420" w:hanging="420"/>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标准值</w:t>
                  </w:r>
                </w:p>
              </w:tc>
            </w:tr>
            <w:tr w14:paraId="17B75399">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4733" w:type="dxa"/>
                  <w:vMerge w:val="continue"/>
                  <w:tcBorders>
                    <w:left w:val="nil"/>
                    <w:bottom w:val="single" w:color="auto" w:sz="8" w:space="0"/>
                  </w:tcBorders>
                  <w:noWrap w:val="0"/>
                  <w:vAlign w:val="center"/>
                </w:tcPr>
                <w:p w14:paraId="7C6DC72D">
                  <w:pPr>
                    <w:pStyle w:val="61"/>
                    <w:tabs>
                      <w:tab w:val="center" w:pos="4393"/>
                      <w:tab w:val="left" w:pos="6780"/>
                    </w:tabs>
                    <w:spacing w:before="24" w:after="24" w:line="240" w:lineRule="auto"/>
                    <w:ind w:left="420" w:hanging="420"/>
                    <w:rPr>
                      <w:rFonts w:hint="eastAsia" w:ascii="宋体" w:hAnsi="宋体" w:eastAsia="宋体" w:cs="宋体"/>
                      <w:smallCaps w:val="0"/>
                      <w:color w:val="auto"/>
                      <w:sz w:val="21"/>
                      <w:szCs w:val="21"/>
                      <w:highlight w:val="none"/>
                      <w:lang w:val="en-US" w:eastAsia="zh-CN"/>
                    </w:rPr>
                  </w:pPr>
                </w:p>
              </w:tc>
              <w:tc>
                <w:tcPr>
                  <w:tcW w:w="1527" w:type="dxa"/>
                  <w:tcBorders>
                    <w:bottom w:val="single" w:color="auto" w:sz="8" w:space="0"/>
                  </w:tcBorders>
                  <w:noWrap w:val="0"/>
                  <w:tcMar>
                    <w:top w:w="17" w:type="dxa"/>
                    <w:left w:w="17" w:type="dxa"/>
                    <w:bottom w:w="0" w:type="dxa"/>
                    <w:right w:w="17" w:type="dxa"/>
                  </w:tcMar>
                  <w:vAlign w:val="center"/>
                </w:tcPr>
                <w:p w14:paraId="5D5C9842">
                  <w:pPr>
                    <w:pStyle w:val="61"/>
                    <w:tabs>
                      <w:tab w:val="center" w:pos="4393"/>
                      <w:tab w:val="left" w:pos="6780"/>
                    </w:tabs>
                    <w:spacing w:before="24" w:after="24" w:line="240" w:lineRule="auto"/>
                    <w:ind w:left="420" w:hanging="420"/>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昼间</w:t>
                  </w:r>
                </w:p>
              </w:tc>
              <w:tc>
                <w:tcPr>
                  <w:tcW w:w="1677" w:type="dxa"/>
                  <w:tcBorders>
                    <w:bottom w:val="single" w:color="auto" w:sz="8" w:space="0"/>
                    <w:right w:val="nil"/>
                  </w:tcBorders>
                  <w:noWrap w:val="0"/>
                  <w:tcMar>
                    <w:top w:w="17" w:type="dxa"/>
                    <w:left w:w="17" w:type="dxa"/>
                    <w:bottom w:w="0" w:type="dxa"/>
                    <w:right w:w="17" w:type="dxa"/>
                  </w:tcMar>
                  <w:vAlign w:val="center"/>
                </w:tcPr>
                <w:p w14:paraId="0EE58B48">
                  <w:pPr>
                    <w:pStyle w:val="61"/>
                    <w:tabs>
                      <w:tab w:val="center" w:pos="4393"/>
                      <w:tab w:val="left" w:pos="6780"/>
                    </w:tabs>
                    <w:spacing w:before="24" w:after="24" w:line="240" w:lineRule="auto"/>
                    <w:ind w:left="420" w:hanging="420"/>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夜间</w:t>
                  </w:r>
                </w:p>
              </w:tc>
            </w:tr>
            <w:tr w14:paraId="309552CB">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4733" w:type="dxa"/>
                  <w:tcBorders>
                    <w:top w:val="single" w:color="auto" w:sz="8" w:space="0"/>
                    <w:left w:val="nil"/>
                    <w:bottom w:val="single" w:color="auto" w:sz="8" w:space="0"/>
                  </w:tcBorders>
                  <w:noWrap w:val="0"/>
                  <w:tcMar>
                    <w:top w:w="17" w:type="dxa"/>
                    <w:left w:w="17" w:type="dxa"/>
                    <w:bottom w:w="0" w:type="dxa"/>
                    <w:right w:w="17" w:type="dxa"/>
                  </w:tcMar>
                  <w:vAlign w:val="center"/>
                </w:tcPr>
                <w:p w14:paraId="3B94F08D">
                  <w:pPr>
                    <w:pStyle w:val="61"/>
                    <w:tabs>
                      <w:tab w:val="center" w:pos="4393"/>
                      <w:tab w:val="left" w:pos="6780"/>
                    </w:tabs>
                    <w:spacing w:before="24" w:after="24" w:line="240" w:lineRule="auto"/>
                    <w:ind w:left="420" w:hanging="420"/>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《声环境质量标准》GB3096-2008）中的2类标准</w:t>
                  </w:r>
                </w:p>
              </w:tc>
              <w:tc>
                <w:tcPr>
                  <w:tcW w:w="1527" w:type="dxa"/>
                  <w:tcBorders>
                    <w:top w:val="single" w:color="auto" w:sz="8" w:space="0"/>
                    <w:bottom w:val="single" w:color="auto" w:sz="8" w:space="0"/>
                  </w:tcBorders>
                  <w:noWrap w:val="0"/>
                  <w:tcMar>
                    <w:top w:w="17" w:type="dxa"/>
                    <w:left w:w="17" w:type="dxa"/>
                    <w:bottom w:w="0" w:type="dxa"/>
                    <w:right w:w="17" w:type="dxa"/>
                  </w:tcMar>
                  <w:vAlign w:val="center"/>
                </w:tcPr>
                <w:p w14:paraId="5B8CB975">
                  <w:pPr>
                    <w:pStyle w:val="61"/>
                    <w:tabs>
                      <w:tab w:val="center" w:pos="4393"/>
                      <w:tab w:val="left" w:pos="6780"/>
                    </w:tabs>
                    <w:spacing w:line="240" w:lineRule="auto"/>
                    <w:ind w:left="420" w:leftChars="0" w:hanging="420" w:hangingChars="20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60</w:t>
                  </w:r>
                </w:p>
              </w:tc>
              <w:tc>
                <w:tcPr>
                  <w:tcW w:w="1677" w:type="dxa"/>
                  <w:tcBorders>
                    <w:top w:val="single" w:color="auto" w:sz="8" w:space="0"/>
                    <w:bottom w:val="single" w:color="auto" w:sz="8" w:space="0"/>
                    <w:right w:val="nil"/>
                  </w:tcBorders>
                  <w:noWrap w:val="0"/>
                  <w:tcMar>
                    <w:top w:w="17" w:type="dxa"/>
                    <w:left w:w="17" w:type="dxa"/>
                    <w:bottom w:w="0" w:type="dxa"/>
                    <w:right w:w="17" w:type="dxa"/>
                  </w:tcMar>
                  <w:vAlign w:val="center"/>
                </w:tcPr>
                <w:p w14:paraId="5D6B1A44">
                  <w:pPr>
                    <w:pStyle w:val="61"/>
                    <w:tabs>
                      <w:tab w:val="center" w:pos="4393"/>
                      <w:tab w:val="left" w:pos="6780"/>
                    </w:tabs>
                    <w:spacing w:line="240" w:lineRule="auto"/>
                    <w:ind w:left="420" w:leftChars="0" w:hanging="420" w:hangingChars="20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50</w:t>
                  </w:r>
                </w:p>
              </w:tc>
            </w:tr>
            <w:tr w14:paraId="66527CC1">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4733" w:type="dxa"/>
                  <w:tcBorders>
                    <w:top w:val="single" w:color="auto" w:sz="8" w:space="0"/>
                    <w:left w:val="nil"/>
                  </w:tcBorders>
                  <w:noWrap w:val="0"/>
                  <w:tcMar>
                    <w:top w:w="17" w:type="dxa"/>
                    <w:left w:w="17" w:type="dxa"/>
                    <w:bottom w:w="0" w:type="dxa"/>
                    <w:right w:w="17" w:type="dxa"/>
                  </w:tcMar>
                  <w:vAlign w:val="center"/>
                </w:tcPr>
                <w:p w14:paraId="2EF99BF9">
                  <w:pPr>
                    <w:pStyle w:val="61"/>
                    <w:tabs>
                      <w:tab w:val="center" w:pos="4393"/>
                      <w:tab w:val="left" w:pos="6780"/>
                    </w:tabs>
                    <w:spacing w:before="24" w:after="24" w:line="240" w:lineRule="auto"/>
                    <w:ind w:left="420" w:hanging="420"/>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《声环境质量标准》GB3096-2008）中的4a类标准</w:t>
                  </w:r>
                </w:p>
              </w:tc>
              <w:tc>
                <w:tcPr>
                  <w:tcW w:w="1527" w:type="dxa"/>
                  <w:tcBorders>
                    <w:top w:val="single" w:color="auto" w:sz="8" w:space="0"/>
                  </w:tcBorders>
                  <w:noWrap w:val="0"/>
                  <w:tcMar>
                    <w:top w:w="17" w:type="dxa"/>
                    <w:left w:w="17" w:type="dxa"/>
                    <w:bottom w:w="0" w:type="dxa"/>
                    <w:right w:w="17" w:type="dxa"/>
                  </w:tcMar>
                  <w:vAlign w:val="center"/>
                </w:tcPr>
                <w:p w14:paraId="1B1829B0">
                  <w:pPr>
                    <w:pStyle w:val="61"/>
                    <w:tabs>
                      <w:tab w:val="center" w:pos="4393"/>
                      <w:tab w:val="left" w:pos="6780"/>
                    </w:tabs>
                    <w:spacing w:line="240" w:lineRule="auto"/>
                    <w:ind w:left="420" w:leftChars="0" w:hanging="420" w:hangingChars="20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70</w:t>
                  </w:r>
                </w:p>
              </w:tc>
              <w:tc>
                <w:tcPr>
                  <w:tcW w:w="1677" w:type="dxa"/>
                  <w:tcBorders>
                    <w:top w:val="single" w:color="auto" w:sz="8" w:space="0"/>
                    <w:right w:val="nil"/>
                  </w:tcBorders>
                  <w:noWrap w:val="0"/>
                  <w:tcMar>
                    <w:top w:w="17" w:type="dxa"/>
                    <w:left w:w="17" w:type="dxa"/>
                    <w:bottom w:w="0" w:type="dxa"/>
                    <w:right w:w="17" w:type="dxa"/>
                  </w:tcMar>
                  <w:vAlign w:val="center"/>
                </w:tcPr>
                <w:p w14:paraId="66C7E7A7">
                  <w:pPr>
                    <w:pStyle w:val="61"/>
                    <w:tabs>
                      <w:tab w:val="center" w:pos="4393"/>
                      <w:tab w:val="left" w:pos="6780"/>
                    </w:tabs>
                    <w:spacing w:line="240" w:lineRule="auto"/>
                    <w:ind w:left="420" w:leftChars="0" w:hanging="420" w:hangingChars="20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55</w:t>
                  </w:r>
                </w:p>
              </w:tc>
            </w:tr>
          </w:tbl>
          <w:p w14:paraId="67A206C0">
            <w:pPr>
              <w:adjustRightInd w:val="0"/>
              <w:ind w:firstLine="482"/>
              <w:textAlignment w:val="baseline"/>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2、污染物排放标准</w:t>
            </w:r>
          </w:p>
          <w:p w14:paraId="0129DDC2">
            <w:pPr>
              <w:adjustRightInd w:val="0"/>
              <w:ind w:firstLine="482"/>
              <w:textAlignment w:val="baseline"/>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（1）废气</w:t>
            </w:r>
          </w:p>
          <w:p w14:paraId="538B0D1F">
            <w:pPr>
              <w:adjustRightInd w:val="0"/>
              <w:ind w:firstLine="480"/>
              <w:textAlignment w:val="baseline"/>
              <w:rPr>
                <w:rFonts w:hint="eastAsia" w:ascii="宋体" w:hAnsi="宋体" w:eastAsia="宋体" w:cs="宋体"/>
                <w:smallCaps w:val="0"/>
                <w:color w:val="auto"/>
                <w:kern w:val="0"/>
                <w:highlight w:val="none"/>
              </w:rPr>
            </w:pPr>
            <w:r>
              <w:rPr>
                <w:rFonts w:hint="eastAsia" w:ascii="宋体" w:hAnsi="宋体" w:eastAsia="宋体" w:cs="宋体"/>
                <w:smallCaps w:val="0"/>
                <w:color w:val="auto"/>
                <w:kern w:val="0"/>
                <w:highlight w:val="none"/>
              </w:rPr>
              <w:t>本项目施工期扬尘执行《大气污染物综合排放标准》（GB16297-1996）表2新污染源大气污染物排放限值中无组织排放监控浓度限值要求，具体标准值见</w:t>
            </w:r>
            <w:r>
              <w:rPr>
                <w:rFonts w:hint="eastAsia" w:ascii="宋体" w:hAnsi="宋体" w:eastAsia="宋体" w:cs="宋体"/>
                <w:smallCaps w:val="0"/>
                <w:color w:val="auto"/>
                <w:kern w:val="0"/>
                <w:highlight w:val="none"/>
                <w:lang w:val="en-US" w:eastAsia="zh-CN"/>
              </w:rPr>
              <w:t>下</w:t>
            </w:r>
            <w:r>
              <w:rPr>
                <w:rFonts w:hint="eastAsia" w:ascii="宋体" w:hAnsi="宋体" w:eastAsia="宋体" w:cs="宋体"/>
                <w:smallCaps w:val="0"/>
                <w:color w:val="auto"/>
                <w:kern w:val="0"/>
                <w:highlight w:val="none"/>
              </w:rPr>
              <w:t>表。</w:t>
            </w:r>
          </w:p>
          <w:p w14:paraId="2985AFD7">
            <w:pPr>
              <w:pStyle w:val="66"/>
              <w:spacing w:line="240" w:lineRule="auto"/>
              <w:jc w:val="center"/>
              <w:rPr>
                <w:rFonts w:hint="eastAsia" w:ascii="宋体" w:hAnsi="宋体" w:eastAsia="宋体" w:cs="宋体"/>
                <w:b/>
                <w:bCs w:val="0"/>
                <w:smallCaps w:val="0"/>
                <w:color w:val="auto"/>
                <w:sz w:val="21"/>
                <w:szCs w:val="21"/>
                <w:highlight w:val="none"/>
              </w:rPr>
            </w:pPr>
            <w:r>
              <w:rPr>
                <w:rFonts w:hint="eastAsia" w:ascii="宋体" w:hAnsi="宋体" w:eastAsia="宋体" w:cs="宋体"/>
                <w:b/>
                <w:bCs w:val="0"/>
                <w:smallCaps w:val="0"/>
                <w:color w:val="auto"/>
                <w:sz w:val="21"/>
                <w:szCs w:val="21"/>
                <w:highlight w:val="none"/>
                <w:lang w:val="en-US" w:eastAsia="zh-CN"/>
              </w:rPr>
              <w:t xml:space="preserve">表3-7 大气污染物排放标准 </w:t>
            </w:r>
            <w:r>
              <w:rPr>
                <w:rFonts w:hint="eastAsia" w:ascii="宋体" w:hAnsi="宋体" w:eastAsia="宋体" w:cs="宋体"/>
                <w:b/>
                <w:bCs w:val="0"/>
                <w:smallCaps w:val="0"/>
                <w:color w:val="auto"/>
                <w:sz w:val="21"/>
                <w:szCs w:val="21"/>
                <w:highlight w:val="none"/>
              </w:rPr>
              <w:t xml:space="preserve">   单位：mg/m</w:t>
            </w:r>
            <w:r>
              <w:rPr>
                <w:rFonts w:hint="eastAsia" w:ascii="宋体" w:hAnsi="宋体" w:eastAsia="宋体" w:cs="宋体"/>
                <w:b/>
                <w:bCs w:val="0"/>
                <w:smallCaps w:val="0"/>
                <w:color w:val="auto"/>
                <w:sz w:val="21"/>
                <w:szCs w:val="21"/>
                <w:highlight w:val="none"/>
                <w:vertAlign w:val="superscript"/>
              </w:rPr>
              <w:t>3</w:t>
            </w:r>
          </w:p>
          <w:tbl>
            <w:tblPr>
              <w:tblStyle w:val="33"/>
              <w:tblW w:w="81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246"/>
              <w:gridCol w:w="3907"/>
              <w:gridCol w:w="2031"/>
            </w:tblGrid>
            <w:tr w14:paraId="7DC9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9" w:type="dxa"/>
                  <w:vMerge w:val="restart"/>
                  <w:noWrap w:val="0"/>
                  <w:vAlign w:val="center"/>
                </w:tcPr>
                <w:p w14:paraId="45F22520">
                  <w:pPr>
                    <w:pStyle w:val="28"/>
                    <w:widowControl w:val="0"/>
                    <w:spacing w:before="0" w:beforeAutospacing="0" w:after="0" w:afterAutospacing="0" w:line="240" w:lineRule="auto"/>
                    <w:ind w:firstLine="0" w:firstLineChars="0"/>
                    <w:jc w:val="center"/>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序号</w:t>
                  </w:r>
                </w:p>
              </w:tc>
              <w:tc>
                <w:tcPr>
                  <w:tcW w:w="1253" w:type="dxa"/>
                  <w:vMerge w:val="restart"/>
                  <w:noWrap w:val="0"/>
                  <w:vAlign w:val="center"/>
                </w:tcPr>
                <w:p w14:paraId="2B18EFA0">
                  <w:pPr>
                    <w:pStyle w:val="28"/>
                    <w:widowControl w:val="0"/>
                    <w:spacing w:before="0" w:beforeAutospacing="0" w:after="0" w:afterAutospacing="0" w:line="240" w:lineRule="auto"/>
                    <w:ind w:firstLine="0" w:firstLineChars="0"/>
                    <w:jc w:val="center"/>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污染物</w:t>
                  </w:r>
                </w:p>
              </w:tc>
              <w:tc>
                <w:tcPr>
                  <w:tcW w:w="5972" w:type="dxa"/>
                  <w:gridSpan w:val="2"/>
                  <w:noWrap w:val="0"/>
                  <w:vAlign w:val="center"/>
                </w:tcPr>
                <w:p w14:paraId="3D850950">
                  <w:pPr>
                    <w:pStyle w:val="28"/>
                    <w:widowControl w:val="0"/>
                    <w:spacing w:before="0" w:beforeAutospacing="0" w:after="0" w:afterAutospacing="0" w:line="240" w:lineRule="auto"/>
                    <w:ind w:firstLine="0" w:firstLineChars="0"/>
                    <w:jc w:val="center"/>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无组织排放监控浓度</w:t>
                  </w:r>
                </w:p>
              </w:tc>
            </w:tr>
            <w:tr w14:paraId="62E55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9" w:type="dxa"/>
                  <w:vMerge w:val="continue"/>
                  <w:noWrap w:val="0"/>
                  <w:vAlign w:val="center"/>
                </w:tcPr>
                <w:p w14:paraId="311120CB">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p>
              </w:tc>
              <w:tc>
                <w:tcPr>
                  <w:tcW w:w="1253" w:type="dxa"/>
                  <w:vMerge w:val="continue"/>
                  <w:noWrap w:val="0"/>
                  <w:vAlign w:val="center"/>
                </w:tcPr>
                <w:p w14:paraId="765525C4">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p>
              </w:tc>
              <w:tc>
                <w:tcPr>
                  <w:tcW w:w="3930" w:type="dxa"/>
                  <w:noWrap w:val="0"/>
                  <w:vAlign w:val="center"/>
                </w:tcPr>
                <w:p w14:paraId="2225D63C">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监控点</w:t>
                  </w:r>
                </w:p>
              </w:tc>
              <w:tc>
                <w:tcPr>
                  <w:tcW w:w="2042" w:type="dxa"/>
                  <w:noWrap w:val="0"/>
                  <w:vAlign w:val="center"/>
                </w:tcPr>
                <w:p w14:paraId="55C65F64">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浓度</w:t>
                  </w:r>
                </w:p>
              </w:tc>
            </w:tr>
            <w:tr w14:paraId="21B05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9" w:type="dxa"/>
                  <w:noWrap w:val="0"/>
                  <w:vAlign w:val="center"/>
                </w:tcPr>
                <w:p w14:paraId="57174825">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w:t>
                  </w:r>
                </w:p>
              </w:tc>
              <w:tc>
                <w:tcPr>
                  <w:tcW w:w="1253" w:type="dxa"/>
                  <w:noWrap w:val="0"/>
                  <w:vAlign w:val="center"/>
                </w:tcPr>
                <w:p w14:paraId="6186B035">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颗粒物</w:t>
                  </w:r>
                </w:p>
              </w:tc>
              <w:tc>
                <w:tcPr>
                  <w:tcW w:w="3930" w:type="dxa"/>
                  <w:noWrap w:val="0"/>
                  <w:vAlign w:val="center"/>
                </w:tcPr>
                <w:p w14:paraId="0F624A9F">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周界外浓度最高点</w:t>
                  </w:r>
                </w:p>
              </w:tc>
              <w:tc>
                <w:tcPr>
                  <w:tcW w:w="2042" w:type="dxa"/>
                  <w:noWrap w:val="0"/>
                  <w:vAlign w:val="center"/>
                </w:tcPr>
                <w:p w14:paraId="23252B09">
                  <w:pPr>
                    <w:pStyle w:val="28"/>
                    <w:widowControl w:val="0"/>
                    <w:spacing w:before="0" w:beforeAutospacing="0" w:after="0" w:afterAutospacing="0" w:line="240" w:lineRule="auto"/>
                    <w:ind w:firstLine="0" w:firstLineChars="0"/>
                    <w:jc w:val="center"/>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1.0</w:t>
                  </w:r>
                </w:p>
              </w:tc>
            </w:tr>
          </w:tbl>
          <w:p w14:paraId="535832FD">
            <w:pPr>
              <w:adjustRightInd w:val="0"/>
              <w:ind w:firstLine="482"/>
              <w:textAlignment w:val="baseline"/>
              <w:rPr>
                <w:rFonts w:hint="eastAsia" w:ascii="宋体" w:hAnsi="宋体" w:eastAsia="宋体" w:cs="宋体"/>
                <w:b w:val="0"/>
                <w:bCs/>
                <w:smallCaps w:val="0"/>
                <w:color w:val="auto"/>
                <w:highlight w:val="yellow"/>
                <w:lang w:val="en-US" w:eastAsia="zh-CN"/>
              </w:rPr>
            </w:pPr>
            <w:r>
              <w:rPr>
                <w:rFonts w:hint="eastAsia" w:ascii="宋体" w:hAnsi="宋体" w:eastAsia="宋体" w:cs="宋体"/>
                <w:b w:val="0"/>
                <w:bCs/>
                <w:smallCaps w:val="0"/>
                <w:color w:val="auto"/>
                <w:highlight w:val="yellow"/>
                <w:lang w:val="en-US" w:eastAsia="zh-CN"/>
              </w:rPr>
              <w:t>项目运行期车辆行驶尾气执行《轻型汽车污染物排放限值及测量方法（中国第六阶段）》（GB18352.6—2016代替 GB18352.5—2013）、《</w:t>
            </w:r>
            <w:r>
              <w:rPr>
                <w:rFonts w:hint="eastAsia" w:ascii="宋体" w:hAnsi="宋体" w:eastAsia="宋体" w:cs="宋体"/>
                <w:b w:val="0"/>
                <w:bCs/>
                <w:smallCaps w:val="0"/>
                <w:color w:val="auto"/>
                <w:highlight w:val="yellow"/>
                <w:lang w:val="en-US" w:eastAsia="zh-CN"/>
              </w:rPr>
              <w:fldChar w:fldCharType="begin"/>
            </w:r>
            <w:r>
              <w:rPr>
                <w:rFonts w:hint="eastAsia" w:ascii="宋体" w:hAnsi="宋体" w:eastAsia="宋体" w:cs="宋体"/>
                <w:b w:val="0"/>
                <w:bCs/>
                <w:smallCaps w:val="0"/>
                <w:color w:val="auto"/>
                <w:highlight w:val="yellow"/>
                <w:lang w:val="en-US" w:eastAsia="zh-CN"/>
              </w:rPr>
              <w:instrText xml:space="preserve"> HYPERLINK "https://www.mee.gov.cn/ywgz/fgbz/bz/bzwb/dqhjbh/dqydywrwpfbz/201807/W020180703397013304274.pdf" </w:instrText>
            </w:r>
            <w:r>
              <w:rPr>
                <w:rFonts w:hint="eastAsia" w:ascii="宋体" w:hAnsi="宋体" w:eastAsia="宋体" w:cs="宋体"/>
                <w:b w:val="0"/>
                <w:bCs/>
                <w:smallCaps w:val="0"/>
                <w:color w:val="auto"/>
                <w:highlight w:val="yellow"/>
                <w:lang w:val="en-US" w:eastAsia="zh-CN"/>
              </w:rPr>
              <w:fldChar w:fldCharType="separate"/>
            </w:r>
            <w:r>
              <w:rPr>
                <w:rFonts w:hint="eastAsia" w:ascii="宋体" w:hAnsi="宋体" w:eastAsia="宋体" w:cs="宋体"/>
                <w:b w:val="0"/>
                <w:bCs/>
                <w:smallCaps w:val="0"/>
                <w:color w:val="auto"/>
                <w:highlight w:val="yellow"/>
                <w:lang w:val="en-US" w:eastAsia="zh-CN"/>
              </w:rPr>
              <w:t>重型柴油车污染物排放限值及测量方法（中国第六阶段）》(GB 17691—2018代替GB 17691-2005)</w:t>
            </w:r>
            <w:r>
              <w:rPr>
                <w:rFonts w:hint="eastAsia" w:ascii="宋体" w:hAnsi="宋体" w:eastAsia="宋体" w:cs="宋体"/>
                <w:b w:val="0"/>
                <w:bCs/>
                <w:smallCaps w:val="0"/>
                <w:color w:val="auto"/>
                <w:highlight w:val="yellow"/>
                <w:lang w:val="en-US" w:eastAsia="zh-CN"/>
              </w:rPr>
              <w:fldChar w:fldCharType="end"/>
            </w:r>
            <w:r>
              <w:rPr>
                <w:rFonts w:hint="eastAsia" w:ascii="宋体" w:hAnsi="宋体" w:eastAsia="宋体" w:cs="宋体"/>
                <w:b w:val="0"/>
                <w:bCs/>
                <w:smallCaps w:val="0"/>
                <w:color w:val="auto"/>
                <w:highlight w:val="yellow"/>
                <w:lang w:val="en-US" w:eastAsia="zh-CN"/>
              </w:rPr>
              <w:t>。车辆行驶扬尘TSP执行</w:t>
            </w:r>
            <w:r>
              <w:rPr>
                <w:rFonts w:hint="eastAsia" w:ascii="宋体" w:hAnsi="宋体" w:eastAsia="宋体" w:cs="宋体"/>
                <w:smallCaps w:val="0"/>
                <w:color w:val="auto"/>
                <w:highlight w:val="yellow"/>
              </w:rPr>
              <w:t>《环境空气质量标准》（GB3095</w:t>
            </w:r>
            <w:r>
              <w:rPr>
                <w:rFonts w:hint="eastAsia" w:ascii="宋体" w:hAnsi="宋体" w:eastAsia="宋体" w:cs="宋体"/>
                <w:smallCaps w:val="0"/>
                <w:color w:val="auto"/>
                <w:highlight w:val="yellow"/>
              </w:rPr>
              <w:sym w:font="Symbol" w:char="F02D"/>
            </w:r>
            <w:r>
              <w:rPr>
                <w:rFonts w:hint="eastAsia" w:ascii="宋体" w:hAnsi="宋体" w:eastAsia="宋体" w:cs="宋体"/>
                <w:smallCaps w:val="0"/>
                <w:color w:val="auto"/>
                <w:highlight w:val="yellow"/>
              </w:rPr>
              <w:t>2012）二级标准的浓度限值</w:t>
            </w:r>
            <w:r>
              <w:rPr>
                <w:rFonts w:hint="eastAsia" w:ascii="宋体" w:hAnsi="宋体" w:eastAsia="宋体" w:cs="宋体"/>
                <w:smallCaps w:val="0"/>
                <w:color w:val="auto"/>
                <w:highlight w:val="yellow"/>
                <w:lang w:eastAsia="zh-CN"/>
              </w:rPr>
              <w:t>。</w:t>
            </w:r>
          </w:p>
          <w:p w14:paraId="53E4EEB4">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baseline"/>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（2）噪声</w:t>
            </w:r>
          </w:p>
          <w:p w14:paraId="5808D319">
            <w:pPr>
              <w:keepNext w:val="0"/>
              <w:keepLines w:val="0"/>
              <w:pageBreakBefore w:val="0"/>
              <w:widowControl w:val="0"/>
              <w:kinsoku/>
              <w:wordWrap/>
              <w:overflowPunct/>
              <w:topLinePunct w:val="0"/>
              <w:autoSpaceDE/>
              <w:autoSpaceDN/>
              <w:bidi w:val="0"/>
              <w:snapToGrid/>
              <w:spacing w:line="360" w:lineRule="auto"/>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本项目施工期噪声执行《建筑施工场界环境噪声排放标准》（GB12523-2011）要求。</w:t>
            </w:r>
          </w:p>
          <w:p w14:paraId="3E85DD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smallCaps w:val="0"/>
                <w:color w:val="auto"/>
                <w:sz w:val="21"/>
                <w:szCs w:val="21"/>
                <w:highlight w:val="none"/>
              </w:rPr>
            </w:pPr>
            <w:r>
              <w:rPr>
                <w:rFonts w:hint="eastAsia" w:ascii="宋体" w:hAnsi="宋体" w:eastAsia="宋体" w:cs="宋体"/>
                <w:b/>
                <w:smallCaps w:val="0"/>
                <w:color w:val="auto"/>
                <w:sz w:val="21"/>
                <w:szCs w:val="21"/>
                <w:highlight w:val="none"/>
              </w:rPr>
              <w:t>表3-</w:t>
            </w:r>
            <w:r>
              <w:rPr>
                <w:rFonts w:hint="eastAsia" w:ascii="宋体" w:hAnsi="宋体" w:eastAsia="宋体" w:cs="宋体"/>
                <w:b/>
                <w:smallCaps w:val="0"/>
                <w:color w:val="auto"/>
                <w:sz w:val="21"/>
                <w:szCs w:val="21"/>
                <w:highlight w:val="none"/>
                <w:lang w:val="en-US" w:eastAsia="zh-CN"/>
              </w:rPr>
              <w:t>8</w:t>
            </w:r>
            <w:r>
              <w:rPr>
                <w:rFonts w:hint="eastAsia" w:ascii="宋体" w:hAnsi="宋体" w:eastAsia="宋体" w:cs="宋体"/>
                <w:b/>
                <w:smallCaps w:val="0"/>
                <w:color w:val="auto"/>
                <w:sz w:val="21"/>
                <w:szCs w:val="21"/>
                <w:highlight w:val="none"/>
              </w:rPr>
              <w:t xml:space="preserve"> 《建筑施工场界环境噪声排放标准》</w:t>
            </w:r>
          </w:p>
          <w:tbl>
            <w:tblPr>
              <w:tblStyle w:val="33"/>
              <w:tblW w:w="80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47"/>
              <w:gridCol w:w="1481"/>
              <w:gridCol w:w="1374"/>
              <w:gridCol w:w="1976"/>
            </w:tblGrid>
            <w:tr w14:paraId="09B36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exact"/>
                <w:jc w:val="center"/>
              </w:trPr>
              <w:tc>
                <w:tcPr>
                  <w:tcW w:w="3247" w:type="dxa"/>
                  <w:noWrap w:val="0"/>
                  <w:vAlign w:val="center"/>
                </w:tcPr>
                <w:p w14:paraId="23AF598B">
                  <w:pPr>
                    <w:spacing w:line="240" w:lineRule="auto"/>
                    <w:ind w:firstLine="0" w:firstLineChars="0"/>
                    <w:jc w:val="center"/>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标准来源</w:t>
                  </w:r>
                </w:p>
              </w:tc>
              <w:tc>
                <w:tcPr>
                  <w:tcW w:w="1481" w:type="dxa"/>
                  <w:noWrap w:val="0"/>
                  <w:vAlign w:val="center"/>
                </w:tcPr>
                <w:p w14:paraId="1C3AEA43">
                  <w:pPr>
                    <w:spacing w:line="240" w:lineRule="auto"/>
                    <w:ind w:firstLine="0" w:firstLineChars="0"/>
                    <w:jc w:val="center"/>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单位</w:t>
                  </w:r>
                </w:p>
              </w:tc>
              <w:tc>
                <w:tcPr>
                  <w:tcW w:w="1374" w:type="dxa"/>
                  <w:noWrap w:val="0"/>
                  <w:vAlign w:val="center"/>
                </w:tcPr>
                <w:p w14:paraId="40A9C67E">
                  <w:pPr>
                    <w:spacing w:line="240" w:lineRule="auto"/>
                    <w:ind w:firstLine="0" w:firstLineChars="0"/>
                    <w:jc w:val="center"/>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昼间</w:t>
                  </w:r>
                </w:p>
              </w:tc>
              <w:tc>
                <w:tcPr>
                  <w:tcW w:w="1976" w:type="dxa"/>
                  <w:noWrap w:val="0"/>
                  <w:vAlign w:val="center"/>
                </w:tcPr>
                <w:p w14:paraId="7A11DF69">
                  <w:pPr>
                    <w:spacing w:line="240" w:lineRule="auto"/>
                    <w:ind w:firstLine="0" w:firstLineChars="0"/>
                    <w:jc w:val="center"/>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rPr>
                    <w:t>夜间</w:t>
                  </w:r>
                </w:p>
              </w:tc>
            </w:tr>
            <w:tr w14:paraId="44224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exact"/>
                <w:jc w:val="center"/>
              </w:trPr>
              <w:tc>
                <w:tcPr>
                  <w:tcW w:w="3247" w:type="dxa"/>
                  <w:noWrap w:val="0"/>
                  <w:vAlign w:val="center"/>
                </w:tcPr>
                <w:p w14:paraId="6E558897">
                  <w:pPr>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《建筑施工场界环境噪声排放标准》（GB12523-2011）要求</w:t>
                  </w:r>
                </w:p>
              </w:tc>
              <w:tc>
                <w:tcPr>
                  <w:tcW w:w="1481" w:type="dxa"/>
                  <w:noWrap w:val="0"/>
                  <w:vAlign w:val="center"/>
                </w:tcPr>
                <w:p w14:paraId="3F70198C">
                  <w:pPr>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dB(A)</w:t>
                  </w:r>
                </w:p>
              </w:tc>
              <w:tc>
                <w:tcPr>
                  <w:tcW w:w="1374" w:type="dxa"/>
                  <w:noWrap w:val="0"/>
                  <w:vAlign w:val="center"/>
                </w:tcPr>
                <w:p w14:paraId="0BAB0F8C">
                  <w:pPr>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70</w:t>
                  </w:r>
                </w:p>
              </w:tc>
              <w:tc>
                <w:tcPr>
                  <w:tcW w:w="1976" w:type="dxa"/>
                  <w:noWrap w:val="0"/>
                  <w:vAlign w:val="center"/>
                </w:tcPr>
                <w:p w14:paraId="407B2C95">
                  <w:pPr>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55</w:t>
                  </w:r>
                </w:p>
              </w:tc>
            </w:tr>
          </w:tbl>
          <w:p w14:paraId="46507E10">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baseline"/>
              <w:rPr>
                <w:rFonts w:hint="eastAsia" w:ascii="宋体" w:hAnsi="宋体" w:eastAsia="宋体" w:cs="宋体"/>
                <w:b/>
                <w:smallCaps w:val="0"/>
                <w:color w:val="auto"/>
                <w:highlight w:val="none"/>
              </w:rPr>
            </w:pPr>
            <w:r>
              <w:rPr>
                <w:rFonts w:hint="eastAsia" w:ascii="宋体" w:hAnsi="宋体" w:eastAsia="宋体" w:cs="宋体"/>
                <w:b/>
                <w:smallCaps w:val="0"/>
                <w:color w:val="auto"/>
                <w:highlight w:val="none"/>
              </w:rPr>
              <w:t>（</w:t>
            </w:r>
            <w:r>
              <w:rPr>
                <w:rFonts w:hint="eastAsia" w:ascii="宋体" w:hAnsi="宋体" w:eastAsia="宋体" w:cs="宋体"/>
                <w:b/>
                <w:smallCaps w:val="0"/>
                <w:color w:val="auto"/>
                <w:highlight w:val="none"/>
                <w:lang w:val="en-US" w:eastAsia="zh-CN"/>
              </w:rPr>
              <w:t>3</w:t>
            </w:r>
            <w:r>
              <w:rPr>
                <w:rFonts w:hint="eastAsia" w:ascii="宋体" w:hAnsi="宋体" w:eastAsia="宋体" w:cs="宋体"/>
                <w:b/>
                <w:smallCaps w:val="0"/>
                <w:color w:val="auto"/>
                <w:highlight w:val="none"/>
              </w:rPr>
              <w:t>）固体废物</w:t>
            </w:r>
          </w:p>
          <w:p w14:paraId="17830BCC">
            <w:pPr>
              <w:ind w:firstLine="480"/>
              <w:jc w:val="left"/>
              <w:rPr>
                <w:rFonts w:hint="eastAsia" w:ascii="宋体" w:hAnsi="宋体" w:eastAsia="宋体" w:cs="宋体"/>
                <w:smallCaps w:val="0"/>
                <w:color w:val="auto"/>
                <w:szCs w:val="21"/>
                <w:highlight w:val="none"/>
                <w:lang w:eastAsia="zh-CN"/>
              </w:rPr>
            </w:pPr>
            <w:r>
              <w:rPr>
                <w:rFonts w:hint="eastAsia" w:ascii="宋体" w:hAnsi="宋体" w:eastAsia="宋体" w:cs="宋体"/>
                <w:smallCaps w:val="0"/>
                <w:color w:val="auto"/>
                <w:kern w:val="0"/>
                <w:szCs w:val="21"/>
                <w:highlight w:val="none"/>
              </w:rPr>
              <w:t>一般工业固体废物执行《一般工业固体废物贮存和填埋污染控制标准》（GB 18599-2020）</w:t>
            </w:r>
            <w:r>
              <w:rPr>
                <w:rFonts w:hint="eastAsia" w:ascii="宋体" w:hAnsi="宋体" w:eastAsia="宋体" w:cs="宋体"/>
                <w:smallCaps w:val="0"/>
                <w:color w:val="auto"/>
                <w:highlight w:val="none"/>
              </w:rPr>
              <w:t>。</w:t>
            </w:r>
            <w:r>
              <w:rPr>
                <w:rFonts w:hint="eastAsia" w:ascii="宋体" w:hAnsi="宋体" w:eastAsia="宋体" w:cs="宋体"/>
                <w:smallCaps w:val="0"/>
                <w:color w:val="auto"/>
                <w:szCs w:val="21"/>
                <w:highlight w:val="none"/>
              </w:rPr>
              <w:t>《一般固体废物分类与代码》（GB/T39198-2020）</w:t>
            </w:r>
            <w:r>
              <w:rPr>
                <w:rFonts w:hint="eastAsia" w:ascii="宋体" w:hAnsi="宋体" w:eastAsia="宋体" w:cs="宋体"/>
                <w:smallCaps w:val="0"/>
                <w:color w:val="auto"/>
                <w:szCs w:val="21"/>
                <w:highlight w:val="none"/>
                <w:lang w:eastAsia="zh-CN"/>
              </w:rPr>
              <w:t>。</w:t>
            </w:r>
          </w:p>
          <w:p w14:paraId="21FCD3D1">
            <w:pPr>
              <w:ind w:firstLine="480"/>
              <w:jc w:val="left"/>
              <w:rPr>
                <w:rFonts w:hint="eastAsia" w:ascii="宋体" w:hAnsi="宋体" w:eastAsia="宋体" w:cs="宋体"/>
                <w:b/>
                <w:bCs/>
                <w:smallCaps w:val="0"/>
                <w:color w:val="auto"/>
                <w:szCs w:val="21"/>
                <w:highlight w:val="yellow"/>
                <w:lang w:val="en-US" w:eastAsia="zh-CN"/>
              </w:rPr>
            </w:pPr>
            <w:r>
              <w:rPr>
                <w:rFonts w:hint="eastAsia" w:ascii="宋体" w:hAnsi="宋体" w:eastAsia="宋体" w:cs="宋体"/>
                <w:b/>
                <w:bCs/>
                <w:smallCaps w:val="0"/>
                <w:color w:val="auto"/>
                <w:szCs w:val="21"/>
                <w:highlight w:val="yellow"/>
                <w:lang w:eastAsia="zh-CN"/>
              </w:rPr>
              <w:t>（</w:t>
            </w:r>
            <w:r>
              <w:rPr>
                <w:rFonts w:hint="eastAsia" w:ascii="宋体" w:hAnsi="宋体" w:eastAsia="宋体" w:cs="宋体"/>
                <w:b/>
                <w:bCs/>
                <w:smallCaps w:val="0"/>
                <w:color w:val="auto"/>
                <w:szCs w:val="21"/>
                <w:highlight w:val="yellow"/>
                <w:lang w:val="en-US" w:eastAsia="zh-CN"/>
              </w:rPr>
              <w:t>4</w:t>
            </w:r>
            <w:r>
              <w:rPr>
                <w:rFonts w:hint="eastAsia" w:ascii="宋体" w:hAnsi="宋体" w:eastAsia="宋体" w:cs="宋体"/>
                <w:b/>
                <w:bCs/>
                <w:smallCaps w:val="0"/>
                <w:color w:val="auto"/>
                <w:szCs w:val="21"/>
                <w:highlight w:val="yellow"/>
                <w:lang w:eastAsia="zh-CN"/>
              </w:rPr>
              <w:t>）</w:t>
            </w:r>
            <w:r>
              <w:rPr>
                <w:rFonts w:hint="eastAsia" w:ascii="宋体" w:hAnsi="宋体" w:eastAsia="宋体" w:cs="宋体"/>
                <w:b/>
                <w:bCs/>
                <w:smallCaps w:val="0"/>
                <w:color w:val="auto"/>
                <w:szCs w:val="21"/>
                <w:highlight w:val="yellow"/>
                <w:lang w:val="en-US" w:eastAsia="zh-CN"/>
              </w:rPr>
              <w:t>废水</w:t>
            </w:r>
          </w:p>
          <w:p w14:paraId="0DB287E8">
            <w:pPr>
              <w:ind w:firstLine="480"/>
              <w:jc w:val="left"/>
              <w:rPr>
                <w:rFonts w:hint="eastAsia" w:ascii="宋体" w:hAnsi="宋体" w:eastAsia="宋体" w:cs="宋体"/>
                <w:smallCaps w:val="0"/>
                <w:color w:val="auto"/>
                <w:szCs w:val="21"/>
                <w:highlight w:val="none"/>
                <w:lang w:val="en-US" w:eastAsia="zh-CN"/>
              </w:rPr>
            </w:pPr>
            <w:r>
              <w:rPr>
                <w:rFonts w:hint="eastAsia" w:ascii="宋体" w:hAnsi="宋体" w:eastAsia="宋体" w:cs="宋体"/>
                <w:smallCaps w:val="0"/>
                <w:color w:val="auto"/>
                <w:szCs w:val="21"/>
                <w:highlight w:val="yellow"/>
                <w:lang w:val="en-US" w:eastAsia="zh-CN"/>
              </w:rPr>
              <w:t>本项目施工期产生的废水主要为施工人员生活污水和车辆冲洗废水。生活污水依托南侧平房居民防渗旱厕。车辆冲洗水经沉淀池沉淀后回用车辆冲洗，本项目施工期废水不外排放，因此本项目无废水排放执行标准。</w:t>
            </w:r>
          </w:p>
        </w:tc>
      </w:tr>
      <w:tr w14:paraId="0B898B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8" w:hRule="atLeast"/>
          <w:jc w:val="center"/>
        </w:trPr>
        <w:tc>
          <w:tcPr>
            <w:tcW w:w="694" w:type="dxa"/>
            <w:noWrap w:val="0"/>
            <w:vAlign w:val="center"/>
          </w:tcPr>
          <w:p w14:paraId="24ABECDE">
            <w:pPr>
              <w:ind w:left="0" w:leftChars="0" w:firstLine="0" w:firstLineChars="0"/>
              <w:jc w:val="center"/>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Cs w:val="21"/>
                <w:highlight w:val="none"/>
              </w:rPr>
              <w:t>其他</w:t>
            </w:r>
          </w:p>
        </w:tc>
        <w:tc>
          <w:tcPr>
            <w:tcW w:w="8378" w:type="dxa"/>
            <w:noWrap w:val="0"/>
            <w:vAlign w:val="center"/>
          </w:tcPr>
          <w:p w14:paraId="366311E4">
            <w:pPr>
              <w:ind w:left="0" w:leftChars="0" w:firstLine="0" w:firstLineChars="0"/>
              <w:jc w:val="center"/>
              <w:rPr>
                <w:rFonts w:hint="eastAsia" w:ascii="宋体" w:hAnsi="宋体" w:eastAsia="宋体" w:cs="宋体"/>
                <w:smallCaps w:val="0"/>
                <w:color w:val="auto"/>
                <w:kern w:val="0"/>
                <w:szCs w:val="21"/>
                <w:highlight w:val="none"/>
              </w:rPr>
            </w:pPr>
            <w:r>
              <w:rPr>
                <w:rFonts w:hint="eastAsia" w:ascii="宋体" w:hAnsi="宋体" w:eastAsia="宋体" w:cs="宋体"/>
                <w:smallCaps w:val="0"/>
                <w:color w:val="auto"/>
                <w:kern w:val="0"/>
                <w:szCs w:val="21"/>
                <w:highlight w:val="none"/>
              </w:rPr>
              <w:t>无</w:t>
            </w:r>
          </w:p>
        </w:tc>
      </w:tr>
    </w:tbl>
    <w:p w14:paraId="1E240A20">
      <w:pPr>
        <w:pStyle w:val="4"/>
        <w:rPr>
          <w:rFonts w:hint="eastAsia" w:ascii="宋体" w:hAnsi="宋体" w:eastAsia="宋体" w:cs="宋体"/>
          <w:smallCaps w:val="0"/>
          <w:color w:val="auto"/>
          <w:highlight w:val="none"/>
        </w:rPr>
      </w:pPr>
      <w:bookmarkStart w:id="9" w:name="_Toc68880310"/>
      <w:r>
        <w:rPr>
          <w:rFonts w:hint="eastAsia" w:ascii="宋体" w:hAnsi="宋体" w:eastAsia="宋体" w:cs="宋体"/>
          <w:smallCaps w:val="0"/>
          <w:color w:val="auto"/>
          <w:highlight w:val="none"/>
        </w:rPr>
        <w:br w:type="page"/>
      </w:r>
      <w:r>
        <w:rPr>
          <w:rFonts w:hint="eastAsia" w:ascii="宋体" w:hAnsi="宋体" w:eastAsia="宋体" w:cs="宋体"/>
          <w:smallCaps w:val="0"/>
          <w:color w:val="auto"/>
          <w:highlight w:val="none"/>
        </w:rPr>
        <w:t>四、生态环境影响分析</w:t>
      </w:r>
      <w:bookmarkEnd w:id="9"/>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253"/>
      </w:tblGrid>
      <w:tr w14:paraId="07BCF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noWrap w:val="0"/>
            <w:tcMar>
              <w:left w:w="28" w:type="dxa"/>
              <w:right w:w="28" w:type="dxa"/>
            </w:tcMar>
            <w:vAlign w:val="center"/>
          </w:tcPr>
          <w:p w14:paraId="35A665C6">
            <w:pPr>
              <w:pStyle w:val="28"/>
              <w:adjustRightInd w:val="0"/>
              <w:snapToGrid w:val="0"/>
              <w:spacing w:before="0" w:beforeAutospacing="0" w:after="0" w:afterAutospacing="0"/>
              <w:ind w:firstLine="0" w:firstLineChars="0"/>
              <w:jc w:val="center"/>
              <w:rPr>
                <w:rFonts w:hint="eastAsia" w:ascii="宋体" w:hAnsi="宋体" w:eastAsia="宋体" w:cs="宋体"/>
                <w:bCs/>
                <w:smallCaps w:val="0"/>
                <w:color w:val="auto"/>
                <w:kern w:val="2"/>
                <w:sz w:val="21"/>
                <w:szCs w:val="21"/>
                <w:highlight w:val="none"/>
                <w:lang w:val="en-US" w:eastAsia="zh-CN"/>
              </w:rPr>
            </w:pPr>
            <w:bookmarkStart w:id="10" w:name="_Hlk49796138"/>
            <w:r>
              <w:rPr>
                <w:rFonts w:hint="eastAsia" w:ascii="宋体" w:hAnsi="宋体" w:eastAsia="宋体" w:cs="宋体"/>
                <w:bCs/>
                <w:smallCaps w:val="0"/>
                <w:color w:val="auto"/>
                <w:kern w:val="2"/>
                <w:sz w:val="21"/>
                <w:szCs w:val="21"/>
                <w:highlight w:val="none"/>
                <w:lang w:val="en-US" w:eastAsia="zh-CN"/>
              </w:rPr>
              <w:t>施工期生态环境影响分析</w:t>
            </w:r>
            <w:bookmarkEnd w:id="10"/>
          </w:p>
        </w:tc>
        <w:tc>
          <w:tcPr>
            <w:tcW w:w="8361" w:type="dxa"/>
            <w:noWrap w:val="0"/>
            <w:vAlign w:val="top"/>
          </w:tcPr>
          <w:p w14:paraId="464A374E">
            <w:pPr>
              <w:adjustRightInd w:val="0"/>
              <w:snapToGrid w:val="0"/>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一、施工期环境影响分析</w:t>
            </w:r>
          </w:p>
          <w:p w14:paraId="3B538869">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1、施工期水环境影响分析</w:t>
            </w:r>
          </w:p>
          <w:p w14:paraId="327FDA41">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本项目施工期产生的污水主要为施工废水</w:t>
            </w:r>
            <w:r>
              <w:rPr>
                <w:rFonts w:hint="eastAsia" w:ascii="宋体" w:hAnsi="宋体" w:cs="宋体"/>
                <w:color w:val="auto"/>
                <w:highlight w:val="none"/>
                <w:lang w:val="en-US" w:eastAsia="zh-CN"/>
              </w:rPr>
              <w:t>、</w:t>
            </w:r>
            <w:r>
              <w:rPr>
                <w:rFonts w:hint="eastAsia" w:ascii="宋体" w:hAnsi="宋体" w:eastAsia="宋体" w:cs="宋体"/>
                <w:color w:val="auto"/>
                <w:highlight w:val="none"/>
                <w:lang w:val="en-US" w:eastAsia="zh-CN"/>
              </w:rPr>
              <w:t>施工工人产生的生活污水</w:t>
            </w:r>
            <w:r>
              <w:rPr>
                <w:rFonts w:hint="eastAsia" w:ascii="宋体" w:hAnsi="宋体" w:cs="宋体"/>
                <w:color w:val="auto"/>
                <w:highlight w:val="none"/>
                <w:lang w:val="en-US" w:eastAsia="zh-CN"/>
              </w:rPr>
              <w:t>、</w:t>
            </w:r>
            <w:r>
              <w:rPr>
                <w:rFonts w:hint="eastAsia" w:ascii="宋体" w:hAnsi="宋体" w:eastAsia="宋体" w:cs="宋体"/>
                <w:bCs/>
                <w:color w:val="auto"/>
                <w:spacing w:val="0"/>
                <w:sz w:val="24"/>
                <w:highlight w:val="none"/>
              </w:rPr>
              <w:t>运输车辆冲洗废水</w:t>
            </w:r>
            <w:r>
              <w:rPr>
                <w:rFonts w:hint="eastAsia" w:ascii="宋体" w:hAnsi="宋体" w:cs="宋体"/>
                <w:bCs/>
                <w:color w:val="auto"/>
                <w:spacing w:val="0"/>
                <w:sz w:val="24"/>
                <w:highlight w:val="none"/>
                <w:lang w:val="en-US" w:eastAsia="zh-CN"/>
              </w:rPr>
              <w:t>及</w:t>
            </w:r>
            <w:r>
              <w:rPr>
                <w:rFonts w:hint="eastAsia" w:ascii="宋体" w:hAnsi="宋体" w:eastAsia="宋体" w:cs="宋体"/>
                <w:bCs/>
                <w:color w:val="auto"/>
                <w:spacing w:val="0"/>
                <w:sz w:val="24"/>
                <w:highlight w:val="none"/>
              </w:rPr>
              <w:t>施工机械、车辆检修、维护过程中产生一定量的含油废水</w:t>
            </w:r>
            <w:r>
              <w:rPr>
                <w:rFonts w:hint="eastAsia" w:ascii="宋体" w:hAnsi="宋体" w:eastAsia="宋体" w:cs="宋体"/>
                <w:color w:val="auto"/>
                <w:highlight w:val="none"/>
                <w:lang w:val="en-US" w:eastAsia="zh-CN"/>
              </w:rPr>
              <w:t>。</w:t>
            </w:r>
          </w:p>
          <w:p w14:paraId="285A3567">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①施工废水</w:t>
            </w:r>
          </w:p>
          <w:p w14:paraId="1CDEB03E">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本项目施工期使用的混凝土和水泥砂浆不在现场预制，均为外购成品。施工期产生的施工废水为水泥路面养护废水及暴雨冲刷引起的地表径流。主要污染物为悬浮物。</w:t>
            </w:r>
          </w:p>
          <w:p w14:paraId="1B237DF7">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②生活污水</w:t>
            </w:r>
          </w:p>
          <w:p w14:paraId="068F5889">
            <w:pPr>
              <w:ind w:firstLine="480"/>
              <w:rPr>
                <w:rFonts w:hint="eastAsia" w:ascii="宋体" w:hAnsi="宋体" w:eastAsia="宋体" w:cs="宋体"/>
                <w:color w:val="auto"/>
                <w:highlight w:val="yellow"/>
                <w:lang w:val="en-US" w:eastAsia="zh-CN"/>
              </w:rPr>
            </w:pPr>
            <w:r>
              <w:rPr>
                <w:rFonts w:hint="eastAsia" w:ascii="宋体" w:hAnsi="宋体" w:eastAsia="宋体" w:cs="宋体"/>
                <w:color w:val="auto"/>
                <w:highlight w:val="yellow"/>
                <w:lang w:val="en-US" w:eastAsia="zh-CN"/>
              </w:rPr>
              <w:t>根据以往施工经验，本项目预计施工期间施工人员为50人。本项目不设置施工营地，产生的生活污水主要为工人盥洗、如厕产生的废水。根据《黑龙江省地方标准〈用水定额〉（DB23/T727-2021）》，生活用水按80L/d计。本项目预计施工期共100天，则生活用水使用量为400t。排水量按用水量80%计。则施工期生活污水排水量为320t。生活污水主要污染物为COD、BOD</w:t>
            </w:r>
            <w:r>
              <w:rPr>
                <w:rFonts w:hint="eastAsia" w:ascii="宋体" w:hAnsi="宋体" w:eastAsia="宋体" w:cs="宋体"/>
                <w:color w:val="auto"/>
                <w:highlight w:val="yellow"/>
                <w:vertAlign w:val="subscript"/>
                <w:lang w:val="en-US" w:eastAsia="zh-CN"/>
              </w:rPr>
              <w:t>5</w:t>
            </w:r>
            <w:r>
              <w:rPr>
                <w:rFonts w:hint="eastAsia" w:ascii="宋体" w:hAnsi="宋体" w:eastAsia="宋体" w:cs="宋体"/>
                <w:color w:val="auto"/>
                <w:highlight w:val="yellow"/>
                <w:lang w:val="en-US" w:eastAsia="zh-CN"/>
              </w:rPr>
              <w:t>、SS、氨氮。如厕依托南侧平房居民防渗旱厕，盥洗废水经沉淀池沉淀处理后回用车辆冲洗。施工期产生的生活污水不会对地表水环境产生影响。</w:t>
            </w:r>
          </w:p>
          <w:p w14:paraId="315EA597">
            <w:pPr>
              <w:adjustRightInd w:val="0"/>
              <w:snapToGrid w:val="0"/>
              <w:spacing w:line="360" w:lineRule="auto"/>
              <w:ind w:firstLine="480" w:firstLineChars="200"/>
              <w:rPr>
                <w:rFonts w:hint="eastAsia" w:ascii="宋体" w:hAnsi="宋体" w:eastAsia="宋体" w:cs="宋体"/>
                <w:bCs/>
                <w:color w:val="auto"/>
                <w:spacing w:val="0"/>
                <w:sz w:val="24"/>
                <w:highlight w:val="yellow"/>
              </w:rPr>
            </w:pPr>
            <w:r>
              <w:rPr>
                <w:rFonts w:hint="eastAsia" w:ascii="宋体" w:hAnsi="宋体" w:cs="宋体"/>
                <w:bCs/>
                <w:color w:val="auto"/>
                <w:spacing w:val="0"/>
                <w:sz w:val="24"/>
                <w:highlight w:val="yellow"/>
                <w:lang w:val="en-US" w:eastAsia="zh-CN"/>
              </w:rPr>
              <w:t>③</w:t>
            </w:r>
            <w:r>
              <w:rPr>
                <w:rFonts w:hint="eastAsia" w:ascii="宋体" w:hAnsi="宋体" w:eastAsia="宋体" w:cs="宋体"/>
                <w:bCs/>
                <w:color w:val="auto"/>
                <w:spacing w:val="0"/>
                <w:sz w:val="24"/>
                <w:highlight w:val="yellow"/>
              </w:rPr>
              <w:t>运输车辆冲洗废水</w:t>
            </w:r>
          </w:p>
          <w:p w14:paraId="3905E6B0">
            <w:pPr>
              <w:adjustRightInd w:val="0"/>
              <w:snapToGrid w:val="0"/>
              <w:spacing w:line="360" w:lineRule="auto"/>
              <w:ind w:firstLine="480" w:firstLineChars="200"/>
              <w:rPr>
                <w:rFonts w:hint="eastAsia" w:ascii="宋体" w:hAnsi="宋体" w:eastAsia="宋体" w:cs="宋体"/>
                <w:bCs/>
                <w:color w:val="auto"/>
                <w:spacing w:val="0"/>
                <w:sz w:val="24"/>
                <w:highlight w:val="yellow"/>
              </w:rPr>
            </w:pPr>
            <w:r>
              <w:rPr>
                <w:rFonts w:hint="eastAsia" w:ascii="宋体" w:hAnsi="宋体" w:eastAsia="宋体" w:cs="宋体"/>
                <w:bCs/>
                <w:color w:val="auto"/>
                <w:spacing w:val="0"/>
                <w:sz w:val="24"/>
                <w:highlight w:val="yellow"/>
              </w:rPr>
              <w:t>施工产生的废水主要以原材料运输车辆冲洗废水为主，在施工集中的区域附近修建简易沉淀池，对运输车辆冲洗废水进行处理达标后循环使用。运输车辆冲洗废水采用间歇式自然沉淀的方式去除易沉淀的砂粒，沉淀时间不少于30分钟，在施工区布置临时沉淀池，</w:t>
            </w:r>
            <w:r>
              <w:rPr>
                <w:rFonts w:hint="eastAsia" w:ascii="宋体" w:hAnsi="宋体" w:eastAsia="宋体" w:cs="宋体"/>
                <w:bCs/>
                <w:color w:val="auto"/>
                <w:spacing w:val="0"/>
                <w:sz w:val="24"/>
                <w:highlight w:val="yellow"/>
                <w:lang w:val="en-US" w:eastAsia="zh-CN"/>
              </w:rPr>
              <w:t>沉淀池规格为6m×3m×2m。</w:t>
            </w:r>
            <w:r>
              <w:rPr>
                <w:rFonts w:hint="eastAsia" w:ascii="宋体" w:hAnsi="宋体" w:eastAsia="宋体" w:cs="宋体"/>
                <w:bCs/>
                <w:color w:val="auto"/>
                <w:spacing w:val="0"/>
                <w:sz w:val="24"/>
                <w:highlight w:val="yellow"/>
              </w:rPr>
              <w:t>施工区设置废水收集系统，</w:t>
            </w:r>
            <w:r>
              <w:rPr>
                <w:rFonts w:hint="eastAsia" w:ascii="宋体" w:hAnsi="宋体" w:eastAsia="宋体" w:cs="宋体"/>
                <w:bCs/>
                <w:color w:val="auto"/>
                <w:spacing w:val="0"/>
                <w:sz w:val="24"/>
                <w:highlight w:val="yellow"/>
                <w:lang w:val="en-US" w:eastAsia="zh-CN"/>
              </w:rPr>
              <w:t>沉淀池上方为沥水板，车辆冲洗后冲洗水进入沉淀池沉淀，冲洗水经油水分离、沉底后回用，不外排。施工结束后拆除沉淀池，恢复原有地貌。</w:t>
            </w:r>
            <w:r>
              <w:rPr>
                <w:rFonts w:hint="eastAsia" w:ascii="宋体" w:hAnsi="宋体" w:eastAsia="宋体" w:cs="宋体"/>
                <w:bCs/>
                <w:color w:val="auto"/>
                <w:spacing w:val="0"/>
                <w:sz w:val="24"/>
                <w:highlight w:val="yellow"/>
              </w:rPr>
              <w:t>施工区设置废水收集系统，集中收集沉淀后循环利用，定期清淘沉淀池中固体废弃物。</w:t>
            </w:r>
          </w:p>
          <w:p w14:paraId="2C128B7E">
            <w:pPr>
              <w:adjustRightInd w:val="0"/>
              <w:snapToGrid w:val="0"/>
              <w:spacing w:line="360" w:lineRule="auto"/>
              <w:ind w:firstLine="480" w:firstLineChars="200"/>
              <w:rPr>
                <w:rFonts w:hint="eastAsia" w:ascii="宋体" w:hAnsi="宋体" w:eastAsia="宋体" w:cs="宋体"/>
                <w:bCs/>
                <w:color w:val="auto"/>
                <w:spacing w:val="0"/>
                <w:sz w:val="24"/>
                <w:highlight w:val="yellow"/>
              </w:rPr>
            </w:pPr>
            <w:r>
              <w:rPr>
                <w:rFonts w:hint="eastAsia" w:ascii="宋体" w:hAnsi="宋体" w:cs="宋体"/>
                <w:bCs/>
                <w:color w:val="auto"/>
                <w:spacing w:val="0"/>
                <w:sz w:val="24"/>
                <w:highlight w:val="yellow"/>
                <w:lang w:val="en-US" w:eastAsia="zh-CN"/>
              </w:rPr>
              <w:t>④</w:t>
            </w:r>
            <w:r>
              <w:rPr>
                <w:rFonts w:hint="eastAsia" w:ascii="宋体" w:hAnsi="宋体" w:eastAsia="宋体" w:cs="宋体"/>
                <w:bCs/>
                <w:color w:val="auto"/>
                <w:spacing w:val="0"/>
                <w:sz w:val="24"/>
                <w:highlight w:val="yellow"/>
              </w:rPr>
              <w:t>施工机械、车辆检修、维护过程中产生一定量的含油废水；</w:t>
            </w:r>
          </w:p>
          <w:p w14:paraId="0115EBC3">
            <w:pPr>
              <w:adjustRightInd w:val="0"/>
              <w:snapToGrid w:val="0"/>
              <w:spacing w:line="360" w:lineRule="auto"/>
              <w:ind w:firstLine="480" w:firstLineChars="200"/>
              <w:rPr>
                <w:rFonts w:hint="eastAsia" w:ascii="宋体" w:hAnsi="宋体" w:eastAsia="宋体" w:cs="宋体"/>
                <w:bCs/>
                <w:color w:val="auto"/>
                <w:spacing w:val="0"/>
                <w:sz w:val="24"/>
                <w:highlight w:val="yellow"/>
              </w:rPr>
            </w:pPr>
            <w:r>
              <w:rPr>
                <w:rFonts w:hint="eastAsia" w:ascii="宋体" w:hAnsi="宋体" w:eastAsia="宋体" w:cs="宋体"/>
                <w:bCs/>
                <w:color w:val="auto"/>
                <w:spacing w:val="0"/>
                <w:sz w:val="24"/>
                <w:highlight w:val="yellow"/>
              </w:rPr>
              <w:t>根据施工进度安排，在施工区的机械及车辆维修厂</w:t>
            </w:r>
            <w:r>
              <w:rPr>
                <w:rFonts w:hint="eastAsia" w:ascii="宋体" w:hAnsi="宋体" w:eastAsia="宋体" w:cs="宋体"/>
                <w:bCs/>
                <w:color w:val="auto"/>
                <w:spacing w:val="0"/>
                <w:sz w:val="24"/>
                <w:highlight w:val="yellow"/>
                <w:lang w:val="en-US" w:eastAsia="zh-CN"/>
              </w:rPr>
              <w:t>设置集水装置</w:t>
            </w:r>
            <w:r>
              <w:rPr>
                <w:rFonts w:hint="eastAsia" w:ascii="宋体" w:hAnsi="宋体" w:eastAsia="宋体" w:cs="宋体"/>
                <w:bCs/>
                <w:color w:val="auto"/>
                <w:spacing w:val="0"/>
                <w:sz w:val="24"/>
                <w:highlight w:val="yellow"/>
              </w:rPr>
              <w:t>，收集维修废水，</w:t>
            </w:r>
            <w:r>
              <w:rPr>
                <w:rFonts w:hint="eastAsia" w:ascii="宋体" w:hAnsi="宋体" w:eastAsia="宋体" w:cs="宋体"/>
                <w:bCs/>
                <w:color w:val="auto"/>
                <w:spacing w:val="0"/>
                <w:sz w:val="24"/>
                <w:highlight w:val="yellow"/>
                <w:lang w:val="en-US" w:eastAsia="zh-CN"/>
              </w:rPr>
              <w:t>收集含油废油脂废水</w:t>
            </w:r>
            <w:r>
              <w:rPr>
                <w:rFonts w:hint="eastAsia" w:ascii="宋体" w:hAnsi="宋体" w:eastAsia="宋体" w:cs="宋体"/>
                <w:bCs/>
                <w:color w:val="auto"/>
                <w:spacing w:val="0"/>
                <w:sz w:val="24"/>
                <w:highlight w:val="yellow"/>
              </w:rPr>
              <w:t>直接交由有资质单位处置，不暂存。</w:t>
            </w:r>
          </w:p>
          <w:p w14:paraId="471DABC2">
            <w:pPr>
              <w:pStyle w:val="3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bCs/>
                <w:color w:val="auto"/>
                <w:spacing w:val="0"/>
                <w:kern w:val="2"/>
                <w:sz w:val="24"/>
                <w:szCs w:val="24"/>
                <w:highlight w:val="yellow"/>
                <w:lang w:val="en-US" w:eastAsia="zh-CN" w:bidi="ar-SA"/>
              </w:rPr>
            </w:pPr>
            <w:r>
              <w:rPr>
                <w:rFonts w:hint="eastAsia" w:ascii="宋体" w:hAnsi="宋体" w:eastAsia="宋体" w:cs="宋体"/>
                <w:bCs/>
                <w:color w:val="auto"/>
                <w:spacing w:val="0"/>
                <w:kern w:val="2"/>
                <w:sz w:val="24"/>
                <w:szCs w:val="24"/>
                <w:highlight w:val="yellow"/>
                <w:lang w:val="en-US" w:eastAsia="zh-CN" w:bidi="ar-SA"/>
              </w:rPr>
              <w:t>本项目施工位于马蹄河西侧，施工期间材料、土石方堆场采用遮盖、围挡等措施，不会因雨水冲刷污染地表水。本项目生活污水利用南侧平房居民防渗旱厕，车辆冲洗水沉淀后回用降尘，机械维修产生含油废水集中收集交有资质单位，综上所述，本项目建设不会对马蹄河水质造成影响。</w:t>
            </w:r>
          </w:p>
          <w:p w14:paraId="2BB34AEC">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2、施工期大气环境影响分析</w:t>
            </w:r>
          </w:p>
          <w:p w14:paraId="14BD47B5">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施工期产生的主要大气污染物为施工扬尘、施工机械废气和运输车辆产生的汽车尾气</w:t>
            </w:r>
          </w:p>
          <w:p w14:paraId="0D5495C9">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①施工扬尘</w:t>
            </w:r>
          </w:p>
          <w:p w14:paraId="5E89FC78">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施工扬尘主要为施工期开挖、填料、路面铺设产生的粉尘和施工材料运输、装卸、堆存产生的粉尘。施工扬尘分为风力起尘和动力起尘。风力起尘主要为裸露堆存的物料和施工产生的浮土因大风天气产生的风力扬尘。动力扬尘为因砂石料装卸、运输速度较快的情况下产生的扬尘。</w:t>
            </w:r>
          </w:p>
          <w:p w14:paraId="6C636494">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为减少施工扬尘起尘量，夏季施工时采取洒水降尘措施。对施工场地采取全围挡措施，围挡高度不小于2m，严禁在围挡外进行装卸运输活动。对临时堆土采取苫盖措施，运输车使用篷布进行遮挡。通过上述措施，能够有效控制防止施工扬尘产生。减少对周边环境的影响。施工场界颗粒物浓度符合《大气污染物综合排放标准》（GB16297-1996）表2无组织排放监控浓度限值要求。</w:t>
            </w:r>
          </w:p>
          <w:p w14:paraId="5ABF7FE7">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②施工机械废气、汽车尾气</w:t>
            </w:r>
          </w:p>
          <w:p w14:paraId="6792881F">
            <w:pPr>
              <w:ind w:firstLine="480"/>
              <w:rPr>
                <w:rFonts w:hint="eastAsia" w:ascii="宋体" w:hAnsi="宋体" w:eastAsia="宋体" w:cs="宋体"/>
                <w:b/>
                <w:bCs/>
                <w:color w:val="auto"/>
                <w:sz w:val="24"/>
                <w:highlight w:val="none"/>
              </w:rPr>
            </w:pPr>
            <w:r>
              <w:rPr>
                <w:rFonts w:hint="eastAsia" w:ascii="宋体" w:hAnsi="宋体" w:eastAsia="宋体" w:cs="宋体"/>
                <w:color w:val="auto"/>
                <w:highlight w:val="none"/>
                <w:lang w:val="en-US" w:eastAsia="zh-CN"/>
              </w:rPr>
              <w:t>施工机械和汽车运输时所排放的尾气主要为燃油烟气，其主要污染物为CO及NO</w:t>
            </w:r>
            <w:r>
              <w:rPr>
                <w:rFonts w:hint="eastAsia" w:ascii="宋体" w:hAnsi="宋体" w:eastAsia="宋体" w:cs="宋体"/>
                <w:color w:val="auto"/>
                <w:highlight w:val="none"/>
                <w:vertAlign w:val="subscript"/>
                <w:lang w:val="en-US" w:eastAsia="zh-CN"/>
              </w:rPr>
              <w:t>2</w:t>
            </w:r>
            <w:r>
              <w:rPr>
                <w:rFonts w:hint="eastAsia" w:ascii="宋体" w:hAnsi="宋体" w:eastAsia="宋体" w:cs="宋体"/>
                <w:color w:val="auto"/>
                <w:highlight w:val="none"/>
                <w:vertAlign w:val="baseline"/>
                <w:lang w:val="en-US" w:eastAsia="zh-CN"/>
              </w:rPr>
              <w:t>。施工期间施工机械和汽车运输为分段施工和分段运输，不会集中产生大量燃油烟气，通过合理安排施工时间，降低烟气排放。通过空气稀释，施工机械废气和汽车尾气对周边空气产生影响较小。</w:t>
            </w:r>
          </w:p>
          <w:p w14:paraId="355957BC">
            <w:pPr>
              <w:ind w:firstLine="480"/>
              <w:rPr>
                <w:rFonts w:hint="eastAsia" w:ascii="宋体" w:hAnsi="宋体" w:eastAsia="宋体" w:cs="宋体"/>
                <w:color w:val="auto"/>
                <w:highlight w:val="yellow"/>
                <w:lang w:val="en-US" w:eastAsia="zh-CN"/>
              </w:rPr>
            </w:pPr>
            <w:r>
              <w:rPr>
                <w:rFonts w:hint="eastAsia" w:ascii="宋体" w:hAnsi="宋体" w:eastAsia="宋体" w:cs="宋体"/>
                <w:color w:val="auto"/>
                <w:highlight w:val="yellow"/>
                <w:lang w:val="en-US" w:eastAsia="zh-CN"/>
              </w:rPr>
              <w:t>③运输扬尘、汽车尾气</w:t>
            </w:r>
          </w:p>
          <w:p w14:paraId="30735D3C">
            <w:pPr>
              <w:ind w:firstLine="480"/>
              <w:rPr>
                <w:rFonts w:hint="eastAsia" w:ascii="宋体" w:hAnsi="宋体" w:eastAsia="宋体" w:cs="宋体"/>
                <w:color w:val="auto"/>
                <w:highlight w:val="yellow"/>
                <w:lang w:val="en-US" w:eastAsia="zh-CN"/>
              </w:rPr>
            </w:pPr>
            <w:r>
              <w:rPr>
                <w:rFonts w:hint="eastAsia" w:ascii="宋体" w:hAnsi="宋体" w:eastAsia="宋体" w:cs="宋体"/>
                <w:sz w:val="24"/>
                <w:highlight w:val="yellow"/>
              </w:rPr>
              <w:t>汽车运输时所排放的尾气主要为燃油烟气，其主要污染物为CO、NOx、</w:t>
            </w:r>
            <w:r>
              <w:rPr>
                <w:rFonts w:hint="eastAsia" w:ascii="宋体" w:hAnsi="宋体" w:eastAsia="宋体" w:cs="宋体"/>
                <w:sz w:val="24"/>
                <w:highlight w:val="yellow"/>
                <w:lang w:val="en-US" w:eastAsia="zh-CN"/>
              </w:rPr>
              <w:t>T</w:t>
            </w:r>
            <w:r>
              <w:rPr>
                <w:rFonts w:hint="eastAsia" w:ascii="宋体" w:hAnsi="宋体" w:eastAsia="宋体" w:cs="宋体"/>
                <w:sz w:val="24"/>
                <w:highlight w:val="yellow"/>
              </w:rPr>
              <w:t>HC。施工期间汽车运输为分段运输，不会集中产生大量燃油烟气，通过合理安排施工时间，降低烟气排放。通过空气稀释，施工机械废气和汽车尾气对周边空气产生影响较小。</w:t>
            </w:r>
          </w:p>
          <w:p w14:paraId="5FCC4C1D">
            <w:pPr>
              <w:autoSpaceDE w:val="0"/>
              <w:autoSpaceDN w:val="0"/>
              <w:adjustRightInd w:val="0"/>
              <w:spacing w:line="360" w:lineRule="auto"/>
              <w:ind w:firstLine="480" w:firstLineChars="200"/>
              <w:rPr>
                <w:rFonts w:hint="eastAsia" w:ascii="宋体" w:hAnsi="宋体" w:eastAsia="宋体" w:cs="宋体"/>
                <w:b/>
                <w:bCs/>
                <w:snapToGrid w:val="0"/>
                <w:kern w:val="0"/>
                <w:sz w:val="24"/>
                <w:highlight w:val="yellow"/>
                <w:lang w:val="zh-CN"/>
              </w:rPr>
            </w:pPr>
            <w:r>
              <w:rPr>
                <w:rFonts w:hint="eastAsia" w:ascii="宋体" w:hAnsi="宋体" w:eastAsia="宋体" w:cs="宋体"/>
                <w:snapToGrid w:val="0"/>
                <w:kern w:val="0"/>
                <w:sz w:val="24"/>
                <w:highlight w:val="yellow"/>
                <w:lang w:val="zh-CN"/>
              </w:rPr>
              <w:t>根据类比分析，类比TSP浓度监测结果见表</w:t>
            </w:r>
            <w:r>
              <w:rPr>
                <w:rFonts w:hint="eastAsia" w:ascii="宋体" w:hAnsi="宋体" w:eastAsia="宋体" w:cs="宋体"/>
                <w:snapToGrid w:val="0"/>
                <w:kern w:val="0"/>
                <w:sz w:val="24"/>
                <w:highlight w:val="yellow"/>
                <w:lang w:val="en-US" w:eastAsia="zh-CN"/>
              </w:rPr>
              <w:t>4-1</w:t>
            </w:r>
            <w:r>
              <w:rPr>
                <w:rFonts w:hint="eastAsia" w:ascii="宋体" w:hAnsi="宋体" w:eastAsia="宋体" w:cs="宋体"/>
                <w:snapToGrid w:val="0"/>
                <w:kern w:val="0"/>
                <w:sz w:val="24"/>
                <w:highlight w:val="yellow"/>
                <w:lang w:val="zh-CN"/>
              </w:rPr>
              <w:t>。</w:t>
            </w:r>
          </w:p>
          <w:p w14:paraId="6235C37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napToGrid w:val="0"/>
                <w:kern w:val="0"/>
                <w:sz w:val="21"/>
                <w:szCs w:val="21"/>
                <w:highlight w:val="yellow"/>
                <w:lang w:val="zh-CN"/>
              </w:rPr>
            </w:pPr>
            <w:r>
              <w:rPr>
                <w:rFonts w:hint="eastAsia" w:ascii="宋体" w:hAnsi="宋体" w:eastAsia="宋体" w:cs="宋体"/>
                <w:b/>
                <w:bCs/>
                <w:snapToGrid w:val="0"/>
                <w:kern w:val="0"/>
                <w:sz w:val="21"/>
                <w:szCs w:val="21"/>
                <w:highlight w:val="yellow"/>
                <w:lang w:val="zh-CN"/>
              </w:rPr>
              <w:t>表</w:t>
            </w:r>
            <w:r>
              <w:rPr>
                <w:rFonts w:hint="eastAsia" w:ascii="宋体" w:hAnsi="宋体" w:eastAsia="宋体" w:cs="宋体"/>
                <w:b/>
                <w:bCs/>
                <w:snapToGrid w:val="0"/>
                <w:kern w:val="0"/>
                <w:sz w:val="21"/>
                <w:szCs w:val="21"/>
                <w:highlight w:val="yellow"/>
                <w:lang w:val="en-US" w:eastAsia="zh-CN"/>
              </w:rPr>
              <w:t>4-1</w:t>
            </w:r>
            <w:r>
              <w:rPr>
                <w:rFonts w:hint="eastAsia" w:ascii="宋体" w:hAnsi="宋体" w:eastAsia="宋体" w:cs="宋体"/>
                <w:b/>
                <w:bCs/>
                <w:snapToGrid w:val="0"/>
                <w:kern w:val="0"/>
                <w:sz w:val="21"/>
                <w:szCs w:val="21"/>
                <w:highlight w:val="yellow"/>
                <w:lang w:val="zh-CN"/>
              </w:rPr>
              <w:t>施工现场TSP浓度</w:t>
            </w:r>
          </w:p>
          <w:tbl>
            <w:tblPr>
              <w:tblStyle w:val="33"/>
              <w:tblW w:w="5000" w:type="pct"/>
              <w:jc w:val="center"/>
              <w:tblLayout w:type="fixed"/>
              <w:tblCellMar>
                <w:top w:w="0" w:type="dxa"/>
                <w:left w:w="108" w:type="dxa"/>
                <w:bottom w:w="0" w:type="dxa"/>
                <w:right w:w="108" w:type="dxa"/>
              </w:tblCellMar>
            </w:tblPr>
            <w:tblGrid>
              <w:gridCol w:w="1101"/>
              <w:gridCol w:w="2478"/>
              <w:gridCol w:w="1243"/>
              <w:gridCol w:w="1607"/>
              <w:gridCol w:w="1608"/>
            </w:tblGrid>
            <w:tr w14:paraId="37118D82">
              <w:tblPrEx>
                <w:tblCellMar>
                  <w:top w:w="0" w:type="dxa"/>
                  <w:left w:w="108" w:type="dxa"/>
                  <w:bottom w:w="0" w:type="dxa"/>
                  <w:right w:w="108" w:type="dxa"/>
                </w:tblCellMar>
              </w:tblPrEx>
              <w:trPr>
                <w:trHeight w:val="340" w:hRule="atLeast"/>
                <w:jc w:val="center"/>
              </w:trPr>
              <w:tc>
                <w:tcPr>
                  <w:tcW w:w="1115" w:type="dxa"/>
                  <w:tcBorders>
                    <w:top w:val="single" w:color="auto" w:sz="12" w:space="0"/>
                    <w:left w:val="nil"/>
                    <w:bottom w:val="single" w:color="auto" w:sz="6" w:space="0"/>
                    <w:right w:val="single" w:color="auto" w:sz="6" w:space="0"/>
                  </w:tcBorders>
                  <w:noWrap w:val="0"/>
                  <w:vAlign w:val="center"/>
                </w:tcPr>
                <w:p w14:paraId="5A952E3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bCs/>
                      <w:sz w:val="21"/>
                      <w:szCs w:val="21"/>
                      <w:highlight w:val="yellow"/>
                    </w:rPr>
                  </w:pPr>
                  <w:r>
                    <w:rPr>
                      <w:rFonts w:hint="eastAsia" w:ascii="宋体" w:hAnsi="宋体" w:eastAsia="宋体" w:cs="宋体"/>
                      <w:b/>
                      <w:bCs/>
                      <w:sz w:val="21"/>
                      <w:szCs w:val="21"/>
                      <w:highlight w:val="yellow"/>
                      <w:lang w:val="zh-CN"/>
                    </w:rPr>
                    <w:t>施工内容</w:t>
                  </w:r>
                </w:p>
              </w:tc>
              <w:tc>
                <w:tcPr>
                  <w:tcW w:w="2513" w:type="dxa"/>
                  <w:tcBorders>
                    <w:top w:val="single" w:color="auto" w:sz="12" w:space="0"/>
                    <w:left w:val="single" w:color="auto" w:sz="6" w:space="0"/>
                    <w:bottom w:val="single" w:color="auto" w:sz="6" w:space="0"/>
                    <w:right w:val="single" w:color="auto" w:sz="6" w:space="0"/>
                  </w:tcBorders>
                  <w:noWrap w:val="0"/>
                  <w:vAlign w:val="center"/>
                </w:tcPr>
                <w:p w14:paraId="1AF5865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bCs/>
                      <w:sz w:val="21"/>
                      <w:szCs w:val="21"/>
                      <w:highlight w:val="yellow"/>
                    </w:rPr>
                  </w:pPr>
                  <w:r>
                    <w:rPr>
                      <w:rFonts w:hint="eastAsia" w:ascii="宋体" w:hAnsi="宋体" w:eastAsia="宋体" w:cs="宋体"/>
                      <w:b/>
                      <w:bCs/>
                      <w:sz w:val="21"/>
                      <w:szCs w:val="21"/>
                      <w:highlight w:val="yellow"/>
                      <w:lang w:val="zh-CN"/>
                    </w:rPr>
                    <w:t>起尘因素</w:t>
                  </w:r>
                </w:p>
              </w:tc>
              <w:tc>
                <w:tcPr>
                  <w:tcW w:w="1259" w:type="dxa"/>
                  <w:tcBorders>
                    <w:top w:val="single" w:color="auto" w:sz="12" w:space="0"/>
                    <w:left w:val="single" w:color="auto" w:sz="6" w:space="0"/>
                    <w:bottom w:val="single" w:color="auto" w:sz="6" w:space="0"/>
                    <w:right w:val="single" w:color="auto" w:sz="6" w:space="0"/>
                  </w:tcBorders>
                  <w:noWrap w:val="0"/>
                  <w:vAlign w:val="center"/>
                </w:tcPr>
                <w:p w14:paraId="224E7F3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bCs/>
                      <w:sz w:val="21"/>
                      <w:szCs w:val="21"/>
                      <w:highlight w:val="yellow"/>
                    </w:rPr>
                  </w:pPr>
                  <w:r>
                    <w:rPr>
                      <w:rFonts w:hint="eastAsia" w:ascii="宋体" w:hAnsi="宋体" w:eastAsia="宋体" w:cs="宋体"/>
                      <w:b/>
                      <w:bCs/>
                      <w:sz w:val="21"/>
                      <w:szCs w:val="21"/>
                      <w:highlight w:val="yellow"/>
                      <w:lang w:val="zh-CN"/>
                    </w:rPr>
                    <w:t>风速（</w:t>
                  </w:r>
                  <w:r>
                    <w:rPr>
                      <w:rFonts w:hint="eastAsia" w:ascii="宋体" w:hAnsi="宋体" w:eastAsia="宋体" w:cs="宋体"/>
                      <w:b/>
                      <w:bCs/>
                      <w:sz w:val="21"/>
                      <w:szCs w:val="21"/>
                      <w:highlight w:val="yellow"/>
                    </w:rPr>
                    <w:t>m/s</w:t>
                  </w:r>
                  <w:r>
                    <w:rPr>
                      <w:rFonts w:hint="eastAsia" w:ascii="宋体" w:hAnsi="宋体" w:eastAsia="宋体" w:cs="宋体"/>
                      <w:b/>
                      <w:bCs/>
                      <w:sz w:val="21"/>
                      <w:szCs w:val="21"/>
                      <w:highlight w:val="yellow"/>
                      <w:lang w:val="zh-CN"/>
                    </w:rPr>
                    <w:t>）</w:t>
                  </w:r>
                </w:p>
              </w:tc>
              <w:tc>
                <w:tcPr>
                  <w:tcW w:w="1629" w:type="dxa"/>
                  <w:tcBorders>
                    <w:top w:val="single" w:color="auto" w:sz="12" w:space="0"/>
                    <w:left w:val="single" w:color="auto" w:sz="6" w:space="0"/>
                    <w:bottom w:val="single" w:color="auto" w:sz="6" w:space="0"/>
                    <w:right w:val="single" w:color="auto" w:sz="6" w:space="0"/>
                  </w:tcBorders>
                  <w:noWrap w:val="0"/>
                  <w:vAlign w:val="center"/>
                </w:tcPr>
                <w:p w14:paraId="7685D33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bCs/>
                      <w:sz w:val="21"/>
                      <w:szCs w:val="21"/>
                      <w:highlight w:val="yellow"/>
                    </w:rPr>
                  </w:pPr>
                  <w:r>
                    <w:rPr>
                      <w:rFonts w:hint="eastAsia" w:ascii="宋体" w:hAnsi="宋体" w:eastAsia="宋体" w:cs="宋体"/>
                      <w:b/>
                      <w:bCs/>
                      <w:sz w:val="21"/>
                      <w:szCs w:val="21"/>
                      <w:highlight w:val="yellow"/>
                      <w:lang w:val="zh-CN"/>
                    </w:rPr>
                    <w:t>距离</w:t>
                  </w:r>
                  <w:r>
                    <w:rPr>
                      <w:rFonts w:hint="eastAsia" w:ascii="宋体" w:hAnsi="宋体" w:eastAsia="宋体" w:cs="宋体"/>
                      <w:b/>
                      <w:bCs/>
                      <w:sz w:val="21"/>
                      <w:szCs w:val="21"/>
                      <w:highlight w:val="yellow"/>
                    </w:rPr>
                    <w:t>（m）</w:t>
                  </w:r>
                </w:p>
              </w:tc>
              <w:tc>
                <w:tcPr>
                  <w:tcW w:w="1629" w:type="dxa"/>
                  <w:tcBorders>
                    <w:top w:val="single" w:color="auto" w:sz="12" w:space="0"/>
                    <w:left w:val="single" w:color="auto" w:sz="6" w:space="0"/>
                    <w:bottom w:val="single" w:color="auto" w:sz="6" w:space="0"/>
                    <w:right w:val="nil"/>
                  </w:tcBorders>
                  <w:noWrap w:val="0"/>
                  <w:vAlign w:val="center"/>
                </w:tcPr>
                <w:p w14:paraId="1472374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bCs/>
                      <w:sz w:val="21"/>
                      <w:szCs w:val="21"/>
                      <w:highlight w:val="yellow"/>
                    </w:rPr>
                  </w:pPr>
                  <w:r>
                    <w:rPr>
                      <w:rFonts w:hint="eastAsia" w:ascii="宋体" w:hAnsi="宋体" w:eastAsia="宋体" w:cs="宋体"/>
                      <w:b/>
                      <w:bCs/>
                      <w:sz w:val="21"/>
                      <w:szCs w:val="21"/>
                      <w:highlight w:val="yellow"/>
                      <w:lang w:val="zh-CN"/>
                    </w:rPr>
                    <w:t>浓度（</w:t>
                  </w:r>
                  <w:r>
                    <w:rPr>
                      <w:rFonts w:hint="eastAsia" w:ascii="宋体" w:hAnsi="宋体" w:eastAsia="宋体" w:cs="宋体"/>
                      <w:b/>
                      <w:bCs/>
                      <w:sz w:val="21"/>
                      <w:szCs w:val="21"/>
                      <w:highlight w:val="yellow"/>
                    </w:rPr>
                    <w:t>mg/m</w:t>
                  </w:r>
                  <w:r>
                    <w:rPr>
                      <w:rFonts w:hint="eastAsia" w:ascii="宋体" w:hAnsi="宋体" w:eastAsia="宋体" w:cs="宋体"/>
                      <w:b/>
                      <w:bCs/>
                      <w:sz w:val="21"/>
                      <w:szCs w:val="21"/>
                      <w:highlight w:val="yellow"/>
                      <w:vertAlign w:val="superscript"/>
                    </w:rPr>
                    <w:t>3</w:t>
                  </w:r>
                  <w:r>
                    <w:rPr>
                      <w:rFonts w:hint="eastAsia" w:ascii="宋体" w:hAnsi="宋体" w:eastAsia="宋体" w:cs="宋体"/>
                      <w:b/>
                      <w:bCs/>
                      <w:sz w:val="21"/>
                      <w:szCs w:val="21"/>
                      <w:highlight w:val="yellow"/>
                      <w:lang w:val="zh-CN"/>
                    </w:rPr>
                    <w:t>）</w:t>
                  </w:r>
                </w:p>
              </w:tc>
            </w:tr>
            <w:tr w14:paraId="4BDF026E">
              <w:tblPrEx>
                <w:tblCellMar>
                  <w:top w:w="0" w:type="dxa"/>
                  <w:left w:w="108" w:type="dxa"/>
                  <w:bottom w:w="0" w:type="dxa"/>
                  <w:right w:w="108" w:type="dxa"/>
                </w:tblCellMar>
              </w:tblPrEx>
              <w:trPr>
                <w:cantSplit/>
                <w:trHeight w:val="340" w:hRule="atLeast"/>
                <w:jc w:val="center"/>
              </w:trPr>
              <w:tc>
                <w:tcPr>
                  <w:tcW w:w="1115" w:type="dxa"/>
                  <w:vMerge w:val="restart"/>
                  <w:tcBorders>
                    <w:top w:val="single" w:color="auto" w:sz="6" w:space="0"/>
                    <w:left w:val="nil"/>
                    <w:bottom w:val="single" w:color="auto" w:sz="6" w:space="0"/>
                    <w:right w:val="single" w:color="auto" w:sz="6" w:space="0"/>
                  </w:tcBorders>
                  <w:noWrap w:val="0"/>
                  <w:vAlign w:val="center"/>
                </w:tcPr>
                <w:p w14:paraId="36B1C3F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zh-CN"/>
                    </w:rPr>
                    <w:t>土方</w:t>
                  </w:r>
                </w:p>
              </w:tc>
              <w:tc>
                <w:tcPr>
                  <w:tcW w:w="2513" w:type="dxa"/>
                  <w:vMerge w:val="restart"/>
                  <w:tcBorders>
                    <w:top w:val="single" w:color="auto" w:sz="6" w:space="0"/>
                    <w:left w:val="single" w:color="auto" w:sz="6" w:space="0"/>
                    <w:bottom w:val="single" w:color="auto" w:sz="6" w:space="0"/>
                    <w:right w:val="single" w:color="auto" w:sz="6" w:space="0"/>
                  </w:tcBorders>
                  <w:noWrap w:val="0"/>
                  <w:vAlign w:val="center"/>
                </w:tcPr>
                <w:p w14:paraId="23D0DA4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zh-CN"/>
                    </w:rPr>
                    <w:t>装卸、运输</w:t>
                  </w:r>
                </w:p>
              </w:tc>
              <w:tc>
                <w:tcPr>
                  <w:tcW w:w="1259" w:type="dxa"/>
                  <w:vMerge w:val="restart"/>
                  <w:tcBorders>
                    <w:top w:val="single" w:color="auto" w:sz="6" w:space="0"/>
                    <w:left w:val="single" w:color="auto" w:sz="6" w:space="0"/>
                    <w:bottom w:val="single" w:color="auto" w:sz="6" w:space="0"/>
                    <w:right w:val="single" w:color="auto" w:sz="6" w:space="0"/>
                  </w:tcBorders>
                  <w:noWrap w:val="0"/>
                  <w:vAlign w:val="center"/>
                </w:tcPr>
                <w:p w14:paraId="179056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2.5</w:t>
                  </w:r>
                </w:p>
              </w:tc>
              <w:tc>
                <w:tcPr>
                  <w:tcW w:w="1629" w:type="dxa"/>
                  <w:tcBorders>
                    <w:top w:val="single" w:color="auto" w:sz="6" w:space="0"/>
                    <w:left w:val="single" w:color="auto" w:sz="6" w:space="0"/>
                    <w:bottom w:val="single" w:color="auto" w:sz="6" w:space="0"/>
                    <w:right w:val="single" w:color="auto" w:sz="6" w:space="0"/>
                  </w:tcBorders>
                  <w:noWrap w:val="0"/>
                  <w:vAlign w:val="center"/>
                </w:tcPr>
                <w:p w14:paraId="28A801A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50</w:t>
                  </w:r>
                </w:p>
              </w:tc>
              <w:tc>
                <w:tcPr>
                  <w:tcW w:w="1629" w:type="dxa"/>
                  <w:tcBorders>
                    <w:top w:val="single" w:color="auto" w:sz="6" w:space="0"/>
                    <w:left w:val="single" w:color="auto" w:sz="6" w:space="0"/>
                    <w:bottom w:val="single" w:color="auto" w:sz="6" w:space="0"/>
                    <w:right w:val="nil"/>
                  </w:tcBorders>
                  <w:noWrap w:val="0"/>
                  <w:vAlign w:val="center"/>
                </w:tcPr>
                <w:p w14:paraId="4DCDEDF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11.7</w:t>
                  </w:r>
                </w:p>
              </w:tc>
            </w:tr>
            <w:tr w14:paraId="69910BD1">
              <w:tblPrEx>
                <w:tblCellMar>
                  <w:top w:w="0" w:type="dxa"/>
                  <w:left w:w="108" w:type="dxa"/>
                  <w:bottom w:w="0" w:type="dxa"/>
                  <w:right w:w="108" w:type="dxa"/>
                </w:tblCellMar>
              </w:tblPrEx>
              <w:trPr>
                <w:cantSplit/>
                <w:trHeight w:val="340" w:hRule="atLeast"/>
                <w:jc w:val="center"/>
              </w:trPr>
              <w:tc>
                <w:tcPr>
                  <w:tcW w:w="1115" w:type="dxa"/>
                  <w:vMerge w:val="continue"/>
                  <w:tcBorders>
                    <w:top w:val="single" w:color="auto" w:sz="6" w:space="0"/>
                    <w:left w:val="nil"/>
                    <w:bottom w:val="single" w:color="auto" w:sz="6" w:space="0"/>
                    <w:right w:val="single" w:color="auto" w:sz="6" w:space="0"/>
                  </w:tcBorders>
                  <w:noWrap w:val="0"/>
                  <w:vAlign w:val="center"/>
                </w:tcPr>
                <w:p w14:paraId="7411FAB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2513" w:type="dxa"/>
                  <w:vMerge w:val="continue"/>
                  <w:tcBorders>
                    <w:top w:val="single" w:color="auto" w:sz="6" w:space="0"/>
                    <w:left w:val="single" w:color="auto" w:sz="6" w:space="0"/>
                    <w:bottom w:val="single" w:color="auto" w:sz="6" w:space="0"/>
                    <w:right w:val="single" w:color="auto" w:sz="6" w:space="0"/>
                  </w:tcBorders>
                  <w:noWrap w:val="0"/>
                  <w:vAlign w:val="center"/>
                </w:tcPr>
                <w:p w14:paraId="28A5E19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259" w:type="dxa"/>
                  <w:vMerge w:val="continue"/>
                  <w:tcBorders>
                    <w:top w:val="single" w:color="auto" w:sz="6" w:space="0"/>
                    <w:left w:val="single" w:color="auto" w:sz="6" w:space="0"/>
                    <w:bottom w:val="single" w:color="auto" w:sz="6" w:space="0"/>
                    <w:right w:val="single" w:color="auto" w:sz="6" w:space="0"/>
                  </w:tcBorders>
                  <w:noWrap w:val="0"/>
                  <w:vAlign w:val="center"/>
                </w:tcPr>
                <w:p w14:paraId="5C19893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629" w:type="dxa"/>
                  <w:tcBorders>
                    <w:top w:val="single" w:color="auto" w:sz="6" w:space="0"/>
                    <w:left w:val="single" w:color="auto" w:sz="6" w:space="0"/>
                    <w:bottom w:val="single" w:color="auto" w:sz="6" w:space="0"/>
                    <w:right w:val="single" w:color="auto" w:sz="6" w:space="0"/>
                  </w:tcBorders>
                  <w:noWrap w:val="0"/>
                  <w:vAlign w:val="center"/>
                </w:tcPr>
                <w:p w14:paraId="1619C77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100</w:t>
                  </w:r>
                </w:p>
              </w:tc>
              <w:tc>
                <w:tcPr>
                  <w:tcW w:w="1629" w:type="dxa"/>
                  <w:tcBorders>
                    <w:top w:val="single" w:color="auto" w:sz="6" w:space="0"/>
                    <w:left w:val="single" w:color="auto" w:sz="6" w:space="0"/>
                    <w:bottom w:val="single" w:color="auto" w:sz="6" w:space="0"/>
                    <w:right w:val="nil"/>
                  </w:tcBorders>
                  <w:noWrap w:val="0"/>
                  <w:vAlign w:val="center"/>
                </w:tcPr>
                <w:p w14:paraId="032B2DE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8.8</w:t>
                  </w:r>
                </w:p>
              </w:tc>
            </w:tr>
            <w:tr w14:paraId="7E9ADAC8">
              <w:tblPrEx>
                <w:tblCellMar>
                  <w:top w:w="0" w:type="dxa"/>
                  <w:left w:w="108" w:type="dxa"/>
                  <w:bottom w:w="0" w:type="dxa"/>
                  <w:right w:w="108" w:type="dxa"/>
                </w:tblCellMar>
              </w:tblPrEx>
              <w:trPr>
                <w:cantSplit/>
                <w:trHeight w:val="340" w:hRule="atLeast"/>
                <w:jc w:val="center"/>
              </w:trPr>
              <w:tc>
                <w:tcPr>
                  <w:tcW w:w="1115" w:type="dxa"/>
                  <w:vMerge w:val="continue"/>
                  <w:tcBorders>
                    <w:top w:val="single" w:color="auto" w:sz="6" w:space="0"/>
                    <w:left w:val="nil"/>
                    <w:bottom w:val="single" w:color="auto" w:sz="6" w:space="0"/>
                    <w:right w:val="single" w:color="auto" w:sz="6" w:space="0"/>
                  </w:tcBorders>
                  <w:noWrap w:val="0"/>
                  <w:vAlign w:val="center"/>
                </w:tcPr>
                <w:p w14:paraId="7DDB551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2513" w:type="dxa"/>
                  <w:vMerge w:val="continue"/>
                  <w:tcBorders>
                    <w:top w:val="single" w:color="auto" w:sz="6" w:space="0"/>
                    <w:left w:val="single" w:color="auto" w:sz="6" w:space="0"/>
                    <w:bottom w:val="single" w:color="auto" w:sz="6" w:space="0"/>
                    <w:right w:val="single" w:color="auto" w:sz="6" w:space="0"/>
                  </w:tcBorders>
                  <w:noWrap w:val="0"/>
                  <w:vAlign w:val="center"/>
                </w:tcPr>
                <w:p w14:paraId="23D9006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259" w:type="dxa"/>
                  <w:vMerge w:val="continue"/>
                  <w:tcBorders>
                    <w:top w:val="single" w:color="auto" w:sz="6" w:space="0"/>
                    <w:left w:val="single" w:color="auto" w:sz="6" w:space="0"/>
                    <w:bottom w:val="single" w:color="auto" w:sz="6" w:space="0"/>
                    <w:right w:val="single" w:color="auto" w:sz="6" w:space="0"/>
                  </w:tcBorders>
                  <w:noWrap w:val="0"/>
                  <w:vAlign w:val="center"/>
                </w:tcPr>
                <w:p w14:paraId="373DEC4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629" w:type="dxa"/>
                  <w:tcBorders>
                    <w:top w:val="single" w:color="auto" w:sz="6" w:space="0"/>
                    <w:left w:val="single" w:color="auto" w:sz="6" w:space="0"/>
                    <w:bottom w:val="single" w:color="auto" w:sz="6" w:space="0"/>
                    <w:right w:val="single" w:color="auto" w:sz="6" w:space="0"/>
                  </w:tcBorders>
                  <w:noWrap w:val="0"/>
                  <w:vAlign w:val="center"/>
                </w:tcPr>
                <w:p w14:paraId="55A5642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150</w:t>
                  </w:r>
                </w:p>
              </w:tc>
              <w:tc>
                <w:tcPr>
                  <w:tcW w:w="1629" w:type="dxa"/>
                  <w:tcBorders>
                    <w:top w:val="single" w:color="auto" w:sz="6" w:space="0"/>
                    <w:left w:val="single" w:color="auto" w:sz="6" w:space="0"/>
                    <w:bottom w:val="single" w:color="auto" w:sz="6" w:space="0"/>
                    <w:right w:val="nil"/>
                  </w:tcBorders>
                  <w:noWrap w:val="0"/>
                  <w:vAlign w:val="center"/>
                </w:tcPr>
                <w:p w14:paraId="210750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5.0</w:t>
                  </w:r>
                </w:p>
              </w:tc>
            </w:tr>
            <w:tr w14:paraId="19E50FF7">
              <w:tblPrEx>
                <w:tblCellMar>
                  <w:top w:w="0" w:type="dxa"/>
                  <w:left w:w="108" w:type="dxa"/>
                  <w:bottom w:w="0" w:type="dxa"/>
                  <w:right w:w="108" w:type="dxa"/>
                </w:tblCellMar>
              </w:tblPrEx>
              <w:trPr>
                <w:cantSplit/>
                <w:trHeight w:val="340" w:hRule="atLeast"/>
                <w:jc w:val="center"/>
              </w:trPr>
              <w:tc>
                <w:tcPr>
                  <w:tcW w:w="1115" w:type="dxa"/>
                  <w:vMerge w:val="restart"/>
                  <w:tcBorders>
                    <w:top w:val="single" w:color="auto" w:sz="6" w:space="0"/>
                    <w:left w:val="nil"/>
                    <w:bottom w:val="single" w:color="auto" w:sz="6" w:space="0"/>
                    <w:right w:val="single" w:color="auto" w:sz="6" w:space="0"/>
                  </w:tcBorders>
                  <w:noWrap w:val="0"/>
                  <w:vAlign w:val="center"/>
                </w:tcPr>
                <w:p w14:paraId="5E417EF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zh-CN"/>
                    </w:rPr>
                    <w:t>石料</w:t>
                  </w:r>
                </w:p>
              </w:tc>
              <w:tc>
                <w:tcPr>
                  <w:tcW w:w="2513" w:type="dxa"/>
                  <w:vMerge w:val="restart"/>
                  <w:tcBorders>
                    <w:top w:val="single" w:color="auto" w:sz="6" w:space="0"/>
                    <w:left w:val="single" w:color="auto" w:sz="6" w:space="0"/>
                    <w:bottom w:val="single" w:color="auto" w:sz="6" w:space="0"/>
                    <w:right w:val="single" w:color="auto" w:sz="6" w:space="0"/>
                  </w:tcBorders>
                  <w:noWrap w:val="0"/>
                  <w:vAlign w:val="center"/>
                </w:tcPr>
                <w:p w14:paraId="0CDA9EB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zh-CN"/>
                    </w:rPr>
                    <w:t>运输</w:t>
                  </w:r>
                </w:p>
              </w:tc>
              <w:tc>
                <w:tcPr>
                  <w:tcW w:w="1259" w:type="dxa"/>
                  <w:vMerge w:val="restart"/>
                  <w:tcBorders>
                    <w:top w:val="single" w:color="auto" w:sz="6" w:space="0"/>
                    <w:left w:val="single" w:color="auto" w:sz="6" w:space="0"/>
                    <w:bottom w:val="single" w:color="auto" w:sz="6" w:space="0"/>
                    <w:right w:val="single" w:color="auto" w:sz="6" w:space="0"/>
                  </w:tcBorders>
                  <w:noWrap w:val="0"/>
                  <w:vAlign w:val="center"/>
                </w:tcPr>
                <w:p w14:paraId="4DEEF20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2.5</w:t>
                  </w:r>
                </w:p>
              </w:tc>
              <w:tc>
                <w:tcPr>
                  <w:tcW w:w="1629" w:type="dxa"/>
                  <w:tcBorders>
                    <w:top w:val="single" w:color="auto" w:sz="6" w:space="0"/>
                    <w:left w:val="single" w:color="auto" w:sz="6" w:space="0"/>
                    <w:bottom w:val="single" w:color="auto" w:sz="6" w:space="0"/>
                    <w:right w:val="single" w:color="auto" w:sz="6" w:space="0"/>
                  </w:tcBorders>
                  <w:noWrap w:val="0"/>
                  <w:vAlign w:val="center"/>
                </w:tcPr>
                <w:p w14:paraId="5861AF4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50</w:t>
                  </w:r>
                </w:p>
              </w:tc>
              <w:tc>
                <w:tcPr>
                  <w:tcW w:w="1629" w:type="dxa"/>
                  <w:tcBorders>
                    <w:top w:val="single" w:color="auto" w:sz="6" w:space="0"/>
                    <w:left w:val="single" w:color="auto" w:sz="6" w:space="0"/>
                    <w:bottom w:val="single" w:color="auto" w:sz="6" w:space="0"/>
                    <w:right w:val="nil"/>
                  </w:tcBorders>
                  <w:noWrap w:val="0"/>
                  <w:vAlign w:val="center"/>
                </w:tcPr>
                <w:p w14:paraId="505ABE0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11.7</w:t>
                  </w:r>
                </w:p>
              </w:tc>
            </w:tr>
            <w:tr w14:paraId="60285B0F">
              <w:tblPrEx>
                <w:tblCellMar>
                  <w:top w:w="0" w:type="dxa"/>
                  <w:left w:w="108" w:type="dxa"/>
                  <w:bottom w:w="0" w:type="dxa"/>
                  <w:right w:w="108" w:type="dxa"/>
                </w:tblCellMar>
              </w:tblPrEx>
              <w:trPr>
                <w:cantSplit/>
                <w:trHeight w:val="340" w:hRule="atLeast"/>
                <w:jc w:val="center"/>
              </w:trPr>
              <w:tc>
                <w:tcPr>
                  <w:tcW w:w="1115" w:type="dxa"/>
                  <w:vMerge w:val="continue"/>
                  <w:tcBorders>
                    <w:top w:val="single" w:color="auto" w:sz="6" w:space="0"/>
                    <w:left w:val="nil"/>
                    <w:bottom w:val="single" w:color="auto" w:sz="6" w:space="0"/>
                    <w:right w:val="single" w:color="auto" w:sz="6" w:space="0"/>
                  </w:tcBorders>
                  <w:noWrap w:val="0"/>
                  <w:vAlign w:val="center"/>
                </w:tcPr>
                <w:p w14:paraId="3CD1916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2513" w:type="dxa"/>
                  <w:vMerge w:val="continue"/>
                  <w:tcBorders>
                    <w:top w:val="single" w:color="auto" w:sz="6" w:space="0"/>
                    <w:left w:val="single" w:color="auto" w:sz="6" w:space="0"/>
                    <w:bottom w:val="single" w:color="auto" w:sz="6" w:space="0"/>
                    <w:right w:val="single" w:color="auto" w:sz="6" w:space="0"/>
                  </w:tcBorders>
                  <w:noWrap w:val="0"/>
                  <w:vAlign w:val="center"/>
                </w:tcPr>
                <w:p w14:paraId="24EB6D2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259" w:type="dxa"/>
                  <w:vMerge w:val="continue"/>
                  <w:tcBorders>
                    <w:top w:val="single" w:color="auto" w:sz="6" w:space="0"/>
                    <w:left w:val="single" w:color="auto" w:sz="6" w:space="0"/>
                    <w:bottom w:val="single" w:color="auto" w:sz="6" w:space="0"/>
                    <w:right w:val="single" w:color="auto" w:sz="6" w:space="0"/>
                  </w:tcBorders>
                  <w:noWrap w:val="0"/>
                  <w:vAlign w:val="center"/>
                </w:tcPr>
                <w:p w14:paraId="4C89459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629" w:type="dxa"/>
                  <w:tcBorders>
                    <w:top w:val="single" w:color="auto" w:sz="6" w:space="0"/>
                    <w:left w:val="single" w:color="auto" w:sz="6" w:space="0"/>
                    <w:bottom w:val="single" w:color="auto" w:sz="6" w:space="0"/>
                    <w:right w:val="single" w:color="auto" w:sz="6" w:space="0"/>
                  </w:tcBorders>
                  <w:noWrap w:val="0"/>
                  <w:vAlign w:val="center"/>
                </w:tcPr>
                <w:p w14:paraId="34CF382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100</w:t>
                  </w:r>
                </w:p>
              </w:tc>
              <w:tc>
                <w:tcPr>
                  <w:tcW w:w="1629" w:type="dxa"/>
                  <w:tcBorders>
                    <w:top w:val="single" w:color="auto" w:sz="6" w:space="0"/>
                    <w:left w:val="single" w:color="auto" w:sz="6" w:space="0"/>
                    <w:bottom w:val="single" w:color="auto" w:sz="6" w:space="0"/>
                    <w:right w:val="nil"/>
                  </w:tcBorders>
                  <w:noWrap w:val="0"/>
                  <w:vAlign w:val="center"/>
                </w:tcPr>
                <w:p w14:paraId="30E2C25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8.8</w:t>
                  </w:r>
                </w:p>
              </w:tc>
            </w:tr>
            <w:tr w14:paraId="76129C58">
              <w:tblPrEx>
                <w:tblCellMar>
                  <w:top w:w="0" w:type="dxa"/>
                  <w:left w:w="108" w:type="dxa"/>
                  <w:bottom w:w="0" w:type="dxa"/>
                  <w:right w:w="108" w:type="dxa"/>
                </w:tblCellMar>
              </w:tblPrEx>
              <w:trPr>
                <w:cantSplit/>
                <w:trHeight w:val="340" w:hRule="atLeast"/>
                <w:jc w:val="center"/>
              </w:trPr>
              <w:tc>
                <w:tcPr>
                  <w:tcW w:w="1115" w:type="dxa"/>
                  <w:vMerge w:val="continue"/>
                  <w:tcBorders>
                    <w:top w:val="single" w:color="auto" w:sz="6" w:space="0"/>
                    <w:left w:val="nil"/>
                    <w:bottom w:val="single" w:color="auto" w:sz="12" w:space="0"/>
                    <w:right w:val="single" w:color="auto" w:sz="6" w:space="0"/>
                  </w:tcBorders>
                  <w:noWrap w:val="0"/>
                  <w:vAlign w:val="center"/>
                </w:tcPr>
                <w:p w14:paraId="66BFCF5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2513" w:type="dxa"/>
                  <w:vMerge w:val="continue"/>
                  <w:tcBorders>
                    <w:top w:val="single" w:color="auto" w:sz="6" w:space="0"/>
                    <w:left w:val="single" w:color="auto" w:sz="6" w:space="0"/>
                    <w:bottom w:val="single" w:color="auto" w:sz="12" w:space="0"/>
                    <w:right w:val="single" w:color="auto" w:sz="6" w:space="0"/>
                  </w:tcBorders>
                  <w:noWrap w:val="0"/>
                  <w:vAlign w:val="center"/>
                </w:tcPr>
                <w:p w14:paraId="54714AB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259" w:type="dxa"/>
                  <w:vMerge w:val="continue"/>
                  <w:tcBorders>
                    <w:top w:val="single" w:color="auto" w:sz="6" w:space="0"/>
                    <w:left w:val="single" w:color="auto" w:sz="6" w:space="0"/>
                    <w:bottom w:val="single" w:color="auto" w:sz="12" w:space="0"/>
                    <w:right w:val="single" w:color="auto" w:sz="6" w:space="0"/>
                  </w:tcBorders>
                  <w:noWrap w:val="0"/>
                  <w:vAlign w:val="center"/>
                </w:tcPr>
                <w:p w14:paraId="5972E1B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p>
              </w:tc>
              <w:tc>
                <w:tcPr>
                  <w:tcW w:w="1629" w:type="dxa"/>
                  <w:tcBorders>
                    <w:top w:val="single" w:color="auto" w:sz="6" w:space="0"/>
                    <w:left w:val="single" w:color="auto" w:sz="6" w:space="0"/>
                    <w:bottom w:val="single" w:color="auto" w:sz="12" w:space="0"/>
                    <w:right w:val="single" w:color="auto" w:sz="6" w:space="0"/>
                  </w:tcBorders>
                  <w:noWrap w:val="0"/>
                  <w:vAlign w:val="center"/>
                </w:tcPr>
                <w:p w14:paraId="171CA51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150</w:t>
                  </w:r>
                </w:p>
              </w:tc>
              <w:tc>
                <w:tcPr>
                  <w:tcW w:w="1629" w:type="dxa"/>
                  <w:tcBorders>
                    <w:top w:val="single" w:color="auto" w:sz="6" w:space="0"/>
                    <w:left w:val="single" w:color="auto" w:sz="6" w:space="0"/>
                    <w:bottom w:val="single" w:color="auto" w:sz="12" w:space="0"/>
                    <w:right w:val="nil"/>
                  </w:tcBorders>
                  <w:noWrap w:val="0"/>
                  <w:vAlign w:val="center"/>
                </w:tcPr>
                <w:p w14:paraId="49CD136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5.0</w:t>
                  </w:r>
                </w:p>
              </w:tc>
            </w:tr>
          </w:tbl>
          <w:p w14:paraId="3B727DE2">
            <w:pPr>
              <w:ind w:firstLine="480"/>
              <w:rPr>
                <w:rFonts w:hint="eastAsia" w:ascii="宋体" w:hAnsi="宋体" w:eastAsia="宋体" w:cs="宋体"/>
                <w:color w:val="auto"/>
                <w:highlight w:val="yellow"/>
                <w:lang w:val="en-US" w:eastAsia="zh-CN"/>
              </w:rPr>
            </w:pPr>
            <w:r>
              <w:rPr>
                <w:rFonts w:hint="eastAsia" w:ascii="宋体" w:hAnsi="宋体" w:eastAsia="宋体" w:cs="宋体"/>
                <w:snapToGrid w:val="0"/>
                <w:kern w:val="0"/>
                <w:sz w:val="24"/>
                <w:highlight w:val="yellow"/>
                <w:lang w:val="zh-CN"/>
              </w:rPr>
              <w:t>由表</w:t>
            </w:r>
            <w:r>
              <w:rPr>
                <w:rFonts w:hint="eastAsia" w:ascii="宋体" w:hAnsi="宋体" w:eastAsia="宋体" w:cs="宋体"/>
                <w:snapToGrid w:val="0"/>
                <w:kern w:val="0"/>
                <w:sz w:val="24"/>
                <w:highlight w:val="yellow"/>
                <w:lang w:val="en-US" w:eastAsia="zh-CN"/>
              </w:rPr>
              <w:t>4-1</w:t>
            </w:r>
            <w:r>
              <w:rPr>
                <w:rFonts w:hint="eastAsia" w:ascii="宋体" w:hAnsi="宋体" w:eastAsia="宋体" w:cs="宋体"/>
                <w:snapToGrid w:val="0"/>
                <w:kern w:val="0"/>
                <w:sz w:val="24"/>
                <w:highlight w:val="yellow"/>
                <w:lang w:val="zh-CN"/>
              </w:rPr>
              <w:t>分析可知，施工期</w:t>
            </w:r>
            <w:r>
              <w:rPr>
                <w:rFonts w:hint="eastAsia" w:ascii="宋体" w:hAnsi="宋体" w:eastAsia="宋体" w:cs="宋体"/>
                <w:snapToGrid w:val="0"/>
                <w:kern w:val="0"/>
                <w:sz w:val="24"/>
                <w:highlight w:val="yellow"/>
                <w:lang w:val="en-US" w:eastAsia="zh-CN"/>
              </w:rPr>
              <w:t>运输产生的</w:t>
            </w:r>
            <w:r>
              <w:rPr>
                <w:rFonts w:hint="eastAsia" w:ascii="宋体" w:hAnsi="宋体" w:eastAsia="宋体" w:cs="宋体"/>
                <w:snapToGrid w:val="0"/>
                <w:kern w:val="0"/>
                <w:sz w:val="24"/>
                <w:highlight w:val="yellow"/>
              </w:rPr>
              <w:t>TSP</w:t>
            </w:r>
            <w:r>
              <w:rPr>
                <w:rFonts w:hint="eastAsia" w:ascii="宋体" w:hAnsi="宋体" w:eastAsia="宋体" w:cs="宋体"/>
                <w:snapToGrid w:val="0"/>
                <w:kern w:val="0"/>
                <w:sz w:val="24"/>
                <w:highlight w:val="yellow"/>
                <w:lang w:val="zh-CN"/>
              </w:rPr>
              <w:t>污染严重，</w:t>
            </w:r>
            <w:r>
              <w:rPr>
                <w:rFonts w:hint="eastAsia" w:ascii="宋体" w:hAnsi="宋体" w:eastAsia="宋体" w:cs="宋体"/>
                <w:snapToGrid w:val="0"/>
                <w:kern w:val="0"/>
                <w:sz w:val="24"/>
                <w:highlight w:val="yellow"/>
              </w:rPr>
              <w:t>风速为2.5m/s的情形下，</w:t>
            </w:r>
            <w:r>
              <w:rPr>
                <w:rFonts w:hint="eastAsia" w:ascii="宋体" w:hAnsi="宋体" w:eastAsia="宋体" w:cs="宋体"/>
                <w:snapToGrid w:val="0"/>
                <w:kern w:val="0"/>
                <w:sz w:val="24"/>
                <w:highlight w:val="yellow"/>
                <w:lang w:val="zh-CN"/>
              </w:rPr>
              <w:t>土方在装卸、运输及砂石运输中，距现场</w:t>
            </w:r>
            <w:r>
              <w:rPr>
                <w:rFonts w:hint="eastAsia" w:ascii="宋体" w:hAnsi="宋体" w:eastAsia="宋体" w:cs="宋体"/>
                <w:snapToGrid w:val="0"/>
                <w:kern w:val="0"/>
                <w:sz w:val="24"/>
                <w:highlight w:val="yellow"/>
              </w:rPr>
              <w:t>100m</w:t>
            </w:r>
            <w:r>
              <w:rPr>
                <w:rFonts w:hint="eastAsia" w:ascii="宋体" w:hAnsi="宋体" w:eastAsia="宋体" w:cs="宋体"/>
                <w:snapToGrid w:val="0"/>
                <w:kern w:val="0"/>
                <w:sz w:val="24"/>
                <w:highlight w:val="yellow"/>
                <w:lang w:val="zh-CN"/>
              </w:rPr>
              <w:t>处环境空气中</w:t>
            </w:r>
            <w:r>
              <w:rPr>
                <w:rFonts w:hint="eastAsia" w:ascii="宋体" w:hAnsi="宋体" w:eastAsia="宋体" w:cs="宋体"/>
                <w:snapToGrid w:val="0"/>
                <w:kern w:val="0"/>
                <w:sz w:val="24"/>
                <w:highlight w:val="yellow"/>
              </w:rPr>
              <w:t>TSP</w:t>
            </w:r>
            <w:r>
              <w:rPr>
                <w:rFonts w:hint="eastAsia" w:ascii="宋体" w:hAnsi="宋体" w:eastAsia="宋体" w:cs="宋体"/>
                <w:snapToGrid w:val="0"/>
                <w:kern w:val="0"/>
                <w:sz w:val="24"/>
                <w:highlight w:val="yellow"/>
                <w:lang w:val="zh-CN"/>
              </w:rPr>
              <w:t>浓度高达</w:t>
            </w:r>
            <w:r>
              <w:rPr>
                <w:rFonts w:hint="eastAsia" w:ascii="宋体" w:hAnsi="宋体" w:eastAsia="宋体" w:cs="宋体"/>
                <w:snapToGrid w:val="0"/>
                <w:kern w:val="0"/>
                <w:sz w:val="24"/>
                <w:highlight w:val="yellow"/>
              </w:rPr>
              <w:t>8.8mg/m</w:t>
            </w:r>
            <w:r>
              <w:rPr>
                <w:rFonts w:hint="eastAsia" w:ascii="宋体" w:hAnsi="宋体" w:eastAsia="宋体" w:cs="宋体"/>
                <w:snapToGrid w:val="0"/>
                <w:kern w:val="0"/>
                <w:sz w:val="24"/>
                <w:highlight w:val="yellow"/>
                <w:vertAlign w:val="superscript"/>
              </w:rPr>
              <w:t>3</w:t>
            </w:r>
            <w:r>
              <w:rPr>
                <w:rFonts w:hint="eastAsia" w:ascii="宋体" w:hAnsi="宋体" w:eastAsia="宋体" w:cs="宋体"/>
                <w:snapToGrid w:val="0"/>
                <w:kern w:val="0"/>
                <w:sz w:val="24"/>
                <w:highlight w:val="yellow"/>
                <w:lang w:val="zh-CN"/>
              </w:rPr>
              <w:t>，</w:t>
            </w:r>
            <w:r>
              <w:rPr>
                <w:rFonts w:hint="eastAsia" w:ascii="宋体" w:hAnsi="宋体" w:eastAsia="宋体" w:cs="宋体"/>
                <w:snapToGrid w:val="0"/>
                <w:kern w:val="0"/>
                <w:sz w:val="24"/>
                <w:highlight w:val="yellow"/>
              </w:rPr>
              <w:t>150m</w:t>
            </w:r>
            <w:r>
              <w:rPr>
                <w:rFonts w:hint="eastAsia" w:ascii="宋体" w:hAnsi="宋体" w:eastAsia="宋体" w:cs="宋体"/>
                <w:snapToGrid w:val="0"/>
                <w:kern w:val="0"/>
                <w:sz w:val="24"/>
                <w:highlight w:val="yellow"/>
                <w:lang w:val="zh-CN"/>
              </w:rPr>
              <w:t>处环境空气中</w:t>
            </w:r>
            <w:r>
              <w:rPr>
                <w:rFonts w:hint="eastAsia" w:ascii="宋体" w:hAnsi="宋体" w:eastAsia="宋体" w:cs="宋体"/>
                <w:snapToGrid w:val="0"/>
                <w:kern w:val="0"/>
                <w:sz w:val="24"/>
                <w:highlight w:val="yellow"/>
              </w:rPr>
              <w:t>TSP</w:t>
            </w:r>
            <w:r>
              <w:rPr>
                <w:rFonts w:hint="eastAsia" w:ascii="宋体" w:hAnsi="宋体" w:eastAsia="宋体" w:cs="宋体"/>
                <w:snapToGrid w:val="0"/>
                <w:kern w:val="0"/>
                <w:sz w:val="24"/>
                <w:highlight w:val="yellow"/>
                <w:lang w:val="zh-CN"/>
              </w:rPr>
              <w:t>浓度仍达</w:t>
            </w:r>
            <w:r>
              <w:rPr>
                <w:rFonts w:hint="eastAsia" w:ascii="宋体" w:hAnsi="宋体" w:eastAsia="宋体" w:cs="宋体"/>
                <w:snapToGrid w:val="0"/>
                <w:kern w:val="0"/>
                <w:sz w:val="24"/>
                <w:highlight w:val="yellow"/>
              </w:rPr>
              <w:t>5.0mg/m</w:t>
            </w:r>
            <w:r>
              <w:rPr>
                <w:rFonts w:hint="eastAsia" w:ascii="宋体" w:hAnsi="宋体" w:eastAsia="宋体" w:cs="宋体"/>
                <w:snapToGrid w:val="0"/>
                <w:kern w:val="0"/>
                <w:sz w:val="24"/>
                <w:highlight w:val="yellow"/>
                <w:vertAlign w:val="superscript"/>
              </w:rPr>
              <w:t>3</w:t>
            </w:r>
            <w:r>
              <w:rPr>
                <w:rFonts w:hint="eastAsia" w:ascii="宋体" w:hAnsi="宋体" w:eastAsia="宋体" w:cs="宋体"/>
                <w:snapToGrid w:val="0"/>
                <w:kern w:val="0"/>
                <w:sz w:val="24"/>
                <w:highlight w:val="yellow"/>
                <w:lang w:val="zh-CN"/>
              </w:rPr>
              <w:t>，</w:t>
            </w:r>
            <w:r>
              <w:rPr>
                <w:rFonts w:hint="eastAsia" w:ascii="宋体" w:hAnsi="宋体" w:eastAsia="宋体" w:cs="宋体"/>
                <w:snapToGrid w:val="0"/>
                <w:kern w:val="0"/>
                <w:sz w:val="24"/>
                <w:highlight w:val="yellow"/>
              </w:rPr>
              <w:t>均超过了GB3095—2012《环境空气质量标准》的要求，施工期TSP影响较严重。虽然这种影响是短暂的，也应采取有效的措施，尽量减少粉尘的排放。</w:t>
            </w:r>
          </w:p>
          <w:p w14:paraId="47F31C2A">
            <w:pPr>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3、施工期噪声影响分析</w:t>
            </w:r>
          </w:p>
          <w:p w14:paraId="4758CCBC">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详见噪声专项评价</w:t>
            </w:r>
            <w:r>
              <w:rPr>
                <w:rFonts w:hint="eastAsia" w:ascii="宋体" w:hAnsi="宋体" w:cs="宋体"/>
                <w:color w:val="auto"/>
                <w:highlight w:val="none"/>
                <w:lang w:val="en-US" w:eastAsia="zh-CN"/>
              </w:rPr>
              <w:t>。</w:t>
            </w:r>
          </w:p>
          <w:p w14:paraId="37B264A9">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4、施工期固体废物影响分析</w:t>
            </w:r>
          </w:p>
          <w:p w14:paraId="748AF94E">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本项目施工期产生的固体废物主要为挖方施工过程产生的弃土渣、车辆冲洗产生的沉淀砂石和施工人员产生的生活垃圾。</w:t>
            </w:r>
          </w:p>
          <w:p w14:paraId="1556F122">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①生活垃圾</w:t>
            </w:r>
          </w:p>
          <w:p w14:paraId="6DC1D1DD">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本项目不设置施工营地，本项目施工人数为50人，不在施工现场食宿，产生的生活垃圾量为0.05kg/d。本项目生活垃圾产生量为2.5kg/d，施工期共产生生活垃圾0.25t。产生的生活垃圾交环卫部门清运处理。</w:t>
            </w:r>
          </w:p>
          <w:p w14:paraId="7D688AFA">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②弃土渣</w:t>
            </w:r>
          </w:p>
          <w:p w14:paraId="4531502E">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本项目在道路工程的建设中将产生挖方废料，主要是弯道处路基、边沟、桥涵、基础道路开挖产生的弃土渣，产生约有</w:t>
            </w:r>
            <w:r>
              <w:rPr>
                <w:rFonts w:hint="eastAsia" w:ascii="宋体" w:hAnsi="宋体" w:eastAsia="宋体" w:cs="宋体"/>
                <w:smallCaps w:val="0"/>
                <w:color w:val="auto"/>
                <w:kern w:val="0"/>
                <w:sz w:val="24"/>
                <w:szCs w:val="24"/>
                <w:highlight w:val="none"/>
                <w:lang w:val="en-US" w:eastAsia="zh-CN"/>
              </w:rPr>
              <w:t>10101.9m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color w:val="auto"/>
                <w:highlight w:val="none"/>
                <w:lang w:val="en-US" w:eastAsia="zh-CN"/>
              </w:rPr>
              <w:t>，工程建设过程中产生的弃土渣统一送至指定建筑垃圾处置消纳场，不会对环境产生二次污染。</w:t>
            </w:r>
          </w:p>
          <w:p w14:paraId="6BA2B62B">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yellow"/>
                <w:lang w:val="en-US" w:eastAsia="zh-CN"/>
              </w:rPr>
            </w:pPr>
            <w:r>
              <w:rPr>
                <w:rFonts w:hint="eastAsia" w:ascii="宋体" w:hAnsi="宋体" w:eastAsia="宋体" w:cs="宋体"/>
                <w:color w:val="auto"/>
                <w:highlight w:val="yellow"/>
                <w:lang w:val="en-US" w:eastAsia="zh-CN"/>
              </w:rPr>
              <w:t>③沉淀砂石</w:t>
            </w:r>
          </w:p>
          <w:p w14:paraId="608189FE">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rPr>
                <w:rFonts w:hint="eastAsia" w:ascii="宋体" w:hAnsi="宋体" w:eastAsia="宋体" w:cs="宋体"/>
                <w:sz w:val="24"/>
                <w:szCs w:val="24"/>
                <w:highlight w:val="yellow"/>
                <w:lang w:val="en-US" w:eastAsia="zh-CN"/>
              </w:rPr>
            </w:pPr>
            <w:r>
              <w:rPr>
                <w:rFonts w:hint="eastAsia" w:ascii="宋体" w:hAnsi="宋体" w:eastAsia="宋体" w:cs="宋体"/>
                <w:sz w:val="24"/>
                <w:szCs w:val="24"/>
                <w:highlight w:val="yellow"/>
                <w:lang w:val="en-US" w:eastAsia="zh-CN"/>
              </w:rPr>
              <w:t>本项目施工时间为100天，约15周，每周产生沉淀砂石0.5t，施工期产生沉淀砂石量为7.5t。沉淀池设于施工工场处，沉淀池规格为6m×3m×2m。沉淀池上方为沥水板，车辆冲洗后冲洗水进入沉淀池沉淀，冲洗水经沉底后回用，不外排。施工结束后拆除沉淀池，恢复原有地貌。产生沉淀砂石拉运至双鸭山市建筑垃圾处置消纳场处理。</w:t>
            </w:r>
          </w:p>
          <w:p w14:paraId="0145C2AD">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5、施工期对生态环境的影响分析</w:t>
            </w:r>
          </w:p>
          <w:p w14:paraId="3A13B6C1">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spacing w:val="0"/>
                <w:w w:val="100"/>
                <w:position w:val="0"/>
                <w:sz w:val="24"/>
                <w:szCs w:val="24"/>
                <w:highlight w:val="none"/>
                <w:lang w:val="en-US" w:eastAsia="zh-CN"/>
              </w:rPr>
            </w:pPr>
            <w:r>
              <w:rPr>
                <w:rFonts w:hint="eastAsia" w:ascii="宋体" w:hAnsi="宋体" w:eastAsia="宋体" w:cs="宋体"/>
                <w:color w:val="auto"/>
                <w:spacing w:val="0"/>
                <w:w w:val="100"/>
                <w:position w:val="0"/>
                <w:sz w:val="24"/>
                <w:szCs w:val="24"/>
                <w:highlight w:val="none"/>
                <w:lang w:val="en-US" w:eastAsia="zh-CN"/>
              </w:rPr>
              <w:t>具体影响见生态专项评价。</w:t>
            </w:r>
          </w:p>
        </w:tc>
      </w:tr>
      <w:tr w14:paraId="096230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6" w:hRule="atLeast"/>
          <w:jc w:val="center"/>
        </w:trPr>
        <w:tc>
          <w:tcPr>
            <w:tcW w:w="711" w:type="dxa"/>
            <w:noWrap w:val="0"/>
            <w:tcMar>
              <w:left w:w="28" w:type="dxa"/>
              <w:right w:w="28" w:type="dxa"/>
            </w:tcMar>
            <w:vAlign w:val="center"/>
          </w:tcPr>
          <w:p w14:paraId="7BD11F86">
            <w:pPr>
              <w:pStyle w:val="28"/>
              <w:adjustRightInd w:val="0"/>
              <w:snapToGrid w:val="0"/>
              <w:spacing w:before="0" w:beforeAutospacing="0" w:after="0" w:afterAutospacing="0"/>
              <w:ind w:firstLine="0" w:firstLineChars="0"/>
              <w:jc w:val="center"/>
              <w:rPr>
                <w:rFonts w:hint="eastAsia" w:ascii="宋体" w:hAnsi="宋体" w:eastAsia="宋体" w:cs="宋体"/>
                <w:bCs/>
                <w:smallCaps w:val="0"/>
                <w:color w:val="auto"/>
                <w:kern w:val="2"/>
                <w:sz w:val="21"/>
                <w:szCs w:val="21"/>
                <w:highlight w:val="none"/>
                <w:lang w:val="en-US" w:eastAsia="zh-CN"/>
              </w:rPr>
            </w:pPr>
            <w:r>
              <w:rPr>
                <w:rFonts w:hint="eastAsia" w:ascii="宋体" w:hAnsi="宋体" w:eastAsia="宋体" w:cs="宋体"/>
                <w:bCs/>
                <w:smallCaps w:val="0"/>
                <w:color w:val="auto"/>
                <w:kern w:val="2"/>
                <w:sz w:val="21"/>
                <w:szCs w:val="21"/>
                <w:highlight w:val="none"/>
                <w:lang w:val="en-US" w:eastAsia="zh-CN"/>
              </w:rPr>
              <w:t>运营期生态环境影响分析</w:t>
            </w:r>
          </w:p>
        </w:tc>
        <w:tc>
          <w:tcPr>
            <w:tcW w:w="8361" w:type="dxa"/>
            <w:noWrap w:val="0"/>
            <w:vAlign w:val="top"/>
          </w:tcPr>
          <w:p w14:paraId="5744659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rPr>
              <w:t>1</w:t>
            </w:r>
            <w:r>
              <w:rPr>
                <w:rFonts w:hint="eastAsia" w:ascii="宋体" w:hAnsi="宋体" w:eastAsia="宋体" w:cs="宋体"/>
                <w:smallCaps w:val="0"/>
                <w:color w:val="auto"/>
                <w:highlight w:val="none"/>
                <w:shd w:val="clear" w:color="auto" w:fill="auto"/>
              </w:rPr>
              <w:t>、</w:t>
            </w:r>
            <w:r>
              <w:rPr>
                <w:rFonts w:hint="eastAsia" w:ascii="宋体" w:hAnsi="宋体" w:eastAsia="宋体" w:cs="宋体"/>
                <w:smallCaps w:val="0"/>
                <w:color w:val="auto"/>
                <w:highlight w:val="none"/>
                <w:shd w:val="clear" w:color="auto" w:fill="auto"/>
                <w:lang w:val="en-US" w:eastAsia="zh-CN"/>
              </w:rPr>
              <w:t>营运期废水影响分析</w:t>
            </w:r>
          </w:p>
          <w:p w14:paraId="51A25E6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shd w:val="clear" w:color="auto" w:fill="auto"/>
                <w:lang w:val="en-US" w:eastAsia="zh-CN"/>
              </w:rPr>
              <w:t>项目建成后废水主要为雨季降雨产生的地表径流。因车辆的驶入可能会存在车辆燃油、机油滴漏到路面及桥面，车辆的行驶也会携带泥沙等，污染物主要是COD、石油类、SS等。</w:t>
            </w:r>
          </w:p>
          <w:p w14:paraId="12B1DCF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rPr>
            </w:pPr>
            <w:r>
              <w:rPr>
                <w:rFonts w:hint="eastAsia" w:ascii="宋体" w:hAnsi="宋体" w:eastAsia="宋体" w:cs="宋体"/>
                <w:smallCaps w:val="0"/>
                <w:color w:val="auto"/>
                <w:highlight w:val="none"/>
                <w:shd w:val="clear" w:color="auto" w:fill="auto"/>
                <w:lang w:val="en-US" w:eastAsia="zh-CN"/>
              </w:rPr>
              <w:t>地面径流污染影响主要取决于降雨量和两场降雨之间的间隔时间，两场雨之间的间隔时间越长，则路面及大气中积累的污染物量越多，降雨量的大小直接影响着初期雨水中污染浓度的大小。一般情况下，路面径流污染物随着降雨和路面及大气污染的增大而增大，排污速率随着降雨时间的延长而减少。相关研究资料表明，在正常状态下，路面径流污染物浓度不大，基本可接近国家规定的排放标准，不会造成对环境的污染影响。</w:t>
            </w:r>
          </w:p>
          <w:p w14:paraId="663F066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color w:val="auto"/>
                <w:spacing w:val="0"/>
                <w:w w:val="100"/>
                <w:position w:val="0"/>
                <w:sz w:val="24"/>
                <w:szCs w:val="24"/>
                <w:highlight w:val="none"/>
              </w:rPr>
            </w:pPr>
            <w:r>
              <w:rPr>
                <w:rFonts w:hint="eastAsia" w:ascii="宋体" w:hAnsi="宋体" w:eastAsia="宋体" w:cs="宋体"/>
                <w:color w:val="auto"/>
                <w:spacing w:val="0"/>
                <w:w w:val="100"/>
                <w:position w:val="0"/>
                <w:sz w:val="24"/>
                <w:szCs w:val="24"/>
                <w:highlight w:val="none"/>
              </w:rPr>
              <w:t>在运营期中应特别注意保持路面雨水的收集和导排能力，并加强道路路面的清洁环卫工作。本项目道路径流污染物通过</w:t>
            </w:r>
            <w:r>
              <w:rPr>
                <w:rFonts w:hint="eastAsia" w:ascii="宋体" w:hAnsi="宋体" w:eastAsia="宋体" w:cs="宋体"/>
                <w:color w:val="auto"/>
                <w:spacing w:val="0"/>
                <w:w w:val="100"/>
                <w:position w:val="0"/>
                <w:sz w:val="24"/>
                <w:szCs w:val="24"/>
                <w:highlight w:val="none"/>
                <w:lang w:val="en-US" w:eastAsia="zh-CN"/>
              </w:rPr>
              <w:t>道路两侧边沟</w:t>
            </w:r>
            <w:r>
              <w:rPr>
                <w:rFonts w:hint="eastAsia" w:ascii="宋体" w:hAnsi="宋体" w:eastAsia="宋体" w:cs="宋体"/>
                <w:color w:val="auto"/>
                <w:spacing w:val="0"/>
                <w:w w:val="100"/>
                <w:position w:val="0"/>
                <w:sz w:val="24"/>
                <w:szCs w:val="24"/>
                <w:highlight w:val="none"/>
              </w:rPr>
              <w:t>汇入</w:t>
            </w:r>
            <w:r>
              <w:rPr>
                <w:rFonts w:hint="eastAsia" w:ascii="宋体" w:hAnsi="宋体" w:eastAsia="宋体" w:cs="宋体"/>
                <w:color w:val="auto"/>
                <w:spacing w:val="0"/>
                <w:w w:val="100"/>
                <w:position w:val="0"/>
                <w:sz w:val="24"/>
                <w:szCs w:val="24"/>
                <w:highlight w:val="none"/>
                <w:lang w:val="en-US" w:eastAsia="zh-CN"/>
              </w:rPr>
              <w:t>马蹄河</w:t>
            </w:r>
            <w:r>
              <w:rPr>
                <w:rFonts w:hint="eastAsia" w:ascii="宋体" w:hAnsi="宋体" w:eastAsia="宋体" w:cs="宋体"/>
                <w:color w:val="auto"/>
                <w:spacing w:val="0"/>
                <w:w w:val="100"/>
                <w:position w:val="0"/>
                <w:sz w:val="24"/>
                <w:szCs w:val="24"/>
                <w:highlight w:val="none"/>
              </w:rPr>
              <w:t>后经过稀释、自净作用，对</w:t>
            </w:r>
            <w:r>
              <w:rPr>
                <w:rFonts w:hint="eastAsia" w:ascii="宋体" w:hAnsi="宋体" w:eastAsia="宋体" w:cs="宋体"/>
                <w:color w:val="auto"/>
                <w:spacing w:val="0"/>
                <w:w w:val="100"/>
                <w:position w:val="0"/>
                <w:sz w:val="24"/>
                <w:szCs w:val="24"/>
                <w:highlight w:val="none"/>
                <w:lang w:val="en-US" w:eastAsia="zh-CN"/>
              </w:rPr>
              <w:t>地表水环境</w:t>
            </w:r>
            <w:r>
              <w:rPr>
                <w:rFonts w:hint="eastAsia" w:ascii="宋体" w:hAnsi="宋体" w:eastAsia="宋体" w:cs="宋体"/>
                <w:color w:val="auto"/>
                <w:spacing w:val="0"/>
                <w:w w:val="100"/>
                <w:position w:val="0"/>
                <w:sz w:val="24"/>
                <w:szCs w:val="24"/>
                <w:highlight w:val="none"/>
              </w:rPr>
              <w:t>影响较小。</w:t>
            </w:r>
          </w:p>
          <w:p w14:paraId="2DA9359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shd w:val="clear" w:color="auto" w:fill="auto"/>
              </w:rPr>
              <w:t>2、</w:t>
            </w:r>
            <w:r>
              <w:rPr>
                <w:rFonts w:hint="eastAsia" w:ascii="宋体" w:hAnsi="宋体" w:eastAsia="宋体" w:cs="宋体"/>
                <w:smallCaps w:val="0"/>
                <w:color w:val="auto"/>
                <w:highlight w:val="none"/>
                <w:shd w:val="clear" w:color="auto" w:fill="auto"/>
                <w:lang w:val="en-US" w:eastAsia="zh-CN"/>
              </w:rPr>
              <w:t>营运期大气影响分析</w:t>
            </w:r>
          </w:p>
          <w:p w14:paraId="5F80B81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shd w:val="clear" w:color="auto" w:fill="auto"/>
                <w:lang w:val="en-US" w:eastAsia="zh-CN"/>
              </w:rPr>
              <w:t>营运期废气主要为道路建成后行驶车辆产生的汽车尾气以及汽车携带的粉尘颗粒物，汽车尾气的主要污染物为HC、CO、NOx等。实施后增加了道路沿线绿化面积，可在一定程度上减轻汽车尾气污染，同时对携带大量泥沙的汽车禁止进入。减少车辆行驶产生的交通扬尘。</w:t>
            </w:r>
          </w:p>
          <w:p w14:paraId="4002BD8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mallCaps w:val="0"/>
                <w:color w:val="auto"/>
                <w:highlight w:val="none"/>
                <w:shd w:val="clear" w:color="auto" w:fill="auto"/>
              </w:rPr>
            </w:pPr>
            <w:r>
              <w:rPr>
                <w:rFonts w:hint="eastAsia" w:ascii="宋体" w:hAnsi="宋体" w:eastAsia="宋体" w:cs="宋体"/>
                <w:smallCaps w:val="0"/>
                <w:color w:val="auto"/>
                <w:highlight w:val="none"/>
                <w:shd w:val="clear" w:color="auto" w:fill="auto"/>
              </w:rPr>
              <w:t>3、噪声</w:t>
            </w:r>
          </w:p>
          <w:p w14:paraId="0F4E78F7">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shd w:val="clear" w:color="auto" w:fill="auto"/>
                <w:lang w:val="en-US" w:eastAsia="zh-CN"/>
              </w:rPr>
              <w:t>详见噪声专项评价。</w:t>
            </w:r>
          </w:p>
          <w:p w14:paraId="2C5FA751">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ascii="宋体" w:hAnsi="宋体" w:eastAsia="宋体" w:cs="宋体"/>
                <w:smallCaps w:val="0"/>
                <w:color w:val="auto"/>
                <w:highlight w:val="none"/>
                <w:shd w:val="clear" w:color="auto" w:fill="auto"/>
                <w:lang w:val="en-US" w:eastAsia="zh-CN"/>
              </w:rPr>
            </w:pPr>
            <w:r>
              <w:rPr>
                <w:rFonts w:hint="eastAsia" w:ascii="宋体" w:hAnsi="宋体" w:eastAsia="宋体" w:cs="宋体"/>
                <w:smallCaps w:val="0"/>
                <w:color w:val="auto"/>
                <w:highlight w:val="none"/>
                <w:shd w:val="clear" w:color="auto" w:fill="auto"/>
                <w:lang w:val="en-US" w:eastAsia="zh-CN"/>
              </w:rPr>
              <w:t>4、固体废物</w:t>
            </w:r>
          </w:p>
          <w:p w14:paraId="1255B8B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color w:val="auto"/>
                <w:spacing w:val="0"/>
                <w:w w:val="100"/>
                <w:position w:val="0"/>
                <w:sz w:val="24"/>
                <w:szCs w:val="24"/>
                <w:highlight w:val="none"/>
              </w:rPr>
              <w:t>道路本身不产生固体废物。运营期固体废物主要包括降尘、载重汽车散落的固体废物，以及行人随意丢弃的垃圾废物。项目营运期产生的固体废物数量较有限，道路建成后，建议市政部门应委派专人负责清理，及时清运和妥善处置后，对环境影响不大。</w:t>
            </w:r>
          </w:p>
          <w:p w14:paraId="010757F0">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5、地下水影响分析</w:t>
            </w:r>
          </w:p>
          <w:p w14:paraId="322BCAC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根据《环境影响评价技术导则地下水环境》（HJ610-2016），本项目属于“附录A地下水环境影响评价行业分类表”中的“</w:t>
            </w:r>
            <w:r>
              <w:rPr>
                <w:rFonts w:hint="eastAsia" w:ascii="宋体" w:hAnsi="宋体" w:eastAsia="宋体" w:cs="宋体"/>
                <w:smallCaps w:val="0"/>
                <w:color w:val="auto"/>
                <w:sz w:val="24"/>
                <w:szCs w:val="24"/>
                <w:highlight w:val="none"/>
                <w:lang w:val="en-US"/>
              </w:rPr>
              <w:t>五十二、交通运输业、管道运输业</w:t>
            </w:r>
            <w:r>
              <w:rPr>
                <w:rFonts w:hint="eastAsia" w:ascii="宋体" w:hAnsi="宋体" w:eastAsia="宋体" w:cs="宋体"/>
                <w:smallCaps w:val="0"/>
                <w:color w:val="auto"/>
                <w:sz w:val="24"/>
                <w:szCs w:val="24"/>
                <w:highlight w:val="none"/>
                <w:lang w:val="en-US" w:eastAsia="zh-CN"/>
              </w:rPr>
              <w:t>-130</w:t>
            </w:r>
            <w:r>
              <w:rPr>
                <w:rFonts w:hint="eastAsia" w:ascii="宋体" w:hAnsi="宋体" w:eastAsia="宋体" w:cs="宋体"/>
                <w:smallCaps w:val="0"/>
                <w:color w:val="auto"/>
                <w:sz w:val="24"/>
                <w:szCs w:val="24"/>
                <w:highlight w:val="none"/>
                <w:lang w:val="en-US"/>
              </w:rPr>
              <w:t>等级公路</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不含维护</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不含生命救援、应急保通工程以及国防交通保障项目</w:t>
            </w:r>
            <w:r>
              <w:rPr>
                <w:rFonts w:hint="eastAsia" w:ascii="宋体" w:hAnsi="宋体" w:eastAsia="宋体" w:cs="宋体"/>
                <w:smallCaps w:val="0"/>
                <w:color w:val="auto"/>
                <w:sz w:val="24"/>
                <w:szCs w:val="24"/>
                <w:highlight w:val="none"/>
                <w:lang w:val="en-US" w:eastAsia="zh-CN"/>
              </w:rPr>
              <w:t>；</w:t>
            </w:r>
            <w:r>
              <w:rPr>
                <w:rFonts w:hint="eastAsia" w:ascii="宋体" w:hAnsi="宋体" w:eastAsia="宋体" w:cs="宋体"/>
                <w:smallCaps w:val="0"/>
                <w:color w:val="auto"/>
                <w:sz w:val="24"/>
                <w:szCs w:val="24"/>
                <w:highlight w:val="none"/>
                <w:lang w:val="en-US"/>
              </w:rPr>
              <w:t>不含改扩建四级公路)</w:t>
            </w:r>
            <w:r>
              <w:rPr>
                <w:rFonts w:hint="eastAsia" w:ascii="宋体" w:hAnsi="宋体" w:eastAsia="宋体" w:cs="宋体"/>
                <w:smallCaps w:val="0"/>
                <w:color w:val="auto"/>
                <w:sz w:val="24"/>
                <w:szCs w:val="24"/>
                <w:highlight w:val="none"/>
                <w:lang w:val="en-US" w:eastAsia="zh-CN"/>
              </w:rPr>
              <w:t>-其他</w:t>
            </w:r>
            <w:r>
              <w:rPr>
                <w:rFonts w:hint="eastAsia" w:ascii="宋体" w:hAnsi="宋体" w:eastAsia="宋体" w:cs="宋体"/>
                <w:bCs/>
                <w:smallCaps w:val="0"/>
                <w:color w:val="auto"/>
                <w:szCs w:val="21"/>
                <w:highlight w:val="none"/>
                <w:lang w:val="en-US" w:eastAsia="zh-CN"/>
              </w:rPr>
              <w:t>”，属于地下水环境影响评价Ⅳ类项目，不需开展地下水环境影响评价工作。</w:t>
            </w:r>
          </w:p>
          <w:p w14:paraId="397C6637">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6、土壤环境影响分析</w:t>
            </w:r>
          </w:p>
          <w:p w14:paraId="1580E467">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根据《环境影响评价技术导则土壤环境》（HJ 964-2018）附录A，本项目属于“其他行业”中的“全部”类别，为土壤环境Ⅳ类项目，可不开展土壤环境影响评价工作。</w:t>
            </w:r>
          </w:p>
          <w:p w14:paraId="6FCDE9C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7、道路运输风险</w:t>
            </w:r>
          </w:p>
          <w:p w14:paraId="13BC336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项目运营后，车辆运输过程中会不可避免地涉及危险货品。当危险品运输车辆通过本项目时，若发生翻车、交通事故等突发状况，危险化学品可能发生泄漏并进入项目周边土壤及环境空气。不过，由于本项目所建设道路地势平坦且路况良好，运输危险化学品的车辆在该路段发生事故的概率相对较低。可通过加强对运输车辆的管理，提醒危险品运输司机在该路段减速行驶，以降低危险事故的发生概率。一旦发生风险事故，应立即通知风险应急小组，及时启动突发环境事件应急预案。</w:t>
            </w:r>
          </w:p>
        </w:tc>
      </w:tr>
      <w:tr w14:paraId="415C44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noWrap w:val="0"/>
            <w:vAlign w:val="center"/>
          </w:tcPr>
          <w:p w14:paraId="7C8EBB05">
            <w:pPr>
              <w:pStyle w:val="28"/>
              <w:adjustRightInd w:val="0"/>
              <w:snapToGrid w:val="0"/>
              <w:spacing w:before="0" w:beforeAutospacing="0" w:after="0" w:afterAutospacing="0" w:line="240" w:lineRule="auto"/>
              <w:ind w:firstLine="0" w:firstLineChars="0"/>
              <w:jc w:val="center"/>
              <w:textAlignment w:val="center"/>
              <w:rPr>
                <w:rFonts w:hint="eastAsia" w:ascii="宋体" w:hAnsi="宋体" w:eastAsia="宋体" w:cs="宋体"/>
                <w:bCs/>
                <w:smallCaps w:val="0"/>
                <w:color w:val="auto"/>
                <w:kern w:val="2"/>
                <w:sz w:val="21"/>
                <w:szCs w:val="21"/>
                <w:highlight w:val="none"/>
                <w:lang w:val="en-US" w:eastAsia="zh-CN"/>
              </w:rPr>
            </w:pPr>
            <w:r>
              <w:rPr>
                <w:rFonts w:hint="eastAsia" w:ascii="宋体" w:hAnsi="宋体" w:eastAsia="宋体" w:cs="宋体"/>
                <w:bCs/>
                <w:smallCaps w:val="0"/>
                <w:color w:val="auto"/>
                <w:kern w:val="2"/>
                <w:sz w:val="21"/>
                <w:szCs w:val="21"/>
                <w:highlight w:val="none"/>
                <w:lang w:val="en-US" w:eastAsia="zh-CN"/>
              </w:rPr>
              <w:t>选址选线环境合理性分析</w:t>
            </w:r>
          </w:p>
        </w:tc>
        <w:tc>
          <w:tcPr>
            <w:tcW w:w="8361" w:type="dxa"/>
            <w:noWrap w:val="0"/>
            <w:vAlign w:val="center"/>
          </w:tcPr>
          <w:p w14:paraId="33CC56A1">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一、临时占地合理性分析</w:t>
            </w:r>
          </w:p>
          <w:p w14:paraId="276FC7CF">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Cs/>
                <w:smallCaps w:val="0"/>
                <w:color w:val="auto"/>
                <w:szCs w:val="21"/>
                <w:highlight w:val="none"/>
                <w:lang w:val="en-US" w:eastAsia="zh-CN"/>
              </w:rPr>
            </w:pPr>
            <w:r>
              <w:rPr>
                <w:rFonts w:hint="eastAsia" w:ascii="宋体" w:hAnsi="宋体" w:eastAsia="宋体" w:cs="宋体"/>
                <w:bCs/>
                <w:smallCaps w:val="0"/>
                <w:color w:val="auto"/>
                <w:szCs w:val="21"/>
                <w:highlight w:val="none"/>
                <w:lang w:val="en-US" w:eastAsia="zh-CN"/>
              </w:rPr>
              <w:t>根据《自然资源部关于规范临时用地管理的通知》（自然资规[2021]2号)，铁路公路等单独选址建设项目，应科学组织施工，节约集约使用临时用地。制梁场、拌和站等难以恢复原种植条件的不得以临时用地方式占用耕地和永久基本农田，可以建设用地方式或者临时占用未利用地方式使用土地。临时用地确需占用永久基本农田的，必须能够恢复原种植条件，并符合《自然资源部农业农村部关于加强和改进永久基本农田保护工作的通知》（自然资规[2019]1号)中申请条件、土壤剥离、复垦验收等有关规定。施工驻地等临时占地不得占用国家重点公益林，不得占用特殊、重要生态环境敏感区或饮用水水源保护区；沥青拌和站距环境保护目标距离不宜小于300m，混凝土拌和站距环境保护目标距离不宜小于200m，且位置应交通便利，避免运距过长，减少施工便道的修建。“项目不设置集中取土场、不设永久弃土场，所用筑路材料外购合鑫采石场；本项目弃土、弃渣暂存至临时弃渣场，弃渣拉运至双鸭山建筑垃圾处置消纳场处理。项目不设置基层、面层拌和站，所用水泥混凝土、沥青混凝土均外购。不设置施工驻地。本项目临时占地</w:t>
            </w:r>
            <w:r>
              <w:rPr>
                <w:rFonts w:hint="eastAsia" w:ascii="宋体" w:hAnsi="宋体" w:eastAsia="宋体" w:cs="宋体"/>
                <w:smallCaps w:val="0"/>
                <w:color w:val="auto"/>
                <w:kern w:val="0"/>
                <w:highlight w:val="none"/>
                <w:lang w:val="en-US" w:eastAsia="zh-CN"/>
              </w:rPr>
              <w:t>5808.2m</w:t>
            </w:r>
            <w:r>
              <w:rPr>
                <w:rFonts w:hint="eastAsia" w:ascii="宋体" w:hAnsi="宋体" w:eastAsia="宋体" w:cs="宋体"/>
                <w:smallCaps w:val="0"/>
                <w:color w:val="auto"/>
                <w:kern w:val="0"/>
                <w:highlight w:val="none"/>
                <w:vertAlign w:val="superscript"/>
                <w:lang w:val="en-US" w:eastAsia="zh-CN"/>
              </w:rPr>
              <w:t>2</w:t>
            </w:r>
            <w:r>
              <w:rPr>
                <w:rFonts w:hint="eastAsia" w:ascii="宋体" w:hAnsi="宋体" w:eastAsia="宋体" w:cs="宋体"/>
                <w:bCs/>
                <w:smallCaps w:val="0"/>
                <w:color w:val="auto"/>
                <w:szCs w:val="21"/>
                <w:highlight w:val="none"/>
                <w:lang w:val="en-US" w:eastAsia="zh-CN"/>
              </w:rPr>
              <w:t>，主要为施工工场、临时弃渣场</w:t>
            </w:r>
            <w:r>
              <w:rPr>
                <w:rFonts w:hint="eastAsia" w:ascii="宋体" w:hAnsi="宋体" w:eastAsia="宋体" w:cs="宋体"/>
                <w:lang w:val="en-US" w:eastAsia="zh-CN"/>
              </w:rPr>
              <w:t>、表土堆场以及桥涵施工的临时便道</w:t>
            </w:r>
            <w:r>
              <w:rPr>
                <w:rFonts w:hint="eastAsia" w:ascii="宋体" w:hAnsi="宋体" w:eastAsia="宋体" w:cs="宋体"/>
                <w:bCs/>
                <w:smallCaps w:val="0"/>
                <w:color w:val="auto"/>
                <w:szCs w:val="21"/>
                <w:highlight w:val="none"/>
                <w:lang w:val="en-US" w:eastAsia="zh-CN"/>
              </w:rPr>
              <w:t>，占地类型为建设用地、未利用地、闲置耕地，施工结束后均恢复为原地貌。因此，本项目临时占地选址合理。”</w:t>
            </w:r>
          </w:p>
          <w:p w14:paraId="761A5C03">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二、</w:t>
            </w:r>
            <w:r>
              <w:rPr>
                <w:rFonts w:hint="eastAsia" w:ascii="宋体" w:hAnsi="宋体" w:eastAsia="宋体" w:cs="宋体"/>
                <w:bCs/>
                <w:color w:val="auto"/>
                <w:szCs w:val="21"/>
                <w:highlight w:val="none"/>
              </w:rPr>
              <w:t>选线环境合理性分析</w:t>
            </w:r>
          </w:p>
          <w:p w14:paraId="43C95BC9">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在施工期间，本项目主要会对环境产生以下影响：施工扬尘、废水排放、施工人员产生的生活污水、噪声污染以及固体废弃物。然而，由于施工期相对较短，这些影响将是暂时的。进入运营期后，主要的环境影响将转变为交通噪声和汽车尾气排放。在确保遵循报告表中提出的环境保护措施的前提下，本项目的线路选择对环境的影响被认为是可接受的。</w:t>
            </w:r>
          </w:p>
          <w:p w14:paraId="47E934F5">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一旦该工程投入运营，它将显著改善城区的交通条件，进而加速该区域的社会发展。交通的便利性和对外联系的增强，将推动影响区内</w:t>
            </w:r>
            <w:r>
              <w:rPr>
                <w:rFonts w:hint="eastAsia" w:ascii="宋体" w:hAnsi="宋体" w:eastAsia="宋体" w:cs="宋体"/>
                <w:smallCaps w:val="0"/>
                <w:color w:val="auto"/>
                <w:highlight w:val="none"/>
                <w:lang w:eastAsia="zh-CN"/>
              </w:rPr>
              <w:t>第一，</w:t>
            </w:r>
            <w:r>
              <w:rPr>
                <w:rFonts w:hint="eastAsia" w:ascii="宋体" w:hAnsi="宋体" w:eastAsia="宋体" w:cs="宋体"/>
                <w:smallCaps w:val="0"/>
                <w:color w:val="auto"/>
                <w:highlight w:val="none"/>
              </w:rPr>
              <w:t>二、三产业的快速发展，并提高项目建设区域人民的经济收入和生活水平。随着物质生活水平的提升，这将有力地促进社会经济活动、文化教育</w:t>
            </w:r>
            <w:r>
              <w:rPr>
                <w:rFonts w:hint="eastAsia" w:ascii="宋体" w:hAnsi="宋体" w:eastAsia="宋体" w:cs="宋体"/>
                <w:smallCaps w:val="0"/>
                <w:color w:val="auto"/>
                <w:highlight w:val="none"/>
                <w:lang w:eastAsia="zh-CN"/>
              </w:rPr>
              <w:t>以及通信</w:t>
            </w:r>
            <w:r>
              <w:rPr>
                <w:rFonts w:hint="eastAsia" w:ascii="宋体" w:hAnsi="宋体" w:eastAsia="宋体" w:cs="宋体"/>
                <w:smallCaps w:val="0"/>
                <w:color w:val="auto"/>
                <w:highlight w:val="none"/>
              </w:rPr>
              <w:t>等事业的进步，最终提升城区居民的生活质量。</w:t>
            </w:r>
          </w:p>
          <w:p w14:paraId="0F421BB9">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此外，本项目也是完善交通配套设施、改善地区环境、方便居民出行的必要举措。项目的实施将带动该区域市政配套设施的建设，解决雨水和污水的排放问题，实现统一收集、统一排放。这将有助于改善地区环境和沿线交通环境，推动道路配套设施的完善，并充分发挥基础设施建设工程的整体效益。</w:t>
            </w:r>
          </w:p>
          <w:p w14:paraId="3DCCCDC8">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关于施工区域，本项目所在的区域交通便利，</w:t>
            </w:r>
            <w:r>
              <w:rPr>
                <w:rFonts w:hint="eastAsia" w:ascii="宋体" w:hAnsi="宋体" w:eastAsia="宋体" w:cs="宋体"/>
                <w:smallCaps w:val="0"/>
                <w:color w:val="auto"/>
                <w:highlight w:val="none"/>
                <w:lang w:val="en-US" w:eastAsia="zh-CN"/>
              </w:rPr>
              <w:t>混凝土</w:t>
            </w:r>
            <w:r>
              <w:rPr>
                <w:rFonts w:hint="eastAsia" w:ascii="宋体" w:hAnsi="宋体" w:eastAsia="宋体" w:cs="宋体"/>
                <w:smallCaps w:val="0"/>
                <w:color w:val="auto"/>
                <w:highlight w:val="none"/>
                <w:lang w:eastAsia="zh-CN"/>
              </w:rPr>
              <w:t>、</w:t>
            </w:r>
            <w:r>
              <w:rPr>
                <w:rFonts w:hint="eastAsia" w:ascii="宋体" w:hAnsi="宋体" w:eastAsia="宋体" w:cs="宋体"/>
                <w:smallCaps w:val="0"/>
                <w:color w:val="auto"/>
                <w:highlight w:val="none"/>
              </w:rPr>
              <w:t>土石方等施工材料均从市场采购成品。项目不设取土场、临时性</w:t>
            </w:r>
            <w:r>
              <w:rPr>
                <w:rFonts w:hint="eastAsia" w:ascii="宋体" w:hAnsi="宋体" w:eastAsia="宋体" w:cs="宋体"/>
                <w:smallCaps w:val="0"/>
                <w:color w:val="auto"/>
                <w:highlight w:val="none"/>
                <w:lang w:eastAsia="zh-CN"/>
              </w:rPr>
              <w:t>拌和站</w:t>
            </w:r>
            <w:r>
              <w:rPr>
                <w:rFonts w:hint="eastAsia" w:ascii="宋体" w:hAnsi="宋体" w:eastAsia="宋体" w:cs="宋体"/>
                <w:smallCaps w:val="0"/>
                <w:color w:val="auto"/>
                <w:highlight w:val="none"/>
              </w:rPr>
              <w:t>，表土的临时堆放场位于道路红线内。不设施工生活营地，施工人员每日施工结束后即撤离现场。本项目的临时占地均位于道路规划红线范围内，选址合理。</w:t>
            </w:r>
          </w:p>
          <w:p w14:paraId="1DC9236B">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lang w:val="en-US" w:eastAsia="zh-CN"/>
              </w:rPr>
              <w:t>本项目不占用自然保护区、风景名胜区、世界风景名胜区、世界文化和自然遗产地以及其他生态保护红线等环境敏感区中法律法规禁止占用的区域。</w:t>
            </w:r>
          </w:p>
          <w:p w14:paraId="60DEBBE3">
            <w:pPr>
              <w:adjustRightInd w:val="0"/>
              <w:snapToGrid w:val="0"/>
              <w:ind w:firstLine="480" w:firstLineChars="20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lang w:val="en-US" w:eastAsia="zh-CN"/>
              </w:rPr>
              <w:t>项目施工段属城市，无陆生珍稀动物，不会造成原有生态环境的破坏。项目不设取土场、永久弃土场。本项目工程选址、选线合理可行。</w:t>
            </w:r>
          </w:p>
        </w:tc>
      </w:tr>
    </w:tbl>
    <w:p w14:paraId="29A70241">
      <w:pPr>
        <w:ind w:firstLine="480"/>
        <w:rPr>
          <w:rFonts w:hint="eastAsia" w:ascii="宋体" w:hAnsi="宋体" w:eastAsia="宋体" w:cs="宋体"/>
          <w:smallCaps w:val="0"/>
          <w:color w:val="auto"/>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7D6B9410">
      <w:pPr>
        <w:pStyle w:val="28"/>
        <w:adjustRightInd w:val="0"/>
        <w:snapToGrid w:val="0"/>
        <w:spacing w:before="0" w:beforeAutospacing="0" w:after="0" w:afterAutospacing="0" w:line="14" w:lineRule="auto"/>
        <w:ind w:firstLine="600"/>
        <w:jc w:val="center"/>
        <w:outlineLvl w:val="9"/>
        <w:rPr>
          <w:rFonts w:hint="eastAsia" w:ascii="宋体" w:hAnsi="宋体" w:eastAsia="宋体" w:cs="宋体"/>
          <w:smallCaps w:val="0"/>
          <w:snapToGrid w:val="0"/>
          <w:color w:val="auto"/>
          <w:sz w:val="30"/>
          <w:szCs w:val="30"/>
          <w:highlight w:val="none"/>
        </w:rPr>
      </w:pPr>
    </w:p>
    <w:p w14:paraId="5EDEBC53">
      <w:pPr>
        <w:pStyle w:val="4"/>
        <w:rPr>
          <w:rFonts w:hint="eastAsia" w:ascii="宋体" w:hAnsi="宋体" w:eastAsia="宋体" w:cs="宋体"/>
          <w:smallCaps w:val="0"/>
          <w:color w:val="auto"/>
          <w:highlight w:val="none"/>
        </w:rPr>
      </w:pPr>
      <w:bookmarkStart w:id="11" w:name="_Toc68880311"/>
      <w:r>
        <w:rPr>
          <w:rFonts w:hint="eastAsia" w:ascii="宋体" w:hAnsi="宋体" w:eastAsia="宋体" w:cs="宋体"/>
          <w:smallCaps w:val="0"/>
          <w:color w:val="auto"/>
          <w:highlight w:val="none"/>
        </w:rPr>
        <w:t>五、主要生态环境保护措施</w:t>
      </w:r>
      <w:bookmarkEnd w:id="11"/>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2"/>
        <w:gridCol w:w="8295"/>
      </w:tblGrid>
      <w:tr w14:paraId="3554F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noWrap w:val="0"/>
            <w:tcMar>
              <w:left w:w="28" w:type="dxa"/>
              <w:right w:w="28" w:type="dxa"/>
            </w:tcMar>
            <w:vAlign w:val="center"/>
          </w:tcPr>
          <w:p w14:paraId="5E26E1B3">
            <w:pPr>
              <w:adjustRightInd w:val="0"/>
              <w:snapToGrid w:val="0"/>
              <w:spacing w:line="240" w:lineRule="auto"/>
              <w:ind w:firstLine="0" w:firstLineChars="0"/>
              <w:jc w:val="center"/>
              <w:rPr>
                <w:rFonts w:hint="eastAsia" w:ascii="宋体" w:hAnsi="宋体" w:eastAsia="宋体" w:cs="宋体"/>
                <w:bCs/>
                <w:smallCaps w:val="0"/>
                <w:color w:val="auto"/>
                <w:szCs w:val="21"/>
                <w:highlight w:val="none"/>
              </w:rPr>
            </w:pPr>
            <w:r>
              <w:rPr>
                <w:rFonts w:hint="eastAsia" w:ascii="宋体" w:hAnsi="宋体" w:eastAsia="宋体" w:cs="宋体"/>
                <w:bCs/>
                <w:smallCaps w:val="0"/>
                <w:color w:val="auto"/>
                <w:sz w:val="21"/>
                <w:szCs w:val="18"/>
                <w:highlight w:val="none"/>
              </w:rPr>
              <w:t>施工期生态环境保护措施</w:t>
            </w:r>
          </w:p>
        </w:tc>
        <w:tc>
          <w:tcPr>
            <w:tcW w:w="8404" w:type="dxa"/>
            <w:noWrap w:val="0"/>
            <w:vAlign w:val="top"/>
          </w:tcPr>
          <w:p w14:paraId="108E6A99">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lang w:val="en-US" w:eastAsia="zh-CN"/>
              </w:rPr>
              <w:t>1、废水</w:t>
            </w:r>
          </w:p>
          <w:p w14:paraId="47E392FF">
            <w:pPr>
              <w:pStyle w:val="25"/>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施工期废水主要为施工人员生活污水和施工废水</w:t>
            </w:r>
          </w:p>
          <w:p w14:paraId="251EA153">
            <w:pPr>
              <w:pStyle w:val="25"/>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（1）生活污水</w:t>
            </w:r>
          </w:p>
          <w:p w14:paraId="1F976D75">
            <w:pPr>
              <w:pStyle w:val="25"/>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ascii="宋体" w:hAnsi="宋体" w:eastAsia="宋体" w:cs="宋体"/>
                <w:bCs w:val="0"/>
                <w:smallCaps w:val="0"/>
                <w:color w:val="auto"/>
                <w:kern w:val="0"/>
                <w:sz w:val="24"/>
                <w:szCs w:val="24"/>
                <w:highlight w:val="none"/>
                <w:lang w:val="en-US" w:eastAsia="zh-CN" w:bidi="ar-SA"/>
              </w:rPr>
            </w:pPr>
            <w:r>
              <w:rPr>
                <w:rFonts w:hint="eastAsia" w:ascii="宋体" w:hAnsi="宋体" w:eastAsia="宋体" w:cs="宋体"/>
                <w:smallCaps w:val="0"/>
                <w:color w:val="auto"/>
                <w:sz w:val="24"/>
                <w:szCs w:val="24"/>
                <w:highlight w:val="none"/>
                <w:lang w:val="en-US" w:eastAsia="zh-CN"/>
              </w:rPr>
              <w:t>施工期间，本项目不设置施工营地，生活污水为工人盥洗和如厕废水。施工期间如厕依托南侧平房居民防渗旱厕，盥洗废水排入沉淀池沉淀后回用，不外排放。施工期间生活污水排放量为320t</w:t>
            </w:r>
            <w:r>
              <w:rPr>
                <w:rFonts w:hint="eastAsia" w:ascii="宋体" w:hAnsi="宋体" w:eastAsia="宋体" w:cs="宋体"/>
                <w:bCs w:val="0"/>
                <w:smallCaps w:val="0"/>
                <w:color w:val="auto"/>
                <w:kern w:val="0"/>
                <w:sz w:val="24"/>
                <w:szCs w:val="24"/>
                <w:highlight w:val="none"/>
                <w:lang w:val="en-US" w:eastAsia="zh-CN" w:bidi="ar-SA"/>
              </w:rPr>
              <w:t>。</w:t>
            </w:r>
          </w:p>
          <w:p w14:paraId="2ED4A8AE">
            <w:pPr>
              <w:pStyle w:val="25"/>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（2）施工废水、</w:t>
            </w:r>
            <w:r>
              <w:rPr>
                <w:rFonts w:hint="eastAsia" w:ascii="宋体" w:hAnsi="宋体" w:cs="宋体"/>
                <w:smallCaps w:val="0"/>
                <w:color w:val="auto"/>
                <w:sz w:val="24"/>
                <w:szCs w:val="24"/>
                <w:highlight w:val="none"/>
                <w:lang w:val="en-US" w:eastAsia="zh-CN"/>
              </w:rPr>
              <w:t>车辆冲洗水、</w:t>
            </w:r>
            <w:r>
              <w:rPr>
                <w:rFonts w:hint="eastAsia" w:ascii="宋体" w:hAnsi="宋体" w:eastAsia="宋体" w:cs="宋体"/>
                <w:smallCaps w:val="0"/>
                <w:color w:val="auto"/>
                <w:sz w:val="24"/>
                <w:szCs w:val="24"/>
                <w:highlight w:val="none"/>
                <w:lang w:val="en-US" w:eastAsia="zh-CN"/>
              </w:rPr>
              <w:t>维修废水</w:t>
            </w:r>
          </w:p>
          <w:p w14:paraId="252C5050">
            <w:pPr>
              <w:pStyle w:val="25"/>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ascii="宋体" w:hAnsi="宋体" w:eastAsia="宋体" w:cs="宋体"/>
                <w:smallCaps w:val="0"/>
                <w:color w:val="auto"/>
                <w:sz w:val="24"/>
                <w:szCs w:val="24"/>
                <w:highlight w:val="yellow"/>
                <w:lang w:val="en-US" w:eastAsia="zh-CN"/>
              </w:rPr>
            </w:pPr>
            <w:r>
              <w:rPr>
                <w:rFonts w:hint="eastAsia" w:ascii="宋体" w:hAnsi="宋体" w:eastAsia="宋体" w:cs="宋体"/>
                <w:smallCaps w:val="0"/>
                <w:color w:val="auto"/>
                <w:sz w:val="24"/>
                <w:szCs w:val="24"/>
                <w:highlight w:val="yellow"/>
                <w:lang w:val="en-US" w:eastAsia="zh-CN"/>
              </w:rPr>
              <w:t>本项目施工用水为机械设备冲洗和汽车冲洗。主要污染物为悬浮物，车辆冲洗废水经沉淀池沉淀后回用于车辆冲洗，不外排放。维修产生含油废水集中收集委托有资质单位处置，施工场区不设置暂存场所。</w:t>
            </w:r>
          </w:p>
          <w:p w14:paraId="74E14757">
            <w:pPr>
              <w:pStyle w:val="25"/>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宋体" w:hAnsi="宋体" w:eastAsia="宋体" w:cs="宋体"/>
                <w:b/>
                <w:bCs/>
                <w:smallCaps w:val="0"/>
                <w:color w:val="auto"/>
                <w:sz w:val="24"/>
                <w:szCs w:val="24"/>
                <w:highlight w:val="none"/>
                <w:lang w:val="en-US" w:eastAsia="zh-CN"/>
              </w:rPr>
            </w:pPr>
            <w:r>
              <w:rPr>
                <w:rFonts w:hint="eastAsia" w:ascii="宋体" w:hAnsi="宋体" w:eastAsia="宋体" w:cs="宋体"/>
                <w:b/>
                <w:bCs/>
                <w:smallCaps w:val="0"/>
                <w:color w:val="auto"/>
                <w:sz w:val="24"/>
                <w:szCs w:val="24"/>
                <w:highlight w:val="none"/>
                <w:lang w:val="en-US" w:eastAsia="zh-CN"/>
              </w:rPr>
              <w:t>2、废气</w:t>
            </w:r>
          </w:p>
          <w:p w14:paraId="100F224A">
            <w:pPr>
              <w:pStyle w:val="25"/>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sz w:val="24"/>
                <w:szCs w:val="24"/>
                <w:highlight w:val="none"/>
                <w:lang w:val="en-US" w:eastAsia="zh-CN"/>
              </w:rPr>
              <w:t>施工废气主要为施工扬尘、汽车尾气、施工机械燃油废气、运输扬尘废气。</w:t>
            </w:r>
          </w:p>
          <w:p w14:paraId="60E7EA1B">
            <w:pPr>
              <w:pStyle w:val="25"/>
              <w:keepNext w:val="0"/>
              <w:keepLines w:val="0"/>
              <w:pageBreakBefore w:val="0"/>
              <w:widowControl w:val="0"/>
              <w:numPr>
                <w:ilvl w:val="0"/>
                <w:numId w:val="0"/>
              </w:numPr>
              <w:kinsoku/>
              <w:wordWrap/>
              <w:overflowPunct/>
              <w:topLinePunct w:val="0"/>
              <w:autoSpaceDE/>
              <w:autoSpaceDN/>
              <w:bidi w:val="0"/>
              <w:adjustRightInd w:val="0"/>
              <w:snapToGrid/>
              <w:ind w:firstLine="480" w:firstLineChars="200"/>
              <w:textAlignment w:val="auto"/>
              <w:rPr>
                <w:rFonts w:hint="eastAsia" w:ascii="宋体" w:hAnsi="宋体" w:eastAsia="宋体" w:cs="宋体"/>
                <w:smallCaps w:val="0"/>
                <w:color w:val="auto"/>
                <w:sz w:val="24"/>
                <w:szCs w:val="24"/>
                <w:highlight w:val="none"/>
                <w:lang w:val="en-US" w:eastAsia="zh-CN"/>
              </w:rPr>
            </w:pPr>
            <w:r>
              <w:rPr>
                <w:rFonts w:hint="eastAsia" w:ascii="宋体" w:hAnsi="宋体" w:eastAsia="宋体" w:cs="宋体"/>
                <w:smallCaps w:val="0"/>
                <w:color w:val="auto"/>
                <w:sz w:val="24"/>
                <w:szCs w:val="24"/>
                <w:highlight w:val="none"/>
                <w:lang w:val="en-US" w:eastAsia="zh-CN"/>
              </w:rPr>
              <w:t>（1）施工扬尘</w:t>
            </w:r>
          </w:p>
          <w:p w14:paraId="129D7D46">
            <w:pPr>
              <w:tabs>
                <w:tab w:val="left" w:pos="870"/>
              </w:tabs>
              <w:spacing w:line="360" w:lineRule="auto"/>
              <w:ind w:firstLine="480" w:firstLineChars="20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扬尘污染造成大气中TSP值增高，施工扬尘的起尘量与许多因素有关。影响起尘量的因素包括：基础开挖起尘量、施工临时渣土堆场起尘量、进出车辆带泥沙量、水泥搬运量以及起尘高度、采取的防护措施、空气湿度、风速等。项目施工过程中必须做好原料临时堆放的扬尘防治措施。具体防治措施如下：</w:t>
            </w:r>
          </w:p>
          <w:p w14:paraId="2DC6BCB6">
            <w:pPr>
              <w:tabs>
                <w:tab w:val="left" w:pos="870"/>
              </w:tabs>
              <w:spacing w:line="360" w:lineRule="auto"/>
              <w:ind w:firstLine="480" w:firstLineChars="200"/>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rPr>
              <w:t>①施工现场实行封闭式管理</w:t>
            </w:r>
            <w:r>
              <w:rPr>
                <w:rFonts w:hint="eastAsia" w:ascii="宋体" w:hAnsi="宋体" w:eastAsia="宋体" w:cs="宋体"/>
                <w:smallCaps w:val="0"/>
                <w:color w:val="auto"/>
                <w:kern w:val="0"/>
                <w:sz w:val="24"/>
                <w:highlight w:val="none"/>
                <w:lang w:eastAsia="zh-CN"/>
              </w:rPr>
              <w:t>，</w:t>
            </w:r>
            <w:r>
              <w:rPr>
                <w:rFonts w:hint="eastAsia" w:ascii="宋体" w:hAnsi="宋体" w:eastAsia="宋体" w:cs="宋体"/>
                <w:smallCaps w:val="0"/>
                <w:color w:val="auto"/>
                <w:kern w:val="0"/>
                <w:sz w:val="24"/>
                <w:highlight w:val="none"/>
                <w:lang w:val="en-US" w:eastAsia="zh-CN"/>
              </w:rPr>
              <w:t>设置不小于2m围挡，严禁敞开式作业</w:t>
            </w:r>
            <w:r>
              <w:rPr>
                <w:rFonts w:hint="eastAsia" w:ascii="宋体" w:hAnsi="宋体" w:eastAsia="宋体" w:cs="宋体"/>
                <w:smallCaps w:val="0"/>
                <w:color w:val="auto"/>
                <w:kern w:val="0"/>
                <w:sz w:val="24"/>
                <w:highlight w:val="none"/>
              </w:rPr>
              <w:t>，有专人负责施工场</w:t>
            </w:r>
            <w:r>
              <w:rPr>
                <w:rFonts w:hint="eastAsia" w:ascii="宋体" w:hAnsi="宋体" w:eastAsia="宋体" w:cs="宋体"/>
                <w:smallCaps w:val="0"/>
                <w:color w:val="auto"/>
                <w:kern w:val="0"/>
                <w:sz w:val="24"/>
                <w:highlight w:val="none"/>
                <w:lang w:val="en-US" w:eastAsia="zh-CN"/>
              </w:rPr>
              <w:t>地</w:t>
            </w:r>
            <w:r>
              <w:rPr>
                <w:rFonts w:hint="eastAsia" w:ascii="宋体" w:hAnsi="宋体" w:eastAsia="宋体" w:cs="宋体"/>
                <w:smallCaps w:val="0"/>
                <w:color w:val="auto"/>
                <w:kern w:val="0"/>
                <w:sz w:val="24"/>
                <w:highlight w:val="none"/>
              </w:rPr>
              <w:t>的洒水工作，洒水频率决定于天气状况，建议至少洒水4-5次，以防止二次扬尘污染。</w:t>
            </w:r>
          </w:p>
          <w:p w14:paraId="4C052F43">
            <w:pPr>
              <w:adjustRightInd w:val="0"/>
              <w:ind w:firstLine="482"/>
              <w:rPr>
                <w:rStyle w:val="39"/>
                <w:rFonts w:hint="eastAsia" w:ascii="宋体" w:hAnsi="宋体" w:eastAsia="宋体" w:cs="宋体"/>
                <w:smallCaps w:val="0"/>
                <w:color w:val="auto"/>
                <w:kern w:val="0"/>
                <w:sz w:val="24"/>
                <w:szCs w:val="24"/>
                <w:highlight w:val="none"/>
                <w:lang w:eastAsia="zh-CN"/>
              </w:rPr>
            </w:pPr>
            <w:r>
              <w:rPr>
                <w:rFonts w:hint="eastAsia" w:ascii="宋体" w:hAnsi="宋体" w:eastAsia="宋体" w:cs="宋体"/>
                <w:smallCaps w:val="0"/>
                <w:color w:val="auto"/>
                <w:kern w:val="0"/>
                <w:sz w:val="24"/>
                <w:highlight w:val="none"/>
              </w:rPr>
              <w:t>②运输建筑材料和建筑垃圾时</w:t>
            </w:r>
            <w:r>
              <w:rPr>
                <w:rFonts w:hint="eastAsia" w:ascii="宋体" w:hAnsi="宋体" w:eastAsia="宋体" w:cs="宋体"/>
                <w:smallCaps w:val="0"/>
                <w:color w:val="auto"/>
                <w:kern w:val="0"/>
                <w:sz w:val="24"/>
                <w:highlight w:val="none"/>
                <w:lang w:eastAsia="zh-CN"/>
              </w:rPr>
              <w:t>需</w:t>
            </w:r>
            <w:r>
              <w:rPr>
                <w:rFonts w:hint="eastAsia" w:ascii="宋体" w:hAnsi="宋体" w:eastAsia="宋体" w:cs="宋体"/>
                <w:smallCaps w:val="0"/>
                <w:color w:val="auto"/>
                <w:kern w:val="0"/>
                <w:sz w:val="24"/>
                <w:highlight w:val="none"/>
              </w:rPr>
              <w:t>用密封车辆运输，车辆驶出装、卸场地前用水将车厢和轮胎冲洗干净，同时进出需</w:t>
            </w:r>
            <w:r>
              <w:rPr>
                <w:rStyle w:val="39"/>
                <w:rFonts w:hint="eastAsia" w:ascii="宋体" w:hAnsi="宋体" w:eastAsia="宋体" w:cs="宋体"/>
                <w:smallCaps w:val="0"/>
                <w:color w:val="auto"/>
                <w:kern w:val="0"/>
                <w:sz w:val="24"/>
                <w:szCs w:val="24"/>
                <w:highlight w:val="none"/>
                <w:lang w:eastAsia="zh-CN"/>
              </w:rPr>
              <w:t>低速行驶，减少产尘量。</w:t>
            </w:r>
          </w:p>
          <w:p w14:paraId="0C7E94DB">
            <w:pPr>
              <w:adjustRightInd w:val="0"/>
              <w:ind w:firstLine="482"/>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rPr>
              <w:t>③合理安排施工</w:t>
            </w:r>
            <w:r>
              <w:rPr>
                <w:rFonts w:hint="eastAsia" w:ascii="宋体" w:hAnsi="宋体" w:eastAsia="宋体" w:cs="宋体"/>
                <w:smallCaps w:val="0"/>
                <w:color w:val="auto"/>
                <w:kern w:val="0"/>
                <w:sz w:val="24"/>
                <w:highlight w:val="none"/>
                <w:lang w:eastAsia="zh-CN"/>
              </w:rPr>
              <w:t>、</w:t>
            </w:r>
            <w:r>
              <w:rPr>
                <w:rFonts w:hint="eastAsia" w:ascii="宋体" w:hAnsi="宋体" w:eastAsia="宋体" w:cs="宋体"/>
                <w:smallCaps w:val="0"/>
                <w:color w:val="auto"/>
                <w:kern w:val="0"/>
                <w:sz w:val="24"/>
                <w:highlight w:val="none"/>
              </w:rPr>
              <w:t>运输</w:t>
            </w:r>
            <w:r>
              <w:rPr>
                <w:rFonts w:hint="eastAsia" w:ascii="宋体" w:hAnsi="宋体" w:eastAsia="宋体" w:cs="宋体"/>
                <w:smallCaps w:val="0"/>
                <w:color w:val="auto"/>
                <w:kern w:val="0"/>
                <w:sz w:val="24"/>
                <w:highlight w:val="none"/>
                <w:lang w:val="en-US" w:eastAsia="zh-CN"/>
              </w:rPr>
              <w:t>时间</w:t>
            </w:r>
            <w:r>
              <w:rPr>
                <w:rFonts w:hint="eastAsia" w:ascii="宋体" w:hAnsi="宋体" w:eastAsia="宋体" w:cs="宋体"/>
                <w:smallCaps w:val="0"/>
                <w:color w:val="auto"/>
                <w:kern w:val="0"/>
                <w:sz w:val="24"/>
                <w:highlight w:val="none"/>
                <w:lang w:eastAsia="zh-CN"/>
              </w:rPr>
              <w:t>，</w:t>
            </w:r>
            <w:r>
              <w:rPr>
                <w:rFonts w:hint="eastAsia" w:ascii="宋体" w:hAnsi="宋体" w:eastAsia="宋体" w:cs="宋体"/>
                <w:smallCaps w:val="0"/>
                <w:color w:val="auto"/>
                <w:kern w:val="0"/>
                <w:sz w:val="24"/>
                <w:highlight w:val="none"/>
              </w:rPr>
              <w:t>对于施工作业中的大型构件和大量物资及弃土的运输，应尽量避开交通高峰期、以缓解交通压力。</w:t>
            </w:r>
          </w:p>
          <w:p w14:paraId="5F5857E2">
            <w:pPr>
              <w:adjustRightInd w:val="0"/>
              <w:ind w:firstLine="482"/>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rPr>
              <w:t>④对堆放、装、运确易产生扬尘的物料，应采取遮盖、封闭、压实、洒水等压尘措施。</w:t>
            </w:r>
          </w:p>
          <w:p w14:paraId="567D8DC9">
            <w:pPr>
              <w:adjustRightInd w:val="0"/>
              <w:ind w:firstLine="482"/>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rPr>
              <w:t>⑤使用预拌砂浆、混凝土，禁止现场搅拌，运土方和建筑材料等时不宜装载过满，同时要采取相应的遮盖、封闭措施。对不慎洒落的沙土和建筑材料，应对地面进行清理。</w:t>
            </w:r>
          </w:p>
          <w:p w14:paraId="18CD588B">
            <w:pPr>
              <w:adjustRightInd w:val="0"/>
              <w:ind w:firstLine="482"/>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rPr>
              <w:t>⑥建筑垃圾、工程渣土在48小时内不能完成清运的，应当在施工工地内设置临时堆放场，临时堆放场应当采取围挡、遮盖等防尘措施。</w:t>
            </w:r>
          </w:p>
          <w:p w14:paraId="36CD8CCB">
            <w:pPr>
              <w:adjustRightInd w:val="0"/>
              <w:ind w:firstLine="482"/>
              <w:rPr>
                <w:rFonts w:hint="eastAsia" w:ascii="宋体" w:hAnsi="宋体" w:eastAsia="宋体" w:cs="宋体"/>
                <w:smallCaps w:val="0"/>
                <w:color w:val="auto"/>
                <w:kern w:val="0"/>
                <w:sz w:val="24"/>
                <w:highlight w:val="none"/>
              </w:rPr>
            </w:pPr>
            <w:r>
              <w:rPr>
                <w:rFonts w:hint="eastAsia" w:ascii="宋体" w:hAnsi="宋体" w:eastAsia="宋体" w:cs="宋体"/>
                <w:smallCaps w:val="0"/>
                <w:color w:val="auto"/>
                <w:kern w:val="0"/>
                <w:sz w:val="24"/>
                <w:highlight w:val="none"/>
                <w:lang w:val="en-US" w:eastAsia="zh-CN"/>
              </w:rPr>
              <w:t>⑦</w:t>
            </w:r>
            <w:r>
              <w:rPr>
                <w:rFonts w:hint="eastAsia" w:ascii="宋体" w:hAnsi="宋体" w:eastAsia="宋体" w:cs="宋体"/>
                <w:smallCaps w:val="0"/>
                <w:color w:val="auto"/>
                <w:kern w:val="0"/>
                <w:sz w:val="24"/>
                <w:highlight w:val="none"/>
              </w:rPr>
              <w:t>施工工地全部严格采取封闭、高栏围挡、喷淋等工程措施，现场主要道路和模板存放、料具码放等场地进行硬化，其他场地全部进行覆盖或者绿化，土方集中堆放并采取覆盖或者固化等措施，现场出入口应设置冲洗车辆设施。建设单位须对暂时不开发的空地实施简易绿化等措施。禁止现场搅拌混凝土。施工单位运输工程渣土、泥浆、建筑垃圾及砂、石等散体建筑材料，应全部采用密闭运输车辆，并按指定路线行驶。</w:t>
            </w:r>
          </w:p>
          <w:p w14:paraId="481BEB46">
            <w:pPr>
              <w:bidi w:val="0"/>
              <w:ind w:firstLine="480" w:firstLineChars="20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kern w:val="0"/>
                <w:sz w:val="24"/>
                <w:highlight w:val="none"/>
                <w:lang w:val="en-US" w:eastAsia="zh-CN"/>
              </w:rPr>
              <w:t>⑧</w:t>
            </w:r>
            <w:r>
              <w:rPr>
                <w:rFonts w:hint="eastAsia" w:ascii="宋体" w:hAnsi="宋体" w:eastAsia="宋体" w:cs="宋体"/>
                <w:smallCaps w:val="0"/>
                <w:color w:val="auto"/>
                <w:highlight w:val="none"/>
                <w:lang w:val="en-US" w:eastAsia="zh-CN"/>
              </w:rPr>
              <w:t>施工现场实施扬尘防治制度化管理。施工现场应制定扬尘防治管理制度，细化实施细则，配备专职文明施工标准化管理员，负责围墙（围挡）清洗保洁、施工道路湿法清扫、冲洗除尘等管理，并在文明施工日志上做好相应记录。对施工现场抛洒的砂石、水泥等物料应及时清扫；施工道路定时洒水抑尘，保持施工场地路面清洁，减少施工扬尘。</w:t>
            </w:r>
          </w:p>
          <w:p w14:paraId="583003E9">
            <w:pPr>
              <w:adjustRightInd w:val="0"/>
              <w:ind w:firstLine="482"/>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经类比分析，施工场地扬尘浓度平均值约为1.5～3.0mg/m</w:t>
            </w:r>
            <w:r>
              <w:rPr>
                <w:rFonts w:hint="eastAsia" w:ascii="宋体" w:hAnsi="宋体" w:eastAsia="宋体" w:cs="宋体"/>
                <w:smallCaps w:val="0"/>
                <w:color w:val="auto"/>
                <w:sz w:val="24"/>
                <w:szCs w:val="24"/>
                <w:highlight w:val="none"/>
                <w:vertAlign w:val="superscript"/>
                <w:lang w:val="en-US" w:eastAsia="zh-CN"/>
              </w:rPr>
              <w:t>3</w:t>
            </w:r>
            <w:r>
              <w:rPr>
                <w:rFonts w:hint="eastAsia" w:ascii="宋体" w:hAnsi="宋体" w:eastAsia="宋体" w:cs="宋体"/>
                <w:smallCaps w:val="0"/>
                <w:color w:val="auto"/>
                <w:highlight w:val="none"/>
                <w:lang w:val="en-US" w:eastAsia="zh-CN"/>
              </w:rPr>
              <w:t>，在距施工场地50m处，施工场地产生的扬尘（TSP）≤1.00mg/m</w:t>
            </w:r>
            <w:r>
              <w:rPr>
                <w:rFonts w:hint="eastAsia" w:ascii="宋体" w:hAnsi="宋体" w:eastAsia="宋体" w:cs="宋体"/>
                <w:smallCaps w:val="0"/>
                <w:color w:val="auto"/>
                <w:highlight w:val="none"/>
                <w:vertAlign w:val="superscript"/>
                <w:lang w:val="en-US" w:eastAsia="zh-CN"/>
              </w:rPr>
              <w:t>3</w:t>
            </w:r>
            <w:r>
              <w:rPr>
                <w:rFonts w:hint="eastAsia" w:ascii="宋体" w:hAnsi="宋体" w:eastAsia="宋体" w:cs="宋体"/>
                <w:smallCaps w:val="0"/>
                <w:color w:val="auto"/>
                <w:highlight w:val="none"/>
                <w:lang w:val="en-US" w:eastAsia="zh-CN"/>
              </w:rPr>
              <w:t>，低于《大气污染物综合排放标准》GB16297-1996）中规定的颗粒物无组织排放监控浓度限值。</w:t>
            </w:r>
          </w:p>
          <w:p w14:paraId="7363D740">
            <w:pPr>
              <w:bidi w:val="0"/>
              <w:ind w:firstLine="480" w:firstLineChars="20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（2）施工机械废气</w:t>
            </w:r>
          </w:p>
          <w:p w14:paraId="4472664F">
            <w:pPr>
              <w:adjustRightInd w:val="0"/>
              <w:ind w:firstLine="482"/>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rPr>
              <w:t>施工过程用到的机械，主要为挖掘机</w:t>
            </w:r>
            <w:r>
              <w:rPr>
                <w:rFonts w:hint="eastAsia" w:ascii="宋体" w:hAnsi="宋体" w:eastAsia="宋体" w:cs="宋体"/>
                <w:smallCaps w:val="0"/>
                <w:color w:val="auto"/>
                <w:highlight w:val="none"/>
                <w:lang w:eastAsia="zh-CN"/>
              </w:rPr>
              <w:t>、</w:t>
            </w:r>
            <w:r>
              <w:rPr>
                <w:rFonts w:hint="eastAsia" w:ascii="宋体" w:hAnsi="宋体" w:eastAsia="宋体" w:cs="宋体"/>
                <w:smallCaps w:val="0"/>
                <w:color w:val="auto"/>
                <w:highlight w:val="none"/>
                <w:lang w:val="en-US" w:eastAsia="zh-CN"/>
              </w:rPr>
              <w:t>推土机</w:t>
            </w:r>
            <w:r>
              <w:rPr>
                <w:rFonts w:hint="eastAsia" w:ascii="宋体" w:hAnsi="宋体" w:eastAsia="宋体" w:cs="宋体"/>
                <w:smallCaps w:val="0"/>
                <w:color w:val="auto"/>
                <w:highlight w:val="none"/>
              </w:rPr>
              <w:t>等，该类机械均以柴油为燃料，在运行过程中产生一定的废气，废气中主要污染物为CO、NOx、HC等，该类大气污染物属于分散间歇式排放，排放量由使用的车辆、机械和设备的性能、数量以及作业率决定。总体来说由于其产生量少</w:t>
            </w:r>
            <w:r>
              <w:rPr>
                <w:rFonts w:hint="eastAsia" w:ascii="宋体" w:hAnsi="宋体" w:eastAsia="宋体" w:cs="宋体"/>
                <w:smallCaps w:val="0"/>
                <w:color w:val="auto"/>
                <w:highlight w:val="none"/>
                <w:lang w:val="en-US" w:eastAsia="zh-CN"/>
              </w:rPr>
              <w:t>，</w:t>
            </w:r>
            <w:r>
              <w:rPr>
                <w:rFonts w:hint="eastAsia" w:ascii="宋体" w:hAnsi="宋体" w:eastAsia="宋体" w:cs="宋体"/>
                <w:smallCaps w:val="0"/>
                <w:color w:val="auto"/>
                <w:highlight w:val="none"/>
              </w:rPr>
              <w:t>排放时间有限，</w:t>
            </w:r>
            <w:r>
              <w:rPr>
                <w:rFonts w:hint="eastAsia" w:ascii="宋体" w:hAnsi="宋体" w:eastAsia="宋体" w:cs="宋体"/>
                <w:smallCaps w:val="0"/>
                <w:color w:val="auto"/>
                <w:highlight w:val="none"/>
                <w:lang w:val="en-US" w:eastAsia="zh-CN"/>
              </w:rPr>
              <w:t>加之施工场地开阔，扩散条件好</w:t>
            </w:r>
            <w:r>
              <w:rPr>
                <w:rFonts w:hint="eastAsia" w:ascii="宋体" w:hAnsi="宋体" w:eastAsia="宋体" w:cs="宋体"/>
                <w:smallCaps w:val="0"/>
                <w:color w:val="auto"/>
                <w:highlight w:val="none"/>
                <w:lang w:eastAsia="zh-CN"/>
              </w:rPr>
              <w:t>，</w:t>
            </w:r>
            <w:r>
              <w:rPr>
                <w:rFonts w:hint="eastAsia" w:ascii="宋体" w:hAnsi="宋体" w:eastAsia="宋体" w:cs="宋体"/>
                <w:smallCaps w:val="0"/>
                <w:color w:val="auto"/>
                <w:highlight w:val="none"/>
                <w:lang w:val="en-US" w:eastAsia="zh-CN"/>
              </w:rPr>
              <w:t>不会对周围环境产生明显影响</w:t>
            </w:r>
            <w:r>
              <w:rPr>
                <w:rFonts w:hint="eastAsia" w:ascii="宋体" w:hAnsi="宋体" w:eastAsia="宋体" w:cs="宋体"/>
                <w:smallCaps w:val="0"/>
                <w:color w:val="auto"/>
                <w:highlight w:val="none"/>
              </w:rPr>
              <w:t>。</w:t>
            </w:r>
            <w:r>
              <w:rPr>
                <w:rFonts w:hint="eastAsia" w:ascii="宋体" w:hAnsi="宋体" w:eastAsia="宋体" w:cs="宋体"/>
                <w:smallCaps w:val="0"/>
                <w:color w:val="auto"/>
                <w:highlight w:val="none"/>
                <w:lang w:val="en-US" w:eastAsia="zh-CN"/>
              </w:rPr>
              <w:t>在施工期间应多加注意施工设备的维护，禁止其超负荷工作，使其能够正常的运行，提高设备原料的利用率，减少施工机械及车辆废气污染物的排放。</w:t>
            </w:r>
          </w:p>
          <w:p w14:paraId="121B2D74">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（3）运输扬尘废气</w:t>
            </w:r>
          </w:p>
          <w:p w14:paraId="7C4F3BA6">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车辆管理</w:t>
            </w:r>
          </w:p>
          <w:p w14:paraId="68F51FE4">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密闭运输：运输车辆必须配备完好的密闭装置，如篷布、密闭车厢等，确保运输的土方、砂石、水泥等物料不会外漏。在装载物料时，严禁超载超高，避免物料在运输途中因颠簸洒落，产生扬尘。</w:t>
            </w:r>
          </w:p>
          <w:p w14:paraId="2F489621">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车辆清洗：在施工现场出入口设置专门的车辆冲洗设施，车辆出场前，必须对车身、轮胎、底盘等部位进行全面冲洗，确保无泥土、物料附着。同时，安排专人负责监督车辆冲洗情况，确保每辆出场车辆都冲洗干净。</w:t>
            </w:r>
          </w:p>
          <w:p w14:paraId="668F2BEB">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运输路线规划</w:t>
            </w:r>
          </w:p>
          <w:p w14:paraId="690F0127">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合理选择路线：综合考虑施工场地周边的交通状况、居民区分布、环境敏感点等因素，规划合理的运输路线。尽量避开人口密集区、学校、医院等环境敏感区域，减少扬尘对周边居民的影响。同时，选择路况较好、路面平整的道路，降低车辆行驶过程中的颠簸，减少物料洒落和扬尘产生。</w:t>
            </w:r>
          </w:p>
          <w:p w14:paraId="5E243CC1">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优化运输时间：根据交通流量和当地气象条件，合理安排运输时间。在交通高峰期，如早晚高峰时段，减少运输车辆的出行，避免因交通拥堵导致车辆怠速时间过长，增加扬尘排放。在大风、干燥等不利于扬尘控制的天气条件下，暂停或减少运输作业，降低扬尘产生风险。</w:t>
            </w:r>
          </w:p>
          <w:p w14:paraId="6FE42A95">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监督与管理</w:t>
            </w:r>
          </w:p>
          <w:p w14:paraId="704C3F4F">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建立监管制度：施工单位应建立健全运输扬尘防治监管制度，明确各部门和人员的职责，加强对运输扬尘防治工作的监督检查。定期对运输车辆、物料堆放场地、运输路线等进行检查，发现问题及时整改。</w:t>
            </w:r>
          </w:p>
          <w:p w14:paraId="1EA1339C">
            <w:pPr>
              <w:adjustRightInd w:val="0"/>
              <w:ind w:firstLine="482"/>
              <w:rPr>
                <w:rFonts w:hint="eastAsia" w:ascii="宋体" w:hAnsi="宋体" w:eastAsia="宋体" w:cs="宋体"/>
                <w:smallCaps w:val="0"/>
                <w:color w:val="auto"/>
                <w:highlight w:val="yellow"/>
                <w:lang w:val="en-US" w:eastAsia="zh-CN"/>
              </w:rPr>
            </w:pPr>
            <w:r>
              <w:rPr>
                <w:rFonts w:hint="eastAsia" w:ascii="宋体" w:hAnsi="宋体" w:eastAsia="宋体" w:cs="宋体"/>
                <w:smallCaps w:val="0"/>
                <w:color w:val="auto"/>
                <w:highlight w:val="yellow"/>
                <w:lang w:val="en-US" w:eastAsia="zh-CN"/>
              </w:rPr>
              <w:t>加强人员培训：对施工人员和运输车辆驾驶员进行环保知识培训，提高其环保意识和操作技能。使其了解运输扬尘的危害和防治措施，掌握正确的运输和装卸操作方法，自觉遵守环保规定。</w:t>
            </w:r>
          </w:p>
          <w:p w14:paraId="4AB98B73">
            <w:pPr>
              <w:adjustRightInd w:val="0"/>
              <w:ind w:firstLine="482"/>
              <w:rPr>
                <w:rFonts w:hint="eastAsia" w:ascii="宋体" w:hAnsi="宋体" w:eastAsia="宋体" w:cs="宋体"/>
                <w:b/>
                <w:bCs/>
                <w:smallCaps w:val="0"/>
                <w:color w:val="auto"/>
                <w:highlight w:val="yellow"/>
                <w:lang w:val="en-US" w:eastAsia="zh-CN"/>
              </w:rPr>
            </w:pPr>
            <w:r>
              <w:rPr>
                <w:rFonts w:hint="eastAsia" w:ascii="宋体" w:hAnsi="宋体" w:eastAsia="宋体" w:cs="宋体"/>
                <w:smallCaps w:val="0"/>
                <w:color w:val="auto"/>
                <w:highlight w:val="yellow"/>
                <w:lang w:val="en-US" w:eastAsia="zh-CN"/>
              </w:rPr>
              <w:t>接受社会监督：设立举报电话和邮箱，接受社会公众对道路施工运输扬尘问题的举报和监督。对接到的举报信息，应及时进行调查处理，并将处理结果反馈给举报人。通过社会监督，促使施工单位加强运输扬尘防治工作，提高防治效果。</w:t>
            </w:r>
          </w:p>
          <w:p w14:paraId="4B3EBC03">
            <w:pPr>
              <w:keepNext w:val="0"/>
              <w:keepLines w:val="0"/>
              <w:pageBreakBefore w:val="0"/>
              <w:widowControl w:val="0"/>
              <w:numPr>
                <w:ilvl w:val="0"/>
                <w:numId w:val="0"/>
              </w:numPr>
              <w:kinsoku/>
              <w:wordWrap/>
              <w:overflowPunct/>
              <w:topLinePunct w:val="0"/>
              <w:autoSpaceDE/>
              <w:autoSpaceDN/>
              <w:bidi w:val="0"/>
              <w:adjustRightInd w:val="0"/>
              <w:snapToGrid/>
              <w:ind w:leftChars="200"/>
              <w:textAlignment w:val="auto"/>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lang w:val="en-US" w:eastAsia="zh-CN"/>
              </w:rPr>
              <w:t>3、噪声</w:t>
            </w:r>
          </w:p>
          <w:p w14:paraId="7384642E">
            <w:pPr>
              <w:keepNext w:val="0"/>
              <w:keepLines w:val="0"/>
              <w:pageBreakBefore w:val="0"/>
              <w:widowControl w:val="0"/>
              <w:numPr>
                <w:ilvl w:val="0"/>
                <w:numId w:val="0"/>
              </w:numPr>
              <w:kinsoku/>
              <w:wordWrap/>
              <w:overflowPunct/>
              <w:topLinePunct w:val="0"/>
              <w:autoSpaceDE/>
              <w:autoSpaceDN/>
              <w:bidi w:val="0"/>
              <w:adjustRightInd w:val="0"/>
              <w:snapToGrid/>
              <w:ind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详见噪声专项评价。</w:t>
            </w:r>
          </w:p>
          <w:p w14:paraId="6DCCADAD">
            <w:pPr>
              <w:keepNext w:val="0"/>
              <w:keepLines w:val="0"/>
              <w:pageBreakBefore w:val="0"/>
              <w:widowControl w:val="0"/>
              <w:numPr>
                <w:ilvl w:val="0"/>
                <w:numId w:val="0"/>
              </w:numPr>
              <w:kinsoku/>
              <w:wordWrap/>
              <w:overflowPunct/>
              <w:topLinePunct w:val="0"/>
              <w:autoSpaceDE/>
              <w:autoSpaceDN/>
              <w:bidi w:val="0"/>
              <w:adjustRightInd w:val="0"/>
              <w:snapToGrid/>
              <w:ind w:leftChars="200"/>
              <w:textAlignment w:val="auto"/>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lang w:val="en-US" w:eastAsia="zh-CN"/>
              </w:rPr>
              <w:t>4、固体废物</w:t>
            </w:r>
          </w:p>
          <w:p w14:paraId="0D051004">
            <w:pPr>
              <w:keepNext w:val="0"/>
              <w:keepLines w:val="0"/>
              <w:pageBreakBefore w:val="0"/>
              <w:widowControl w:val="0"/>
              <w:numPr>
                <w:ilvl w:val="0"/>
                <w:numId w:val="0"/>
              </w:numPr>
              <w:kinsoku/>
              <w:wordWrap/>
              <w:overflowPunct/>
              <w:topLinePunct w:val="0"/>
              <w:autoSpaceDE/>
              <w:autoSpaceDN/>
              <w:bidi w:val="0"/>
              <w:adjustRightInd w:val="0"/>
              <w:snapToGrid/>
              <w:ind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施工期产生的固体废弃物包括施工人员产生的生活垃圾、施工建筑垃圾和道路开挖产生的弃土渣。这些固体废物若堆放、处置不当，将直接破坏公路沿线的生态、植被、景观，对生态环境产生不良影响。</w:t>
            </w:r>
          </w:p>
          <w:p w14:paraId="4EFFC9FE">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项目施工期间，施工人员按照50人计，产生的生活垃圾按0.05kg/（人</w:t>
            </w:r>
            <w:r>
              <w:rPr>
                <w:rFonts w:hint="eastAsia" w:ascii="宋体" w:hAnsi="宋体" w:cs="宋体"/>
                <w:smallCaps w:val="0"/>
                <w:color w:val="auto"/>
                <w:highlight w:val="none"/>
                <w:lang w:val="en-US" w:eastAsia="zh-CN"/>
              </w:rPr>
              <w:t>·</w:t>
            </w:r>
            <w:r>
              <w:rPr>
                <w:rFonts w:hint="eastAsia" w:ascii="宋体" w:hAnsi="宋体" w:eastAsia="宋体" w:cs="宋体"/>
                <w:smallCaps w:val="0"/>
                <w:color w:val="auto"/>
                <w:highlight w:val="none"/>
                <w:lang w:val="en-US" w:eastAsia="zh-CN"/>
              </w:rPr>
              <w:t>d)计，则在施工期生活垃圾产生总量为0.25t；项目产生弃方量约</w:t>
            </w:r>
            <w:r>
              <w:rPr>
                <w:rFonts w:hint="eastAsia" w:ascii="宋体" w:hAnsi="宋体" w:eastAsia="宋体" w:cs="宋体"/>
                <w:smallCaps w:val="0"/>
                <w:color w:val="auto"/>
                <w:kern w:val="0"/>
                <w:sz w:val="24"/>
                <w:szCs w:val="24"/>
                <w:highlight w:val="none"/>
                <w:lang w:val="en-US" w:eastAsia="zh-CN"/>
              </w:rPr>
              <w:t>10101.9m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highlight w:val="none"/>
                <w:lang w:val="en-US" w:eastAsia="zh-CN"/>
              </w:rPr>
              <w:t>。沉淀砂石7.5t。</w:t>
            </w:r>
          </w:p>
          <w:p w14:paraId="3C8B7A1E">
            <w:pPr>
              <w:keepNext w:val="0"/>
              <w:keepLines w:val="0"/>
              <w:pageBreakBefore w:val="0"/>
              <w:widowControl w:val="0"/>
              <w:numPr>
                <w:ilvl w:val="0"/>
                <w:numId w:val="0"/>
              </w:numPr>
              <w:kinsoku/>
              <w:wordWrap/>
              <w:overflowPunct/>
              <w:topLinePunct w:val="0"/>
              <w:autoSpaceDE/>
              <w:autoSpaceDN/>
              <w:bidi w:val="0"/>
              <w:adjustRightInd w:val="0"/>
              <w:snapToGrid/>
              <w:ind w:leftChars="0" w:firstLine="480" w:firstLineChars="200"/>
              <w:textAlignment w:val="auto"/>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生活垃圾：施工人员每日产生的生活垃圾经袋装收集后，由环卫部门统一运送到垃圾处理场集中处理，以避免对附近区域环境空气和水环境质量构成潜在的影响因素。</w:t>
            </w:r>
          </w:p>
          <w:p w14:paraId="5F58753B">
            <w:pPr>
              <w:adjustRightInd w:val="0"/>
              <w:snapToGrid w:val="0"/>
              <w:ind w:firstLine="48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弃土渣：施工现场应设置建筑废弃物临时堆场（树立标识牌)并进行防雨、防泄漏处理。弃土渣等应集中堆放，定时清运到政府指定的建筑垃圾清放点，以免影响环境质量。为确保废弃物处置措施落实，建设单位或施工总承包单位在与建筑垃圾清运公司签订清运合同时，应要求承包公司提供废弃物去向的证明材料，严禁随意倾倒、填埋，造成二次污染。</w:t>
            </w:r>
          </w:p>
          <w:p w14:paraId="4FA8A695">
            <w:pPr>
              <w:adjustRightInd w:val="0"/>
              <w:snapToGrid w:val="0"/>
              <w:ind w:firstLine="480"/>
              <w:rPr>
                <w:rFonts w:hint="eastAsia" w:ascii="宋体" w:hAnsi="宋体" w:eastAsia="宋体" w:cs="宋体"/>
                <w:smallCaps w:val="0"/>
                <w:color w:val="auto"/>
                <w:highlight w:val="yellow"/>
                <w:lang w:val="en-US"/>
              </w:rPr>
            </w:pPr>
            <w:r>
              <w:rPr>
                <w:rFonts w:hint="eastAsia" w:ascii="宋体" w:hAnsi="宋体" w:eastAsia="宋体" w:cs="宋体"/>
                <w:smallCaps w:val="0"/>
                <w:color w:val="auto"/>
                <w:highlight w:val="yellow"/>
                <w:lang w:val="en-US" w:eastAsia="zh-CN"/>
              </w:rPr>
              <w:t>双鸭山建筑垃圾处置消纳场位于尖山区窑地路中段，距本项目12km，途经双西路、南环路、窑地路。建筑垃圾处置消纳场于2023年10月17日建成启动。年可处理建筑垃圾60万吨。本项目产生的弃渣量为10101.9m</w:t>
            </w:r>
            <w:r>
              <w:rPr>
                <w:rFonts w:hint="eastAsia" w:ascii="宋体" w:hAnsi="宋体" w:eastAsia="宋体" w:cs="宋体"/>
                <w:smallCaps w:val="0"/>
                <w:color w:val="auto"/>
                <w:highlight w:val="yellow"/>
                <w:vertAlign w:val="superscript"/>
                <w:lang w:val="en-US" w:eastAsia="zh-CN"/>
              </w:rPr>
              <w:t>3</w:t>
            </w:r>
            <w:r>
              <w:rPr>
                <w:rFonts w:hint="eastAsia" w:ascii="宋体" w:hAnsi="宋体" w:eastAsia="宋体" w:cs="宋体"/>
                <w:smallCaps w:val="0"/>
                <w:color w:val="auto"/>
                <w:highlight w:val="yellow"/>
                <w:lang w:val="en-US" w:eastAsia="zh-CN"/>
              </w:rPr>
              <w:t>，沉淀砂石7.5t。双鸭山建筑垃圾处置消纳场可完整收纳本项目产生的建筑垃圾和沉淀砂石，因此建筑垃圾依托双鸭山建筑垃圾处置消纳场处置可行。</w:t>
            </w:r>
          </w:p>
          <w:p w14:paraId="7CA4A43F">
            <w:pPr>
              <w:adjustRightInd w:val="0"/>
              <w:ind w:firstLine="482"/>
              <w:rPr>
                <w:rFonts w:hint="eastAsia" w:ascii="宋体" w:hAnsi="宋体" w:eastAsia="宋体" w:cs="宋体"/>
                <w:b/>
                <w:bCs/>
                <w:smallCaps w:val="0"/>
                <w:color w:val="auto"/>
                <w:szCs w:val="21"/>
                <w:highlight w:val="none"/>
              </w:rPr>
            </w:pPr>
            <w:r>
              <w:rPr>
                <w:rFonts w:hint="eastAsia" w:ascii="宋体" w:hAnsi="宋体" w:eastAsia="宋体" w:cs="宋体"/>
                <w:b/>
                <w:bCs/>
                <w:smallCaps w:val="0"/>
                <w:color w:val="auto"/>
                <w:szCs w:val="21"/>
                <w:highlight w:val="none"/>
                <w:lang w:val="en-US" w:eastAsia="zh-CN"/>
              </w:rPr>
              <w:t>5</w:t>
            </w:r>
            <w:r>
              <w:rPr>
                <w:rFonts w:hint="eastAsia" w:ascii="宋体" w:hAnsi="宋体" w:eastAsia="宋体" w:cs="宋体"/>
                <w:b/>
                <w:bCs/>
                <w:smallCaps w:val="0"/>
                <w:color w:val="auto"/>
                <w:szCs w:val="21"/>
                <w:highlight w:val="none"/>
              </w:rPr>
              <w:t>、生态保护措施</w:t>
            </w:r>
          </w:p>
          <w:p w14:paraId="26621E5B">
            <w:pPr>
              <w:pStyle w:val="14"/>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eastAsia" w:ascii="宋体" w:hAnsi="宋体" w:eastAsia="宋体" w:cs="宋体"/>
                <w:bCs/>
                <w:smallCaps w:val="0"/>
                <w:color w:val="auto"/>
                <w:szCs w:val="21"/>
                <w:highlight w:val="none"/>
              </w:rPr>
            </w:pPr>
            <w:r>
              <w:rPr>
                <w:rFonts w:hint="eastAsia" w:ascii="宋体" w:hAnsi="宋体" w:eastAsia="宋体" w:cs="宋体"/>
                <w:color w:val="auto"/>
                <w:kern w:val="2"/>
                <w:sz w:val="24"/>
                <w:szCs w:val="24"/>
                <w:highlight w:val="none"/>
                <w:lang w:val="en-US" w:eastAsia="zh-CN" w:bidi="ar-SA"/>
              </w:rPr>
              <w:t>本项目采取了一系列生态保护措施，可有效防止对生态的破坏。详见生态环境影响专项评价。</w:t>
            </w:r>
          </w:p>
        </w:tc>
      </w:tr>
      <w:tr w14:paraId="76D59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668" w:type="dxa"/>
            <w:noWrap w:val="0"/>
            <w:tcMar>
              <w:left w:w="28" w:type="dxa"/>
              <w:right w:w="28" w:type="dxa"/>
            </w:tcMar>
            <w:vAlign w:val="center"/>
          </w:tcPr>
          <w:p w14:paraId="66119493">
            <w:pPr>
              <w:adjustRightInd w:val="0"/>
              <w:snapToGrid w:val="0"/>
              <w:spacing w:line="240" w:lineRule="auto"/>
              <w:ind w:firstLine="0" w:firstLineChars="0"/>
              <w:jc w:val="center"/>
              <w:rPr>
                <w:rFonts w:hint="eastAsia" w:ascii="宋体" w:hAnsi="宋体" w:eastAsia="宋体" w:cs="宋体"/>
                <w:bCs/>
                <w:smallCaps w:val="0"/>
                <w:color w:val="auto"/>
                <w:szCs w:val="21"/>
                <w:highlight w:val="none"/>
              </w:rPr>
            </w:pPr>
            <w:r>
              <w:rPr>
                <w:rFonts w:hint="eastAsia" w:ascii="宋体" w:hAnsi="宋体" w:eastAsia="宋体" w:cs="宋体"/>
                <w:bCs/>
                <w:smallCaps w:val="0"/>
                <w:color w:val="auto"/>
                <w:sz w:val="21"/>
                <w:szCs w:val="21"/>
                <w:highlight w:val="none"/>
              </w:rPr>
              <w:t>运营期生态环境保护措施</w:t>
            </w:r>
          </w:p>
        </w:tc>
        <w:tc>
          <w:tcPr>
            <w:tcW w:w="8404" w:type="dxa"/>
            <w:noWrap w:val="0"/>
            <w:vAlign w:val="center"/>
          </w:tcPr>
          <w:p w14:paraId="60B6A78B">
            <w:pPr>
              <w:adjustRightInd w:val="0"/>
              <w:snapToGrid w:val="0"/>
              <w:ind w:firstLine="482"/>
              <w:rPr>
                <w:rFonts w:hint="eastAsia" w:ascii="宋体" w:hAnsi="宋体" w:eastAsia="宋体" w:cs="宋体"/>
                <w:b/>
                <w:bCs/>
                <w:smallCaps w:val="0"/>
                <w:color w:val="auto"/>
                <w:szCs w:val="24"/>
                <w:highlight w:val="none"/>
                <w:lang w:val="en-US" w:eastAsia="zh-CN"/>
              </w:rPr>
            </w:pPr>
            <w:r>
              <w:rPr>
                <w:rFonts w:hint="eastAsia" w:ascii="宋体" w:hAnsi="宋体" w:eastAsia="宋体" w:cs="宋体"/>
                <w:b/>
                <w:bCs/>
                <w:smallCaps w:val="0"/>
                <w:color w:val="auto"/>
                <w:szCs w:val="24"/>
                <w:highlight w:val="none"/>
              </w:rPr>
              <w:t>1、废水</w:t>
            </w:r>
            <w:r>
              <w:rPr>
                <w:rFonts w:hint="eastAsia" w:ascii="宋体" w:hAnsi="宋体" w:eastAsia="宋体" w:cs="宋体"/>
                <w:b/>
                <w:bCs/>
                <w:smallCaps w:val="0"/>
                <w:color w:val="auto"/>
                <w:szCs w:val="24"/>
                <w:highlight w:val="none"/>
                <w:lang w:val="en-US" w:eastAsia="zh-CN"/>
              </w:rPr>
              <w:t>保护措施</w:t>
            </w:r>
          </w:p>
          <w:p w14:paraId="13E7585D">
            <w:pPr>
              <w:adjustRightInd w:val="0"/>
              <w:snapToGrid w:val="0"/>
              <w:ind w:firstLine="480"/>
              <w:rPr>
                <w:rFonts w:hint="eastAsia" w:ascii="宋体" w:hAnsi="宋体" w:eastAsia="宋体" w:cs="宋体"/>
                <w:smallCaps w:val="0"/>
                <w:color w:val="auto"/>
                <w:szCs w:val="24"/>
                <w:highlight w:val="none"/>
              </w:rPr>
            </w:pPr>
            <w:r>
              <w:rPr>
                <w:rFonts w:hint="eastAsia" w:ascii="宋体" w:hAnsi="宋体" w:eastAsia="宋体" w:cs="宋体"/>
                <w:smallCaps w:val="0"/>
                <w:color w:val="auto"/>
                <w:szCs w:val="24"/>
                <w:highlight w:val="none"/>
                <w:lang w:val="en-US" w:eastAsia="zh-CN"/>
              </w:rPr>
              <w:t>工程建成后拟由市政环卫部门定期对路面进行清扫，定期由洒水车对路面进行洒水降尘，保持路面的整洁，采取该措施后，可改善城区道路的环境卫生质量，进而减轻雨水冲刷对沿线水环境的影响。</w:t>
            </w:r>
          </w:p>
          <w:p w14:paraId="6FBDE5CE">
            <w:pPr>
              <w:adjustRightInd w:val="0"/>
              <w:snapToGrid w:val="0"/>
              <w:ind w:firstLine="482"/>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rPr>
              <w:t>2、废气</w:t>
            </w:r>
            <w:r>
              <w:rPr>
                <w:rFonts w:hint="eastAsia" w:ascii="宋体" w:hAnsi="宋体" w:eastAsia="宋体" w:cs="宋体"/>
                <w:b/>
                <w:bCs/>
                <w:smallCaps w:val="0"/>
                <w:color w:val="auto"/>
                <w:highlight w:val="none"/>
                <w:lang w:val="en-US" w:eastAsia="zh-CN"/>
              </w:rPr>
              <w:t>保护措施</w:t>
            </w:r>
          </w:p>
          <w:p w14:paraId="13A040A3">
            <w:pPr>
              <w:adjustRightInd w:val="0"/>
              <w:snapToGrid w:val="0"/>
              <w:ind w:firstLine="48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工程建成后环境空气影响主要来自行驶车辆产生的汽车尾气，工程从加强交通管理，减少因拥挤塞车、怠速行驶造成的大气污染，从而减轻对环境空气质量的影响。</w:t>
            </w:r>
          </w:p>
          <w:p w14:paraId="204A04C5">
            <w:pPr>
              <w:adjustRightInd w:val="0"/>
              <w:snapToGrid w:val="0"/>
              <w:ind w:firstLine="48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在道路两侧现存在多种类型树种，可有效地净化吸收车辆尾气中的污染物，可美化环境和沿线景观。</w:t>
            </w:r>
          </w:p>
          <w:p w14:paraId="087A269C">
            <w:pPr>
              <w:adjustRightInd w:val="0"/>
              <w:snapToGrid w:val="0"/>
              <w:ind w:firstLine="480"/>
              <w:rPr>
                <w:rFonts w:hint="eastAsia" w:ascii="宋体" w:hAnsi="宋体" w:eastAsia="宋体" w:cs="宋体"/>
                <w:smallCaps w:val="0"/>
                <w:color w:val="auto"/>
                <w:highlight w:val="none"/>
                <w:lang w:val="en-US" w:eastAsia="zh-CN"/>
              </w:rPr>
            </w:pPr>
            <w:r>
              <w:rPr>
                <w:rFonts w:hint="eastAsia" w:ascii="宋体" w:hAnsi="宋体" w:eastAsia="宋体" w:cs="宋体"/>
                <w:smallCaps w:val="0"/>
                <w:color w:val="auto"/>
                <w:highlight w:val="none"/>
                <w:lang w:val="en-US" w:eastAsia="zh-CN"/>
              </w:rPr>
              <w:t>加强组织管理，对上路车辆进行检查，禁止车况差、超载、遮盖不严容易洒落的车辆上路。</w:t>
            </w:r>
          </w:p>
          <w:p w14:paraId="57BE684C">
            <w:pPr>
              <w:adjustRightInd w:val="0"/>
              <w:snapToGrid w:val="0"/>
              <w:ind w:firstLine="482"/>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rPr>
              <w:t>3、噪声</w:t>
            </w:r>
            <w:r>
              <w:rPr>
                <w:rFonts w:hint="eastAsia" w:ascii="宋体" w:hAnsi="宋体" w:eastAsia="宋体" w:cs="宋体"/>
                <w:b/>
                <w:bCs/>
                <w:smallCaps w:val="0"/>
                <w:color w:val="auto"/>
                <w:highlight w:val="none"/>
                <w:lang w:val="en-US" w:eastAsia="zh-CN"/>
              </w:rPr>
              <w:t>保护措施</w:t>
            </w:r>
          </w:p>
          <w:p w14:paraId="2106D3E7">
            <w:pPr>
              <w:adjustRightInd w:val="0"/>
              <w:snapToGrid w:val="0"/>
              <w:ind w:firstLine="480"/>
              <w:rPr>
                <w:rFonts w:hint="eastAsia" w:ascii="宋体" w:hAnsi="宋体" w:eastAsia="宋体" w:cs="宋体"/>
                <w:smallCaps w:val="0"/>
                <w:color w:val="auto"/>
                <w:highlight w:val="none"/>
                <w:lang w:val="en-US" w:eastAsia="zh-CN"/>
              </w:rPr>
            </w:pPr>
            <w:r>
              <w:rPr>
                <w:rFonts w:hint="eastAsia" w:ascii="宋体" w:hAnsi="宋体" w:eastAsia="宋体" w:cs="宋体"/>
                <w:color w:val="auto"/>
                <w:spacing w:val="0"/>
                <w:w w:val="100"/>
                <w:position w:val="0"/>
                <w:sz w:val="24"/>
                <w:szCs w:val="24"/>
                <w:highlight w:val="none"/>
                <w:lang w:val="en-US" w:eastAsia="zh-CN"/>
              </w:rPr>
              <w:t>详见噪声专项评价。</w:t>
            </w:r>
          </w:p>
          <w:p w14:paraId="22A442DB">
            <w:pPr>
              <w:ind w:firstLine="482"/>
              <w:rPr>
                <w:rFonts w:hint="eastAsia" w:ascii="宋体" w:hAnsi="宋体" w:eastAsia="宋体" w:cs="宋体"/>
                <w:b/>
                <w:bCs/>
                <w:smallCaps w:val="0"/>
                <w:color w:val="auto"/>
                <w:highlight w:val="none"/>
                <w:lang w:val="en-US" w:eastAsia="zh-CN"/>
              </w:rPr>
            </w:pPr>
            <w:r>
              <w:rPr>
                <w:rFonts w:hint="eastAsia" w:ascii="宋体" w:hAnsi="宋体" w:eastAsia="宋体" w:cs="宋体"/>
                <w:b/>
                <w:bCs/>
                <w:smallCaps w:val="0"/>
                <w:color w:val="auto"/>
                <w:highlight w:val="none"/>
              </w:rPr>
              <w:t>4、固体废物</w:t>
            </w:r>
            <w:r>
              <w:rPr>
                <w:rFonts w:hint="eastAsia" w:ascii="宋体" w:hAnsi="宋体" w:eastAsia="宋体" w:cs="宋体"/>
                <w:b/>
                <w:bCs/>
                <w:smallCaps w:val="0"/>
                <w:color w:val="auto"/>
                <w:highlight w:val="none"/>
                <w:lang w:val="en-US" w:eastAsia="zh-CN"/>
              </w:rPr>
              <w:t>保护措施</w:t>
            </w:r>
          </w:p>
          <w:p w14:paraId="3C2C014F">
            <w:pPr>
              <w:adjustRightInd w:val="0"/>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道路本身不会产生固体废物。可通过制定并宣传法规，禁止乘客在道路上随意丢弃饮料袋、易拉罐等垃圾，以此确保行车安全以及道路两侧的清洁卫生。对于运输易散落物品的车辆，应要求其加盖苫布或进行密闭运输。</w:t>
            </w:r>
          </w:p>
          <w:p w14:paraId="3A516615">
            <w:pPr>
              <w:adjustRightInd w:val="0"/>
              <w:ind w:firstLine="480"/>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5、生态保护措施</w:t>
            </w:r>
          </w:p>
          <w:p w14:paraId="51B1FD06">
            <w:pPr>
              <w:adjustRightInd w:val="0"/>
              <w:ind w:firstLine="480"/>
              <w:rPr>
                <w:rFonts w:hint="eastAsia" w:ascii="宋体" w:hAnsi="宋体" w:eastAsia="宋体" w:cs="宋体"/>
                <w:color w:val="auto"/>
                <w:spacing w:val="0"/>
                <w:w w:val="100"/>
                <w:position w:val="0"/>
                <w:sz w:val="24"/>
                <w:szCs w:val="24"/>
                <w:highlight w:val="none"/>
                <w:lang w:val="en-US" w:eastAsia="zh-CN"/>
              </w:rPr>
            </w:pPr>
            <w:r>
              <w:rPr>
                <w:rFonts w:hint="eastAsia" w:ascii="宋体" w:hAnsi="宋体" w:eastAsia="宋体" w:cs="宋体"/>
                <w:color w:val="auto"/>
                <w:spacing w:val="0"/>
                <w:w w:val="100"/>
                <w:position w:val="0"/>
                <w:sz w:val="24"/>
                <w:szCs w:val="24"/>
                <w:highlight w:val="none"/>
                <w:lang w:val="en-US" w:eastAsia="zh-CN"/>
              </w:rPr>
              <w:t>详见生态专项评价。</w:t>
            </w:r>
          </w:p>
        </w:tc>
      </w:tr>
      <w:tr w14:paraId="7445F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668" w:type="dxa"/>
            <w:noWrap w:val="0"/>
            <w:vAlign w:val="center"/>
          </w:tcPr>
          <w:p w14:paraId="43D360EB">
            <w:pPr>
              <w:adjustRightInd w:val="0"/>
              <w:snapToGrid w:val="0"/>
              <w:ind w:firstLine="0" w:firstLineChars="0"/>
              <w:jc w:val="center"/>
              <w:rPr>
                <w:rFonts w:hint="eastAsia" w:ascii="宋体" w:hAnsi="宋体" w:eastAsia="宋体" w:cs="宋体"/>
                <w:bCs/>
                <w:smallCaps w:val="0"/>
                <w:color w:val="auto"/>
                <w:szCs w:val="21"/>
                <w:highlight w:val="none"/>
              </w:rPr>
            </w:pPr>
            <w:r>
              <w:rPr>
                <w:rFonts w:hint="eastAsia" w:ascii="宋体" w:hAnsi="宋体" w:eastAsia="宋体" w:cs="宋体"/>
                <w:bCs/>
                <w:smallCaps w:val="0"/>
                <w:color w:val="auto"/>
                <w:szCs w:val="21"/>
                <w:highlight w:val="none"/>
              </w:rPr>
              <w:t>其他</w:t>
            </w:r>
          </w:p>
        </w:tc>
        <w:tc>
          <w:tcPr>
            <w:tcW w:w="8404" w:type="dxa"/>
            <w:noWrap w:val="0"/>
            <w:vAlign w:val="center"/>
          </w:tcPr>
          <w:p w14:paraId="0C242636">
            <w:pPr>
              <w:ind w:firstLine="482"/>
              <w:rPr>
                <w:rFonts w:hint="eastAsia" w:ascii="宋体" w:hAnsi="宋体" w:eastAsia="宋体" w:cs="宋体"/>
                <w:b/>
                <w:bCs/>
                <w:smallCaps w:val="0"/>
                <w:color w:val="auto"/>
                <w:highlight w:val="none"/>
              </w:rPr>
            </w:pPr>
            <w:r>
              <w:rPr>
                <w:rFonts w:hint="eastAsia" w:ascii="宋体" w:hAnsi="宋体" w:eastAsia="宋体" w:cs="宋体"/>
                <w:b/>
                <w:bCs/>
                <w:smallCaps w:val="0"/>
                <w:color w:val="auto"/>
                <w:highlight w:val="none"/>
              </w:rPr>
              <w:t>一、环境管理内容</w:t>
            </w:r>
          </w:p>
          <w:p w14:paraId="60B8492E">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项目施工过程中会产生扬尘、噪声、建筑垃圾等。施工期间需执行监督的环境影响缓解措施内容包括：</w:t>
            </w:r>
          </w:p>
          <w:p w14:paraId="443353F6">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（1）项目建设期间，应根据国家和</w:t>
            </w:r>
            <w:r>
              <w:rPr>
                <w:rFonts w:hint="eastAsia" w:ascii="宋体" w:hAnsi="宋体" w:eastAsia="宋体" w:cs="宋体"/>
                <w:smallCaps w:val="0"/>
                <w:color w:val="auto"/>
                <w:highlight w:val="none"/>
                <w:lang w:eastAsia="zh-CN"/>
              </w:rPr>
              <w:t>双鸭山市</w:t>
            </w:r>
            <w:r>
              <w:rPr>
                <w:rFonts w:hint="eastAsia" w:ascii="宋体" w:hAnsi="宋体" w:eastAsia="宋体" w:cs="宋体"/>
                <w:smallCaps w:val="0"/>
                <w:color w:val="auto"/>
                <w:highlight w:val="none"/>
              </w:rPr>
              <w:t>生态环境局的规定和要求，重点检查工程进展情况是否符合“三同时”原则，项目的污染防治措施是否按计划与主体工程同时施工，质量是否符合要求；</w:t>
            </w:r>
          </w:p>
          <w:p w14:paraId="2CD0CDDA">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（2）建筑垃圾、施工材料装卸、运输是否按规定进行；</w:t>
            </w:r>
          </w:p>
          <w:p w14:paraId="3C0F0325">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（3）对施工产生的废水经沉淀后回用，不得排放；</w:t>
            </w:r>
          </w:p>
          <w:p w14:paraId="39111CAD">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（4）施工单位是否按照《防治城市扬尘污染技术规范》（HJ/T393-2007）对施工过程中产生的扬尘、噪声、废水、固废等进行合理、有效的治理或处置；</w:t>
            </w:r>
          </w:p>
          <w:p w14:paraId="53D9EA56">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5）施工过程中使用的各类机械设备是否依据有关法规要求控制噪声污染，同时严格按照《建筑施工场界环境噪声排放标准》（GB12523-2011）的相关要求，合理安排施工作业，防止施工噪声对周围环境造成影响，本项目不进行夜间施工；</w:t>
            </w:r>
          </w:p>
          <w:p w14:paraId="214FBD02">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（6）建筑工地生活污水和生活垃圾是否进行妥善处置；</w:t>
            </w:r>
          </w:p>
          <w:p w14:paraId="0E9F1B8E">
            <w:pPr>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（7）工程竣工后，施工单位是否及时将工地建筑垃圾清除干净，建设单位应负责监督、检查，保证处置和清运率达到100%要求。</w:t>
            </w:r>
          </w:p>
          <w:p w14:paraId="00108384">
            <w:pPr>
              <w:ind w:firstLine="482"/>
              <w:rPr>
                <w:rFonts w:hint="eastAsia" w:ascii="宋体" w:hAnsi="宋体" w:eastAsia="宋体" w:cs="宋体"/>
                <w:b/>
                <w:bCs/>
                <w:smallCaps w:val="0"/>
                <w:color w:val="auto"/>
                <w:highlight w:val="none"/>
              </w:rPr>
            </w:pPr>
            <w:r>
              <w:rPr>
                <w:rFonts w:hint="eastAsia" w:ascii="宋体" w:hAnsi="宋体" w:eastAsia="宋体" w:cs="宋体"/>
                <w:b/>
                <w:bCs/>
                <w:smallCaps w:val="0"/>
                <w:color w:val="auto"/>
                <w:highlight w:val="none"/>
              </w:rPr>
              <w:t>二、环境监测</w:t>
            </w:r>
          </w:p>
          <w:p w14:paraId="46DCF94F">
            <w:pPr>
              <w:bidi w:val="0"/>
              <w:spacing w:line="240" w:lineRule="auto"/>
              <w:jc w:val="center"/>
              <w:rPr>
                <w:rFonts w:hint="eastAsia" w:ascii="宋体" w:hAnsi="宋体" w:eastAsia="宋体" w:cs="宋体"/>
                <w:b/>
                <w:bCs/>
                <w:color w:val="auto"/>
                <w:spacing w:val="0"/>
                <w:w w:val="100"/>
                <w:position w:val="0"/>
                <w:sz w:val="24"/>
                <w:szCs w:val="24"/>
                <w:highlight w:val="none"/>
              </w:rPr>
            </w:pPr>
          </w:p>
          <w:p w14:paraId="76BFDFD3">
            <w:pPr>
              <w:bidi w:val="0"/>
              <w:spacing w:line="240" w:lineRule="auto"/>
              <w:jc w:val="center"/>
              <w:rPr>
                <w:rFonts w:hint="eastAsia" w:ascii="宋体" w:hAnsi="宋体" w:eastAsia="宋体" w:cs="宋体"/>
                <w:b/>
                <w:bCs/>
                <w:color w:val="auto"/>
                <w:spacing w:val="0"/>
                <w:w w:val="100"/>
                <w:position w:val="0"/>
                <w:sz w:val="21"/>
                <w:szCs w:val="21"/>
                <w:highlight w:val="none"/>
              </w:rPr>
            </w:pPr>
            <w:r>
              <w:rPr>
                <w:rFonts w:hint="eastAsia" w:ascii="宋体" w:hAnsi="宋体" w:eastAsia="宋体" w:cs="宋体"/>
                <w:b/>
                <w:bCs/>
                <w:color w:val="auto"/>
                <w:spacing w:val="0"/>
                <w:w w:val="100"/>
                <w:position w:val="0"/>
                <w:sz w:val="21"/>
                <w:szCs w:val="21"/>
                <w:highlight w:val="none"/>
              </w:rPr>
              <w:t>表 5-</w:t>
            </w:r>
            <w:r>
              <w:rPr>
                <w:rFonts w:hint="eastAsia" w:ascii="宋体" w:hAnsi="宋体" w:eastAsia="宋体" w:cs="宋体"/>
                <w:b/>
                <w:bCs/>
                <w:color w:val="auto"/>
                <w:spacing w:val="0"/>
                <w:w w:val="100"/>
                <w:position w:val="0"/>
                <w:sz w:val="21"/>
                <w:szCs w:val="21"/>
                <w:highlight w:val="none"/>
                <w:lang w:val="en-US" w:eastAsia="zh-CN"/>
              </w:rPr>
              <w:t>1</w:t>
            </w:r>
            <w:r>
              <w:rPr>
                <w:rFonts w:hint="eastAsia" w:ascii="宋体" w:hAnsi="宋体" w:eastAsia="宋体" w:cs="宋体"/>
                <w:b/>
                <w:bCs/>
                <w:color w:val="auto"/>
                <w:spacing w:val="0"/>
                <w:w w:val="100"/>
                <w:position w:val="0"/>
                <w:sz w:val="21"/>
                <w:szCs w:val="21"/>
                <w:highlight w:val="none"/>
              </w:rPr>
              <w:t xml:space="preserve"> 本项目施工期与运营期环境跟踪监测计划</w:t>
            </w:r>
          </w:p>
          <w:tbl>
            <w:tblPr>
              <w:tblStyle w:val="33"/>
              <w:tblW w:w="8164"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61"/>
              <w:gridCol w:w="1118"/>
              <w:gridCol w:w="998"/>
              <w:gridCol w:w="1236"/>
              <w:gridCol w:w="3084"/>
              <w:gridCol w:w="1167"/>
            </w:tblGrid>
            <w:tr w14:paraId="4626159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561" w:type="dxa"/>
                  <w:tcBorders>
                    <w:left w:val="nil"/>
                    <w:bottom w:val="single" w:color="000000" w:sz="4" w:space="0"/>
                    <w:right w:val="single" w:color="000000" w:sz="4" w:space="0"/>
                  </w:tcBorders>
                  <w:noWrap w:val="0"/>
                  <w:vAlign w:val="center"/>
                </w:tcPr>
                <w:p w14:paraId="09E157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阶段</w:t>
                  </w:r>
                </w:p>
              </w:tc>
              <w:tc>
                <w:tcPr>
                  <w:tcW w:w="2116" w:type="dxa"/>
                  <w:gridSpan w:val="2"/>
                  <w:tcBorders>
                    <w:left w:val="single" w:color="000000" w:sz="4" w:space="0"/>
                    <w:bottom w:val="single" w:color="000000" w:sz="4" w:space="0"/>
                    <w:right w:val="single" w:color="000000" w:sz="4" w:space="0"/>
                  </w:tcBorders>
                  <w:noWrap w:val="0"/>
                  <w:vAlign w:val="center"/>
                </w:tcPr>
                <w:p w14:paraId="30CE8E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监测内容</w:t>
                  </w:r>
                </w:p>
              </w:tc>
              <w:tc>
                <w:tcPr>
                  <w:tcW w:w="1236" w:type="dxa"/>
                  <w:tcBorders>
                    <w:left w:val="single" w:color="000000" w:sz="4" w:space="0"/>
                    <w:bottom w:val="single" w:color="000000" w:sz="4" w:space="0"/>
                    <w:right w:val="single" w:color="000000" w:sz="4" w:space="0"/>
                  </w:tcBorders>
                  <w:noWrap w:val="0"/>
                  <w:vAlign w:val="center"/>
                </w:tcPr>
                <w:p w14:paraId="7D0393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次数</w:t>
                  </w:r>
                </w:p>
              </w:tc>
              <w:tc>
                <w:tcPr>
                  <w:tcW w:w="3084" w:type="dxa"/>
                  <w:tcBorders>
                    <w:left w:val="single" w:color="000000" w:sz="4" w:space="0"/>
                    <w:bottom w:val="single" w:color="000000" w:sz="4" w:space="0"/>
                    <w:right w:val="single" w:color="000000" w:sz="4" w:space="0"/>
                  </w:tcBorders>
                  <w:noWrap w:val="0"/>
                  <w:vAlign w:val="center"/>
                </w:tcPr>
                <w:p w14:paraId="58ABF7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时间</w:t>
                  </w:r>
                </w:p>
              </w:tc>
              <w:tc>
                <w:tcPr>
                  <w:tcW w:w="1167" w:type="dxa"/>
                  <w:tcBorders>
                    <w:left w:val="single" w:color="000000" w:sz="4" w:space="0"/>
                    <w:bottom w:val="single" w:color="000000" w:sz="4" w:space="0"/>
                    <w:right w:val="nil"/>
                  </w:tcBorders>
                  <w:noWrap w:val="0"/>
                  <w:vAlign w:val="center"/>
                </w:tcPr>
                <w:p w14:paraId="39AE4A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监测点位</w:t>
                  </w:r>
                </w:p>
              </w:tc>
            </w:tr>
            <w:tr w14:paraId="14013D4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80" w:hRule="atLeast"/>
                <w:jc w:val="center"/>
              </w:trPr>
              <w:tc>
                <w:tcPr>
                  <w:tcW w:w="561" w:type="dxa"/>
                  <w:vMerge w:val="restart"/>
                  <w:tcBorders>
                    <w:top w:val="single" w:color="000000" w:sz="4" w:space="0"/>
                    <w:left w:val="nil"/>
                    <w:bottom w:val="single" w:color="000000" w:sz="4" w:space="0"/>
                    <w:right w:val="single" w:color="000000" w:sz="4" w:space="0"/>
                  </w:tcBorders>
                  <w:noWrap w:val="0"/>
                  <w:vAlign w:val="center"/>
                </w:tcPr>
                <w:p w14:paraId="3B9811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施工期</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14:paraId="41B43F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施工噪声</w:t>
                  </w:r>
                </w:p>
              </w:tc>
              <w:tc>
                <w:tcPr>
                  <w:tcW w:w="998" w:type="dxa"/>
                  <w:tcBorders>
                    <w:top w:val="single" w:color="000000" w:sz="4" w:space="0"/>
                    <w:left w:val="single" w:color="000000" w:sz="4" w:space="0"/>
                    <w:bottom w:val="single" w:color="000000" w:sz="4" w:space="0"/>
                    <w:right w:val="single" w:color="000000" w:sz="4" w:space="0"/>
                  </w:tcBorders>
                  <w:noWrap w:val="0"/>
                  <w:vAlign w:val="center"/>
                </w:tcPr>
                <w:p w14:paraId="1E6DF7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声级（LeqA）</w:t>
                  </w:r>
                </w:p>
              </w:tc>
              <w:tc>
                <w:tcPr>
                  <w:tcW w:w="1236" w:type="dxa"/>
                  <w:tcBorders>
                    <w:top w:val="single" w:color="000000" w:sz="4" w:space="0"/>
                    <w:left w:val="single" w:color="000000" w:sz="4" w:space="0"/>
                    <w:bottom w:val="single" w:color="000000" w:sz="4" w:space="0"/>
                    <w:right w:val="single" w:color="000000" w:sz="4" w:space="0"/>
                  </w:tcBorders>
                  <w:noWrap w:val="0"/>
                  <w:vAlign w:val="center"/>
                </w:tcPr>
                <w:p w14:paraId="305B95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1次/月</w:t>
                  </w:r>
                </w:p>
              </w:tc>
              <w:tc>
                <w:tcPr>
                  <w:tcW w:w="3084" w:type="dxa"/>
                  <w:tcBorders>
                    <w:top w:val="single" w:color="000000" w:sz="4" w:space="0"/>
                    <w:left w:val="single" w:color="000000" w:sz="4" w:space="0"/>
                    <w:bottom w:val="single" w:color="000000" w:sz="4" w:space="0"/>
                    <w:right w:val="single" w:color="000000" w:sz="4" w:space="0"/>
                  </w:tcBorders>
                  <w:noWrap w:val="0"/>
                  <w:vAlign w:val="center"/>
                </w:tcPr>
                <w:p w14:paraId="0F9F7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kern w:val="0"/>
                      <w:sz w:val="21"/>
                      <w:szCs w:val="21"/>
                      <w:highlight w:val="none"/>
                    </w:rPr>
                    <w:t>施工期每季度一次，1天2次（昼夜各一次）</w:t>
                  </w:r>
                </w:p>
              </w:tc>
              <w:tc>
                <w:tcPr>
                  <w:tcW w:w="1167" w:type="dxa"/>
                  <w:tcBorders>
                    <w:top w:val="single" w:color="000000" w:sz="4" w:space="0"/>
                    <w:left w:val="single" w:color="000000" w:sz="4" w:space="0"/>
                    <w:bottom w:val="single" w:color="000000" w:sz="4" w:space="0"/>
                    <w:right w:val="nil"/>
                  </w:tcBorders>
                  <w:noWrap w:val="0"/>
                  <w:vAlign w:val="center"/>
                </w:tcPr>
                <w:p w14:paraId="23F7AF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工地两侧</w:t>
                  </w:r>
                </w:p>
              </w:tc>
            </w:tr>
            <w:tr w14:paraId="13D9F70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80" w:hRule="atLeast"/>
                <w:jc w:val="center"/>
              </w:trPr>
              <w:tc>
                <w:tcPr>
                  <w:tcW w:w="561" w:type="dxa"/>
                  <w:vMerge w:val="continue"/>
                  <w:tcBorders>
                    <w:top w:val="nil"/>
                    <w:left w:val="nil"/>
                    <w:bottom w:val="single" w:color="000000" w:sz="4" w:space="0"/>
                    <w:right w:val="single" w:color="000000" w:sz="4" w:space="0"/>
                  </w:tcBorders>
                  <w:noWrap w:val="0"/>
                  <w:vAlign w:val="center"/>
                </w:tcPr>
                <w:p w14:paraId="054D92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p>
              </w:tc>
              <w:tc>
                <w:tcPr>
                  <w:tcW w:w="1118" w:type="dxa"/>
                  <w:tcBorders>
                    <w:top w:val="single" w:color="000000" w:sz="4" w:space="0"/>
                    <w:left w:val="single" w:color="000000" w:sz="4" w:space="0"/>
                    <w:bottom w:val="single" w:color="000000" w:sz="4" w:space="0"/>
                    <w:right w:val="single" w:color="000000" w:sz="4" w:space="0"/>
                  </w:tcBorders>
                  <w:noWrap w:val="0"/>
                  <w:vAlign w:val="center"/>
                </w:tcPr>
                <w:p w14:paraId="60AD14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环境空气</w:t>
                  </w:r>
                </w:p>
              </w:tc>
              <w:tc>
                <w:tcPr>
                  <w:tcW w:w="998" w:type="dxa"/>
                  <w:tcBorders>
                    <w:top w:val="single" w:color="000000" w:sz="4" w:space="0"/>
                    <w:left w:val="single" w:color="000000" w:sz="4" w:space="0"/>
                    <w:bottom w:val="single" w:color="000000" w:sz="4" w:space="0"/>
                    <w:right w:val="single" w:color="000000" w:sz="4" w:space="0"/>
                  </w:tcBorders>
                  <w:noWrap w:val="0"/>
                  <w:vAlign w:val="center"/>
                </w:tcPr>
                <w:p w14:paraId="1F4FED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TSP</w:t>
                  </w:r>
                </w:p>
              </w:tc>
              <w:tc>
                <w:tcPr>
                  <w:tcW w:w="1236" w:type="dxa"/>
                  <w:tcBorders>
                    <w:top w:val="single" w:color="000000" w:sz="4" w:space="0"/>
                    <w:left w:val="single" w:color="000000" w:sz="4" w:space="0"/>
                    <w:bottom w:val="single" w:color="000000" w:sz="4" w:space="0"/>
                    <w:right w:val="single" w:color="000000" w:sz="4" w:space="0"/>
                  </w:tcBorders>
                  <w:noWrap w:val="0"/>
                  <w:vAlign w:val="center"/>
                </w:tcPr>
                <w:p w14:paraId="76F2EF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1次/月</w:t>
                  </w:r>
                </w:p>
              </w:tc>
              <w:tc>
                <w:tcPr>
                  <w:tcW w:w="3084" w:type="dxa"/>
                  <w:tcBorders>
                    <w:top w:val="single" w:color="000000" w:sz="4" w:space="0"/>
                    <w:left w:val="single" w:color="000000" w:sz="4" w:space="0"/>
                    <w:bottom w:val="single" w:color="000000" w:sz="4" w:space="0"/>
                    <w:right w:val="single" w:color="000000" w:sz="4" w:space="0"/>
                  </w:tcBorders>
                  <w:noWrap w:val="0"/>
                  <w:vAlign w:val="center"/>
                </w:tcPr>
                <w:p w14:paraId="206B89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每次监测三天，每天取4个</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小时平均值与</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个24小时平均值</w:t>
                  </w:r>
                </w:p>
              </w:tc>
              <w:tc>
                <w:tcPr>
                  <w:tcW w:w="1167" w:type="dxa"/>
                  <w:tcBorders>
                    <w:top w:val="single" w:color="000000" w:sz="4" w:space="0"/>
                    <w:left w:val="single" w:color="000000" w:sz="4" w:space="0"/>
                    <w:bottom w:val="single" w:color="000000" w:sz="4" w:space="0"/>
                    <w:right w:val="nil"/>
                  </w:tcBorders>
                  <w:noWrap w:val="0"/>
                  <w:vAlign w:val="center"/>
                </w:tcPr>
                <w:p w14:paraId="56570D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工地两侧</w:t>
                  </w:r>
                </w:p>
              </w:tc>
            </w:tr>
            <w:tr w14:paraId="7F10A8A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55" w:hRule="atLeast"/>
                <w:jc w:val="center"/>
              </w:trPr>
              <w:tc>
                <w:tcPr>
                  <w:tcW w:w="561" w:type="dxa"/>
                  <w:vMerge w:val="restart"/>
                  <w:tcBorders>
                    <w:top w:val="single" w:color="000000" w:sz="4" w:space="0"/>
                    <w:left w:val="nil"/>
                    <w:right w:val="single" w:color="000000" w:sz="4" w:space="0"/>
                  </w:tcBorders>
                  <w:noWrap w:val="0"/>
                  <w:vAlign w:val="center"/>
                </w:tcPr>
                <w:p w14:paraId="5A47BE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运营期</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14:paraId="52EEFA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环境噪声</w:t>
                  </w:r>
                </w:p>
              </w:tc>
              <w:tc>
                <w:tcPr>
                  <w:tcW w:w="998" w:type="dxa"/>
                  <w:tcBorders>
                    <w:top w:val="single" w:color="000000" w:sz="4" w:space="0"/>
                    <w:left w:val="single" w:color="000000" w:sz="4" w:space="0"/>
                    <w:bottom w:val="single" w:color="000000" w:sz="4" w:space="0"/>
                    <w:right w:val="single" w:color="000000" w:sz="4" w:space="0"/>
                  </w:tcBorders>
                  <w:noWrap w:val="0"/>
                  <w:vAlign w:val="center"/>
                </w:tcPr>
                <w:p w14:paraId="352C01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声级</w:t>
                  </w:r>
                </w:p>
                <w:p w14:paraId="46E375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lang w:eastAsia="zh-CN"/>
                    </w:rPr>
                    <w:t>(</w:t>
                  </w:r>
                  <w:r>
                    <w:rPr>
                      <w:rFonts w:hint="eastAsia" w:ascii="宋体" w:hAnsi="宋体" w:eastAsia="宋体" w:cs="宋体"/>
                      <w:color w:val="auto"/>
                      <w:spacing w:val="0"/>
                      <w:w w:val="100"/>
                      <w:position w:val="0"/>
                      <w:sz w:val="21"/>
                      <w:szCs w:val="21"/>
                      <w:highlight w:val="none"/>
                    </w:rPr>
                    <w:t>LeqA</w:t>
                  </w:r>
                  <w:r>
                    <w:rPr>
                      <w:rFonts w:hint="eastAsia" w:ascii="宋体" w:hAnsi="宋体" w:eastAsia="宋体" w:cs="宋体"/>
                      <w:color w:val="auto"/>
                      <w:spacing w:val="0"/>
                      <w:w w:val="100"/>
                      <w:position w:val="0"/>
                      <w:sz w:val="21"/>
                      <w:szCs w:val="21"/>
                      <w:highlight w:val="none"/>
                      <w:lang w:eastAsia="zh-CN"/>
                    </w:rPr>
                    <w:t>)</w:t>
                  </w:r>
                </w:p>
              </w:tc>
              <w:tc>
                <w:tcPr>
                  <w:tcW w:w="1236" w:type="dxa"/>
                  <w:tcBorders>
                    <w:top w:val="single" w:color="000000" w:sz="4" w:space="0"/>
                    <w:left w:val="single" w:color="000000" w:sz="4" w:space="0"/>
                    <w:bottom w:val="single" w:color="000000" w:sz="4" w:space="0"/>
                    <w:right w:val="single" w:color="000000" w:sz="4" w:space="0"/>
                  </w:tcBorders>
                  <w:noWrap w:val="0"/>
                  <w:vAlign w:val="center"/>
                </w:tcPr>
                <w:p w14:paraId="508E97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运营近期、中期、远期各</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次</w:t>
                  </w:r>
                </w:p>
              </w:tc>
              <w:tc>
                <w:tcPr>
                  <w:tcW w:w="3084" w:type="dxa"/>
                  <w:tcBorders>
                    <w:top w:val="single" w:color="000000" w:sz="4" w:space="0"/>
                    <w:left w:val="single" w:color="000000" w:sz="4" w:space="0"/>
                    <w:bottom w:val="single" w:color="000000" w:sz="4" w:space="0"/>
                    <w:right w:val="single" w:color="000000" w:sz="4" w:space="0"/>
                  </w:tcBorders>
                  <w:noWrap w:val="0"/>
                  <w:vAlign w:val="center"/>
                </w:tcPr>
                <w:p w14:paraId="650B54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bCs/>
                      <w:color w:val="auto"/>
                      <w:spacing w:val="0"/>
                      <w:sz w:val="21"/>
                      <w:szCs w:val="21"/>
                      <w:highlight w:val="none"/>
                    </w:rPr>
                    <w:t>连续2天，昼夜各一次</w:t>
                  </w:r>
                </w:p>
              </w:tc>
              <w:tc>
                <w:tcPr>
                  <w:tcW w:w="1167" w:type="dxa"/>
                  <w:tcBorders>
                    <w:top w:val="single" w:color="000000" w:sz="4" w:space="0"/>
                    <w:left w:val="single" w:color="000000" w:sz="4" w:space="0"/>
                    <w:bottom w:val="single" w:color="000000" w:sz="4" w:space="0"/>
                    <w:right w:val="nil"/>
                  </w:tcBorders>
                  <w:noWrap w:val="0"/>
                  <w:vAlign w:val="center"/>
                </w:tcPr>
                <w:p w14:paraId="1E75D9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lang w:val="en-US" w:eastAsia="zh-CN"/>
                    </w:rPr>
                  </w:pPr>
                  <w:r>
                    <w:rPr>
                      <w:rFonts w:hint="eastAsia" w:ascii="宋体" w:hAnsi="宋体" w:eastAsia="宋体" w:cs="宋体"/>
                      <w:color w:val="auto"/>
                      <w:spacing w:val="0"/>
                      <w:w w:val="100"/>
                      <w:position w:val="0"/>
                      <w:sz w:val="21"/>
                      <w:szCs w:val="21"/>
                      <w:highlight w:val="none"/>
                      <w:lang w:val="en-US" w:eastAsia="zh-CN"/>
                    </w:rPr>
                    <w:t>南侧平房居民</w:t>
                  </w:r>
                </w:p>
              </w:tc>
            </w:tr>
            <w:tr w14:paraId="4C97021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74" w:hRule="atLeast"/>
                <w:jc w:val="center"/>
              </w:trPr>
              <w:tc>
                <w:tcPr>
                  <w:tcW w:w="561" w:type="dxa"/>
                  <w:vMerge w:val="continue"/>
                  <w:tcBorders>
                    <w:top w:val="nil"/>
                    <w:left w:val="nil"/>
                    <w:right w:val="single" w:color="000000" w:sz="4" w:space="0"/>
                  </w:tcBorders>
                  <w:noWrap w:val="0"/>
                  <w:vAlign w:val="center"/>
                </w:tcPr>
                <w:p w14:paraId="3403E9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p>
              </w:tc>
              <w:tc>
                <w:tcPr>
                  <w:tcW w:w="1118" w:type="dxa"/>
                  <w:tcBorders>
                    <w:top w:val="single" w:color="000000" w:sz="4" w:space="0"/>
                    <w:left w:val="single" w:color="000000" w:sz="4" w:space="0"/>
                    <w:right w:val="single" w:color="000000" w:sz="4" w:space="0"/>
                  </w:tcBorders>
                  <w:noWrap w:val="0"/>
                  <w:vAlign w:val="center"/>
                </w:tcPr>
                <w:p w14:paraId="272051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环境空气</w:t>
                  </w:r>
                </w:p>
              </w:tc>
              <w:tc>
                <w:tcPr>
                  <w:tcW w:w="998" w:type="dxa"/>
                  <w:tcBorders>
                    <w:top w:val="single" w:color="000000" w:sz="4" w:space="0"/>
                    <w:left w:val="single" w:color="000000" w:sz="4" w:space="0"/>
                    <w:right w:val="single" w:color="000000" w:sz="4" w:space="0"/>
                  </w:tcBorders>
                  <w:noWrap w:val="0"/>
                  <w:vAlign w:val="center"/>
                </w:tcPr>
                <w:p w14:paraId="14AF3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TSP、CO、NO</w:t>
                  </w:r>
                  <w:r>
                    <w:rPr>
                      <w:rFonts w:hint="eastAsia" w:ascii="宋体" w:hAnsi="宋体" w:eastAsia="宋体" w:cs="宋体"/>
                      <w:color w:val="auto"/>
                      <w:spacing w:val="0"/>
                      <w:w w:val="100"/>
                      <w:position w:val="0"/>
                      <w:sz w:val="21"/>
                      <w:szCs w:val="21"/>
                      <w:highlight w:val="none"/>
                      <w:vertAlign w:val="subscript"/>
                    </w:rPr>
                    <w:t>2</w:t>
                  </w:r>
                </w:p>
              </w:tc>
              <w:tc>
                <w:tcPr>
                  <w:tcW w:w="1236" w:type="dxa"/>
                  <w:tcBorders>
                    <w:top w:val="single" w:color="000000" w:sz="4" w:space="0"/>
                    <w:left w:val="single" w:color="000000" w:sz="4" w:space="0"/>
                    <w:right w:val="single" w:color="000000" w:sz="4" w:space="0"/>
                  </w:tcBorders>
                  <w:noWrap w:val="0"/>
                  <w:vAlign w:val="center"/>
                </w:tcPr>
                <w:p w14:paraId="14374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运营近期、中期、远期各</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次</w:t>
                  </w:r>
                </w:p>
              </w:tc>
              <w:tc>
                <w:tcPr>
                  <w:tcW w:w="3084" w:type="dxa"/>
                  <w:tcBorders>
                    <w:top w:val="single" w:color="000000" w:sz="4" w:space="0"/>
                    <w:left w:val="single" w:color="000000" w:sz="4" w:space="0"/>
                    <w:right w:val="single" w:color="000000" w:sz="4" w:space="0"/>
                  </w:tcBorders>
                  <w:noWrap w:val="0"/>
                  <w:vAlign w:val="center"/>
                </w:tcPr>
                <w:p w14:paraId="0F4452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每次监测三天，每天取</w:t>
                  </w:r>
                  <w:r>
                    <w:rPr>
                      <w:rFonts w:hint="eastAsia" w:ascii="宋体" w:hAnsi="宋体" w:eastAsia="宋体" w:cs="宋体"/>
                      <w:color w:val="auto"/>
                      <w:spacing w:val="0"/>
                      <w:w w:val="100"/>
                      <w:position w:val="0"/>
                      <w:sz w:val="21"/>
                      <w:szCs w:val="21"/>
                      <w:highlight w:val="none"/>
                      <w:lang w:val="en-US" w:eastAsia="zh-CN"/>
                    </w:rPr>
                    <w:t>4</w:t>
                  </w:r>
                  <w:r>
                    <w:rPr>
                      <w:rFonts w:hint="eastAsia" w:ascii="宋体" w:hAnsi="宋体" w:eastAsia="宋体" w:cs="宋体"/>
                      <w:color w:val="auto"/>
                      <w:spacing w:val="0"/>
                      <w:w w:val="100"/>
                      <w:position w:val="0"/>
                      <w:sz w:val="21"/>
                      <w:szCs w:val="21"/>
                      <w:highlight w:val="none"/>
                    </w:rPr>
                    <w:t>个</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小时平均值与</w:t>
                  </w:r>
                  <w:r>
                    <w:rPr>
                      <w:rFonts w:hint="eastAsia" w:ascii="宋体" w:hAnsi="宋体" w:eastAsia="宋体" w:cs="宋体"/>
                      <w:color w:val="auto"/>
                      <w:spacing w:val="0"/>
                      <w:w w:val="100"/>
                      <w:position w:val="0"/>
                      <w:sz w:val="21"/>
                      <w:szCs w:val="21"/>
                      <w:highlight w:val="none"/>
                      <w:lang w:val="en-US" w:eastAsia="zh-CN"/>
                    </w:rPr>
                    <w:t>1</w:t>
                  </w:r>
                  <w:r>
                    <w:rPr>
                      <w:rFonts w:hint="eastAsia" w:ascii="宋体" w:hAnsi="宋体" w:eastAsia="宋体" w:cs="宋体"/>
                      <w:color w:val="auto"/>
                      <w:spacing w:val="0"/>
                      <w:w w:val="100"/>
                      <w:position w:val="0"/>
                      <w:sz w:val="21"/>
                      <w:szCs w:val="21"/>
                      <w:highlight w:val="none"/>
                    </w:rPr>
                    <w:t>个</w:t>
                  </w:r>
                  <w:r>
                    <w:rPr>
                      <w:rFonts w:hint="eastAsia" w:ascii="宋体" w:hAnsi="宋体" w:eastAsia="宋体" w:cs="宋体"/>
                      <w:color w:val="auto"/>
                      <w:spacing w:val="0"/>
                      <w:w w:val="100"/>
                      <w:position w:val="0"/>
                      <w:sz w:val="21"/>
                      <w:szCs w:val="21"/>
                      <w:highlight w:val="none"/>
                      <w:lang w:val="en-US" w:eastAsia="zh-CN"/>
                    </w:rPr>
                    <w:t>24</w:t>
                  </w:r>
                  <w:r>
                    <w:rPr>
                      <w:rFonts w:hint="eastAsia" w:ascii="宋体" w:hAnsi="宋体" w:eastAsia="宋体" w:cs="宋体"/>
                      <w:color w:val="auto"/>
                      <w:spacing w:val="0"/>
                      <w:w w:val="100"/>
                      <w:position w:val="0"/>
                      <w:sz w:val="21"/>
                      <w:szCs w:val="21"/>
                      <w:highlight w:val="none"/>
                    </w:rPr>
                    <w:t>小时平均值</w:t>
                  </w:r>
                </w:p>
              </w:tc>
              <w:tc>
                <w:tcPr>
                  <w:tcW w:w="1167" w:type="dxa"/>
                  <w:tcBorders>
                    <w:top w:val="single" w:color="000000" w:sz="4" w:space="0"/>
                    <w:left w:val="single" w:color="000000" w:sz="4" w:space="0"/>
                    <w:right w:val="nil"/>
                  </w:tcBorders>
                  <w:noWrap w:val="0"/>
                  <w:vAlign w:val="center"/>
                </w:tcPr>
                <w:p w14:paraId="23DEB9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w w:val="100"/>
                      <w:position w:val="0"/>
                      <w:sz w:val="21"/>
                      <w:szCs w:val="21"/>
                      <w:highlight w:val="none"/>
                    </w:rPr>
                  </w:pPr>
                  <w:r>
                    <w:rPr>
                      <w:rFonts w:hint="eastAsia" w:ascii="宋体" w:hAnsi="宋体" w:eastAsia="宋体" w:cs="宋体"/>
                      <w:color w:val="auto"/>
                      <w:spacing w:val="0"/>
                      <w:w w:val="100"/>
                      <w:position w:val="0"/>
                      <w:sz w:val="21"/>
                      <w:szCs w:val="21"/>
                      <w:highlight w:val="none"/>
                    </w:rPr>
                    <w:t>道路两侧</w:t>
                  </w:r>
                </w:p>
              </w:tc>
            </w:tr>
          </w:tbl>
          <w:p w14:paraId="702ED406">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cs="宋体"/>
                <w:b/>
                <w:bCs/>
                <w:color w:val="auto"/>
                <w:highlight w:val="lightGray"/>
                <w:lang w:val="en-US" w:eastAsia="zh-CN"/>
              </w:rPr>
            </w:pPr>
            <w:r>
              <w:rPr>
                <w:rFonts w:hint="eastAsia" w:ascii="宋体" w:hAnsi="宋体" w:cs="宋体"/>
                <w:b/>
                <w:bCs/>
                <w:color w:val="auto"/>
                <w:highlight w:val="lightGray"/>
                <w:lang w:val="en-US" w:eastAsia="zh-CN"/>
              </w:rPr>
              <w:t>三、施工期间交通组织方案</w:t>
            </w:r>
          </w:p>
          <w:p w14:paraId="3129954F">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cs="宋体"/>
                <w:color w:val="auto"/>
                <w:highlight w:val="lightGray"/>
                <w:lang w:val="en-US" w:eastAsia="zh-CN"/>
              </w:rPr>
            </w:pPr>
            <w:r>
              <w:rPr>
                <w:rFonts w:hint="eastAsia" w:ascii="宋体" w:hAnsi="宋体" w:cs="宋体"/>
                <w:color w:val="auto"/>
                <w:highlight w:val="lightGray"/>
                <w:lang w:val="en-US" w:eastAsia="zh-CN"/>
              </w:rPr>
              <w:t>（1）加强道路自身保通，应重点保证施工路段的自身通行能力，行人及非机动车保持正常通行。</w:t>
            </w:r>
          </w:p>
          <w:p w14:paraId="245F2366">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cs="宋体"/>
                <w:color w:val="auto"/>
                <w:highlight w:val="lightGray"/>
                <w:lang w:val="en-US" w:eastAsia="zh-CN"/>
              </w:rPr>
            </w:pPr>
            <w:r>
              <w:rPr>
                <w:rFonts w:hint="eastAsia" w:ascii="宋体" w:hAnsi="宋体" w:cs="宋体"/>
                <w:color w:val="auto"/>
                <w:highlight w:val="lightGray"/>
                <w:lang w:val="en-US" w:eastAsia="zh-CN"/>
              </w:rPr>
              <w:t>（2）进一步优化重要节点，以减小施工的影响，确保重要节点的畅通。</w:t>
            </w:r>
          </w:p>
          <w:p w14:paraId="21575161">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auto"/>
                <w:highlight w:val="none"/>
                <w:lang w:val="en-US" w:eastAsia="zh-CN"/>
              </w:rPr>
            </w:pPr>
            <w:r>
              <w:rPr>
                <w:rFonts w:hint="eastAsia" w:ascii="宋体" w:hAnsi="宋体" w:cs="宋体"/>
                <w:color w:val="auto"/>
                <w:highlight w:val="lightGray"/>
                <w:lang w:val="en-US" w:eastAsia="zh-CN"/>
              </w:rPr>
              <w:t>（3）积极疏导交通，尽可能减小车流对施工道路的交通影响。</w:t>
            </w:r>
          </w:p>
        </w:tc>
      </w:tr>
      <w:tr w14:paraId="161DFA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668" w:type="dxa"/>
            <w:noWrap w:val="0"/>
            <w:vAlign w:val="center"/>
          </w:tcPr>
          <w:p w14:paraId="5789165C">
            <w:pPr>
              <w:adjustRightInd w:val="0"/>
              <w:snapToGrid w:val="0"/>
              <w:ind w:firstLine="0" w:firstLineChars="0"/>
              <w:jc w:val="center"/>
              <w:rPr>
                <w:rFonts w:hint="eastAsia" w:ascii="宋体" w:hAnsi="宋体" w:eastAsia="宋体" w:cs="宋体"/>
                <w:bCs/>
                <w:smallCaps w:val="0"/>
                <w:color w:val="auto"/>
                <w:spacing w:val="10"/>
                <w:szCs w:val="21"/>
                <w:highlight w:val="none"/>
              </w:rPr>
            </w:pPr>
            <w:r>
              <w:rPr>
                <w:rFonts w:hint="eastAsia" w:ascii="宋体" w:hAnsi="宋体" w:eastAsia="宋体" w:cs="宋体"/>
                <w:bCs/>
                <w:smallCaps w:val="0"/>
                <w:color w:val="auto"/>
                <w:szCs w:val="21"/>
                <w:highlight w:val="none"/>
              </w:rPr>
              <w:t>环保投资</w:t>
            </w:r>
          </w:p>
        </w:tc>
        <w:tc>
          <w:tcPr>
            <w:tcW w:w="8404" w:type="dxa"/>
            <w:noWrap w:val="0"/>
            <w:vAlign w:val="top"/>
          </w:tcPr>
          <w:p w14:paraId="0B87706E">
            <w:pPr>
              <w:adjustRightInd w:val="0"/>
              <w:snapToGrid w:val="0"/>
              <w:ind w:firstLine="480"/>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本工程总投资</w:t>
            </w:r>
            <w:r>
              <w:rPr>
                <w:rFonts w:hint="eastAsia" w:ascii="宋体" w:hAnsi="宋体" w:eastAsia="宋体" w:cs="宋体"/>
                <w:smallCaps w:val="0"/>
                <w:color w:val="auto"/>
                <w:highlight w:val="none"/>
                <w:lang w:val="en-US" w:eastAsia="zh-CN"/>
              </w:rPr>
              <w:t>1400</w:t>
            </w:r>
            <w:r>
              <w:rPr>
                <w:rFonts w:hint="eastAsia" w:ascii="宋体" w:hAnsi="宋体" w:eastAsia="宋体" w:cs="宋体"/>
                <w:smallCaps w:val="0"/>
                <w:color w:val="auto"/>
                <w:highlight w:val="none"/>
              </w:rPr>
              <w:t>万元，环保投资</w:t>
            </w:r>
            <w:r>
              <w:rPr>
                <w:rFonts w:hint="eastAsia" w:ascii="宋体" w:hAnsi="宋体" w:eastAsia="宋体" w:cs="宋体"/>
                <w:smallCaps w:val="0"/>
                <w:color w:val="auto"/>
                <w:highlight w:val="none"/>
                <w:lang w:val="en-US" w:eastAsia="zh-CN"/>
              </w:rPr>
              <w:t>45</w:t>
            </w:r>
            <w:r>
              <w:rPr>
                <w:rFonts w:hint="eastAsia" w:ascii="宋体" w:hAnsi="宋体" w:eastAsia="宋体" w:cs="宋体"/>
                <w:smallCaps w:val="0"/>
                <w:color w:val="auto"/>
                <w:highlight w:val="none"/>
              </w:rPr>
              <w:t>万元，占总投资</w:t>
            </w:r>
            <w:r>
              <w:rPr>
                <w:rFonts w:hint="eastAsia" w:ascii="宋体" w:hAnsi="宋体" w:eastAsia="宋体" w:cs="宋体"/>
                <w:smallCaps w:val="0"/>
                <w:color w:val="auto"/>
                <w:highlight w:val="none"/>
                <w:lang w:val="en-US" w:eastAsia="zh-CN"/>
              </w:rPr>
              <w:t>3.2</w:t>
            </w:r>
            <w:r>
              <w:rPr>
                <w:rFonts w:hint="eastAsia" w:ascii="宋体" w:hAnsi="宋体" w:eastAsia="宋体" w:cs="宋体"/>
                <w:smallCaps w:val="0"/>
                <w:color w:val="auto"/>
                <w:highlight w:val="none"/>
              </w:rPr>
              <w:t>%，本项目环保投资见下表。</w:t>
            </w:r>
          </w:p>
          <w:p w14:paraId="17B16781">
            <w:pPr>
              <w:pStyle w:val="66"/>
              <w:spacing w:line="240" w:lineRule="auto"/>
              <w:rPr>
                <w:rFonts w:hint="eastAsia" w:ascii="宋体" w:hAnsi="宋体" w:eastAsia="宋体" w:cs="宋体"/>
                <w:smallCaps w:val="0"/>
                <w:color w:val="auto"/>
                <w:sz w:val="21"/>
                <w:szCs w:val="21"/>
                <w:highlight w:val="none"/>
              </w:rPr>
            </w:pPr>
            <w:r>
              <w:rPr>
                <w:rFonts w:hint="eastAsia" w:ascii="宋体" w:hAnsi="宋体" w:eastAsia="宋体" w:cs="宋体"/>
                <w:b/>
                <w:bCs/>
                <w:smallCaps w:val="0"/>
                <w:color w:val="auto"/>
                <w:sz w:val="21"/>
                <w:szCs w:val="21"/>
                <w:highlight w:val="none"/>
              </w:rPr>
              <w:t>表5-</w:t>
            </w:r>
            <w:r>
              <w:rPr>
                <w:rFonts w:hint="eastAsia" w:ascii="宋体" w:hAnsi="宋体" w:eastAsia="宋体" w:cs="宋体"/>
                <w:b/>
                <w:bCs/>
                <w:smallCaps w:val="0"/>
                <w:color w:val="auto"/>
                <w:sz w:val="21"/>
                <w:szCs w:val="21"/>
                <w:highlight w:val="none"/>
                <w:lang w:val="en-US" w:eastAsia="zh-CN"/>
              </w:rPr>
              <w:t>2</w:t>
            </w:r>
            <w:r>
              <w:rPr>
                <w:rFonts w:hint="eastAsia" w:ascii="宋体" w:hAnsi="宋体" w:eastAsia="宋体" w:cs="宋体"/>
                <w:b/>
                <w:bCs/>
                <w:smallCaps w:val="0"/>
                <w:color w:val="auto"/>
                <w:sz w:val="21"/>
                <w:szCs w:val="21"/>
                <w:highlight w:val="none"/>
              </w:rPr>
              <w:t xml:space="preserve">  本项目主要环保投资一览表         单位：万元</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088"/>
              <w:gridCol w:w="4963"/>
              <w:gridCol w:w="1010"/>
            </w:tblGrid>
            <w:tr w14:paraId="58F381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18" w:type="dxa"/>
                  <w:noWrap w:val="0"/>
                  <w:vAlign w:val="center"/>
                </w:tcPr>
                <w:p w14:paraId="399500CA">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时期</w:t>
                  </w:r>
                </w:p>
              </w:tc>
              <w:tc>
                <w:tcPr>
                  <w:tcW w:w="1088" w:type="dxa"/>
                  <w:noWrap w:val="0"/>
                  <w:vAlign w:val="center"/>
                </w:tcPr>
                <w:p w14:paraId="0C92188B">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w:t>
                  </w:r>
                </w:p>
              </w:tc>
              <w:tc>
                <w:tcPr>
                  <w:tcW w:w="4963" w:type="dxa"/>
                  <w:noWrap w:val="0"/>
                  <w:vAlign w:val="center"/>
                </w:tcPr>
                <w:p w14:paraId="731DF7B8">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具体措施</w:t>
                  </w:r>
                </w:p>
              </w:tc>
              <w:tc>
                <w:tcPr>
                  <w:tcW w:w="1010" w:type="dxa"/>
                  <w:noWrap w:val="0"/>
                  <w:vAlign w:val="center"/>
                </w:tcPr>
                <w:p w14:paraId="7A028C55">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投资</w:t>
                  </w:r>
                </w:p>
                <w:p w14:paraId="1294DC5B">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（万元）</w:t>
                  </w:r>
                </w:p>
              </w:tc>
            </w:tr>
            <w:tr w14:paraId="1EFC0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18" w:type="dxa"/>
                  <w:vMerge w:val="restart"/>
                  <w:noWrap w:val="0"/>
                  <w:vAlign w:val="center"/>
                </w:tcPr>
                <w:p w14:paraId="44386EF0">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施工期</w:t>
                  </w:r>
                </w:p>
              </w:tc>
              <w:tc>
                <w:tcPr>
                  <w:tcW w:w="1088" w:type="dxa"/>
                  <w:noWrap w:val="0"/>
                  <w:vAlign w:val="center"/>
                </w:tcPr>
                <w:p w14:paraId="355EBFB6">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废气</w:t>
                  </w:r>
                </w:p>
              </w:tc>
              <w:tc>
                <w:tcPr>
                  <w:tcW w:w="4963" w:type="dxa"/>
                  <w:noWrap w:val="0"/>
                  <w:vAlign w:val="center"/>
                </w:tcPr>
                <w:p w14:paraId="6B61B9DE">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临时堆存点应覆盖防尘布，并定期喷水抑尘、开挖敷设段施工作业带两侧设置围挡</w:t>
                  </w:r>
                </w:p>
              </w:tc>
              <w:tc>
                <w:tcPr>
                  <w:tcW w:w="1010" w:type="dxa"/>
                  <w:noWrap w:val="0"/>
                  <w:vAlign w:val="center"/>
                </w:tcPr>
                <w:p w14:paraId="543A496E">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r>
            <w:tr w14:paraId="3A1168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continue"/>
                  <w:noWrap w:val="0"/>
                  <w:vAlign w:val="center"/>
                </w:tcPr>
                <w:p w14:paraId="551E4FA6">
                  <w:pPr>
                    <w:pStyle w:val="2"/>
                    <w:spacing w:line="240" w:lineRule="auto"/>
                    <w:rPr>
                      <w:rFonts w:hint="eastAsia" w:ascii="宋体" w:hAnsi="宋体" w:eastAsia="宋体" w:cs="宋体"/>
                      <w:color w:val="auto"/>
                      <w:sz w:val="21"/>
                      <w:szCs w:val="21"/>
                      <w:highlight w:val="none"/>
                    </w:rPr>
                  </w:pPr>
                </w:p>
              </w:tc>
              <w:tc>
                <w:tcPr>
                  <w:tcW w:w="1088" w:type="dxa"/>
                  <w:noWrap w:val="0"/>
                  <w:vAlign w:val="center"/>
                </w:tcPr>
                <w:p w14:paraId="31E3128D">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废水</w:t>
                  </w:r>
                </w:p>
              </w:tc>
              <w:tc>
                <w:tcPr>
                  <w:tcW w:w="4963" w:type="dxa"/>
                  <w:noWrap w:val="0"/>
                  <w:vAlign w:val="center"/>
                </w:tcPr>
                <w:p w14:paraId="5AFBB121">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设置隔油池、沉淀池、防渗旱厕</w:t>
                  </w:r>
                </w:p>
              </w:tc>
              <w:tc>
                <w:tcPr>
                  <w:tcW w:w="1010" w:type="dxa"/>
                  <w:noWrap w:val="0"/>
                  <w:vAlign w:val="center"/>
                </w:tcPr>
                <w:p w14:paraId="2814FE85">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r>
            <w:tr w14:paraId="037D5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continue"/>
                  <w:noWrap w:val="0"/>
                  <w:vAlign w:val="center"/>
                </w:tcPr>
                <w:p w14:paraId="71146E78">
                  <w:pPr>
                    <w:pStyle w:val="2"/>
                    <w:spacing w:line="240" w:lineRule="auto"/>
                    <w:rPr>
                      <w:rFonts w:hint="eastAsia" w:ascii="宋体" w:hAnsi="宋体" w:eastAsia="宋体" w:cs="宋体"/>
                      <w:color w:val="auto"/>
                      <w:sz w:val="21"/>
                      <w:szCs w:val="21"/>
                      <w:highlight w:val="none"/>
                    </w:rPr>
                  </w:pPr>
                </w:p>
              </w:tc>
              <w:tc>
                <w:tcPr>
                  <w:tcW w:w="1088" w:type="dxa"/>
                  <w:noWrap w:val="0"/>
                  <w:vAlign w:val="center"/>
                </w:tcPr>
                <w:p w14:paraId="6A5AE2B8">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噪声</w:t>
                  </w:r>
                </w:p>
              </w:tc>
              <w:tc>
                <w:tcPr>
                  <w:tcW w:w="4963" w:type="dxa"/>
                  <w:noWrap w:val="0"/>
                  <w:vAlign w:val="center"/>
                </w:tcPr>
                <w:p w14:paraId="310A7DB4">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bCs/>
                      <w:color w:val="auto"/>
                      <w:sz w:val="21"/>
                      <w:szCs w:val="21"/>
                      <w:highlight w:val="none"/>
                    </w:rPr>
                    <w:t>设备隔声、减振措施；设备养护；</w:t>
                  </w:r>
                  <w:r>
                    <w:rPr>
                      <w:rFonts w:hint="eastAsia" w:ascii="宋体" w:hAnsi="宋体" w:eastAsia="宋体" w:cs="宋体"/>
                      <w:color w:val="auto"/>
                      <w:sz w:val="21"/>
                      <w:szCs w:val="21"/>
                      <w:highlight w:val="none"/>
                    </w:rPr>
                    <w:t>隔声、隔尘挡板</w:t>
                  </w:r>
                </w:p>
              </w:tc>
              <w:tc>
                <w:tcPr>
                  <w:tcW w:w="1010" w:type="dxa"/>
                  <w:noWrap w:val="0"/>
                  <w:vAlign w:val="center"/>
                </w:tcPr>
                <w:p w14:paraId="42244081">
                  <w:pPr>
                    <w:pStyle w:val="2"/>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p>
              </w:tc>
            </w:tr>
            <w:tr w14:paraId="7D17D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continue"/>
                  <w:noWrap w:val="0"/>
                  <w:vAlign w:val="center"/>
                </w:tcPr>
                <w:p w14:paraId="611799D2">
                  <w:pPr>
                    <w:pStyle w:val="2"/>
                    <w:spacing w:line="240" w:lineRule="auto"/>
                    <w:rPr>
                      <w:rFonts w:hint="eastAsia" w:ascii="宋体" w:hAnsi="宋体" w:eastAsia="宋体" w:cs="宋体"/>
                      <w:color w:val="auto"/>
                      <w:sz w:val="21"/>
                      <w:szCs w:val="21"/>
                      <w:highlight w:val="none"/>
                    </w:rPr>
                  </w:pPr>
                </w:p>
              </w:tc>
              <w:tc>
                <w:tcPr>
                  <w:tcW w:w="1088" w:type="dxa"/>
                  <w:noWrap w:val="0"/>
                  <w:vAlign w:val="center"/>
                </w:tcPr>
                <w:p w14:paraId="1B38EAE0">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固体废物</w:t>
                  </w:r>
                </w:p>
              </w:tc>
              <w:tc>
                <w:tcPr>
                  <w:tcW w:w="4963" w:type="dxa"/>
                  <w:noWrap w:val="0"/>
                  <w:vAlign w:val="center"/>
                </w:tcPr>
                <w:p w14:paraId="1CF1BE67">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snapToGrid w:val="0"/>
                      <w:color w:val="auto"/>
                      <w:sz w:val="21"/>
                      <w:szCs w:val="21"/>
                      <w:highlight w:val="none"/>
                    </w:rPr>
                    <w:t>生活垃圾、施工垃圾集中收集，清运车辆等</w:t>
                  </w:r>
                </w:p>
              </w:tc>
              <w:tc>
                <w:tcPr>
                  <w:tcW w:w="1010" w:type="dxa"/>
                  <w:noWrap w:val="0"/>
                  <w:vAlign w:val="center"/>
                </w:tcPr>
                <w:p w14:paraId="4CE1EB5A">
                  <w:pPr>
                    <w:pStyle w:val="2"/>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p>
              </w:tc>
            </w:tr>
            <w:tr w14:paraId="76166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continue"/>
                  <w:noWrap w:val="0"/>
                  <w:vAlign w:val="center"/>
                </w:tcPr>
                <w:p w14:paraId="0F2C4D82">
                  <w:pPr>
                    <w:pStyle w:val="2"/>
                    <w:spacing w:line="240" w:lineRule="auto"/>
                    <w:rPr>
                      <w:rFonts w:hint="eastAsia" w:ascii="宋体" w:hAnsi="宋体" w:eastAsia="宋体" w:cs="宋体"/>
                      <w:color w:val="auto"/>
                      <w:sz w:val="21"/>
                      <w:szCs w:val="21"/>
                      <w:highlight w:val="none"/>
                    </w:rPr>
                  </w:pPr>
                </w:p>
              </w:tc>
              <w:tc>
                <w:tcPr>
                  <w:tcW w:w="1088" w:type="dxa"/>
                  <w:noWrap w:val="0"/>
                  <w:vAlign w:val="center"/>
                </w:tcPr>
                <w:p w14:paraId="4DC4BCA2">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生态环境</w:t>
                  </w:r>
                </w:p>
              </w:tc>
              <w:tc>
                <w:tcPr>
                  <w:tcW w:w="4963" w:type="dxa"/>
                  <w:noWrap w:val="0"/>
                  <w:vAlign w:val="center"/>
                </w:tcPr>
                <w:p w14:paraId="2D304E86">
                  <w:pPr>
                    <w:pStyle w:val="2"/>
                    <w:spacing w:line="240" w:lineRule="auto"/>
                    <w:rPr>
                      <w:rFonts w:hint="eastAsia" w:ascii="宋体" w:hAnsi="宋体" w:eastAsia="宋体" w:cs="宋体"/>
                      <w:snapToGrid w:val="0"/>
                      <w:color w:val="auto"/>
                      <w:sz w:val="21"/>
                      <w:szCs w:val="21"/>
                      <w:highlight w:val="none"/>
                      <w:lang w:val="en-US" w:eastAsia="zh-CN"/>
                    </w:rPr>
                  </w:pPr>
                  <w:r>
                    <w:rPr>
                      <w:rFonts w:hint="eastAsia" w:ascii="宋体" w:hAnsi="宋体" w:eastAsia="宋体" w:cs="宋体"/>
                      <w:snapToGrid w:val="0"/>
                      <w:color w:val="auto"/>
                      <w:sz w:val="21"/>
                      <w:szCs w:val="21"/>
                      <w:highlight w:val="none"/>
                      <w:lang w:val="en-US" w:eastAsia="zh-CN"/>
                    </w:rPr>
                    <w:t>临时占地平整及恢复</w:t>
                  </w:r>
                </w:p>
              </w:tc>
              <w:tc>
                <w:tcPr>
                  <w:tcW w:w="1010" w:type="dxa"/>
                  <w:noWrap w:val="0"/>
                  <w:vAlign w:val="center"/>
                </w:tcPr>
                <w:p w14:paraId="6D08F4D6">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p>
              </w:tc>
            </w:tr>
            <w:tr w14:paraId="0B9AD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restart"/>
                  <w:noWrap w:val="0"/>
                  <w:vAlign w:val="center"/>
                </w:tcPr>
                <w:p w14:paraId="51FDB4AA">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运营期</w:t>
                  </w:r>
                </w:p>
              </w:tc>
              <w:tc>
                <w:tcPr>
                  <w:tcW w:w="1088" w:type="dxa"/>
                  <w:noWrap w:val="0"/>
                  <w:vAlign w:val="center"/>
                </w:tcPr>
                <w:p w14:paraId="712BC3DA">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噪声</w:t>
                  </w:r>
                </w:p>
              </w:tc>
              <w:tc>
                <w:tcPr>
                  <w:tcW w:w="4963" w:type="dxa"/>
                  <w:noWrap w:val="0"/>
                  <w:vAlign w:val="center"/>
                </w:tcPr>
                <w:p w14:paraId="566E0020">
                  <w:pPr>
                    <w:pStyle w:val="2"/>
                    <w:spacing w:line="240" w:lineRule="auto"/>
                    <w:rPr>
                      <w:rFonts w:hint="eastAsia" w:ascii="宋体" w:hAnsi="宋体" w:eastAsia="宋体" w:cs="宋体"/>
                      <w:snapToGrid w:val="0"/>
                      <w:color w:val="auto"/>
                      <w:sz w:val="21"/>
                      <w:szCs w:val="21"/>
                      <w:highlight w:val="none"/>
                      <w:lang w:val="en-US" w:eastAsia="zh-CN"/>
                    </w:rPr>
                  </w:pPr>
                  <w:r>
                    <w:rPr>
                      <w:rFonts w:hint="eastAsia" w:ascii="宋体" w:hAnsi="宋体" w:eastAsia="宋体" w:cs="宋体"/>
                      <w:snapToGrid w:val="0"/>
                      <w:color w:val="auto"/>
                      <w:sz w:val="21"/>
                      <w:szCs w:val="21"/>
                      <w:highlight w:val="none"/>
                      <w:lang w:val="en-US" w:eastAsia="zh-CN"/>
                    </w:rPr>
                    <w:t>专设限速、禁鸣标志、减速带</w:t>
                  </w:r>
                </w:p>
              </w:tc>
              <w:tc>
                <w:tcPr>
                  <w:tcW w:w="1010" w:type="dxa"/>
                  <w:noWrap w:val="0"/>
                  <w:vAlign w:val="center"/>
                </w:tcPr>
                <w:p w14:paraId="2077780D">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r>
            <w:tr w14:paraId="21798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vMerge w:val="continue"/>
                  <w:noWrap w:val="0"/>
                  <w:vAlign w:val="center"/>
                </w:tcPr>
                <w:p w14:paraId="6E23D67D">
                  <w:pPr>
                    <w:pStyle w:val="2"/>
                    <w:spacing w:line="240" w:lineRule="auto"/>
                    <w:rPr>
                      <w:rFonts w:hint="eastAsia" w:ascii="宋体" w:hAnsi="宋体" w:eastAsia="宋体" w:cs="宋体"/>
                      <w:color w:val="auto"/>
                      <w:sz w:val="21"/>
                      <w:szCs w:val="21"/>
                      <w:highlight w:val="none"/>
                    </w:rPr>
                  </w:pPr>
                </w:p>
              </w:tc>
              <w:tc>
                <w:tcPr>
                  <w:tcW w:w="1088" w:type="dxa"/>
                  <w:noWrap w:val="0"/>
                  <w:vAlign w:val="center"/>
                </w:tcPr>
                <w:p w14:paraId="510625CE">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环境风险</w:t>
                  </w:r>
                </w:p>
              </w:tc>
              <w:tc>
                <w:tcPr>
                  <w:tcW w:w="4963" w:type="dxa"/>
                  <w:noWrap w:val="0"/>
                  <w:vAlign w:val="center"/>
                </w:tcPr>
                <w:p w14:paraId="0848D8ED">
                  <w:pPr>
                    <w:pStyle w:val="2"/>
                    <w:spacing w:line="240" w:lineRule="auto"/>
                    <w:rPr>
                      <w:rFonts w:hint="eastAsia" w:ascii="宋体" w:hAnsi="宋体" w:eastAsia="宋体" w:cs="宋体"/>
                      <w:snapToGrid w:val="0"/>
                      <w:color w:val="auto"/>
                      <w:sz w:val="21"/>
                      <w:szCs w:val="21"/>
                      <w:highlight w:val="none"/>
                    </w:rPr>
                  </w:pPr>
                  <w:r>
                    <w:rPr>
                      <w:rFonts w:hint="eastAsia" w:ascii="宋体" w:hAnsi="宋体" w:eastAsia="宋体" w:cs="宋体"/>
                      <w:color w:val="auto"/>
                      <w:sz w:val="21"/>
                      <w:szCs w:val="21"/>
                      <w:highlight w:val="none"/>
                    </w:rPr>
                    <w:t>制定环境风险应急预案</w:t>
                  </w:r>
                </w:p>
              </w:tc>
              <w:tc>
                <w:tcPr>
                  <w:tcW w:w="1010" w:type="dxa"/>
                  <w:noWrap w:val="0"/>
                  <w:vAlign w:val="center"/>
                </w:tcPr>
                <w:p w14:paraId="4CEF99FF">
                  <w:pPr>
                    <w:pStyle w:val="2"/>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r>
            <w:tr w14:paraId="344CB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9" w:type="dxa"/>
                  <w:gridSpan w:val="3"/>
                  <w:noWrap w:val="0"/>
                  <w:vAlign w:val="center"/>
                </w:tcPr>
                <w:p w14:paraId="0318DFAB">
                  <w:pPr>
                    <w:pStyle w:val="2"/>
                    <w:spacing w:line="240" w:lineRule="auto"/>
                    <w:rPr>
                      <w:rFonts w:hint="eastAsia" w:ascii="宋体" w:hAnsi="宋体" w:eastAsia="宋体" w:cs="宋体"/>
                      <w:snapToGrid w:val="0"/>
                      <w:color w:val="auto"/>
                      <w:sz w:val="21"/>
                      <w:szCs w:val="21"/>
                      <w:highlight w:val="none"/>
                    </w:rPr>
                  </w:pPr>
                  <w:r>
                    <w:rPr>
                      <w:rFonts w:hint="eastAsia" w:ascii="宋体" w:hAnsi="宋体" w:eastAsia="宋体" w:cs="宋体"/>
                      <w:snapToGrid w:val="0"/>
                      <w:color w:val="auto"/>
                      <w:sz w:val="21"/>
                      <w:szCs w:val="21"/>
                      <w:highlight w:val="none"/>
                    </w:rPr>
                    <w:t>宣传教育</w:t>
                  </w:r>
                </w:p>
              </w:tc>
              <w:tc>
                <w:tcPr>
                  <w:tcW w:w="1010" w:type="dxa"/>
                  <w:noWrap w:val="0"/>
                  <w:vAlign w:val="center"/>
                </w:tcPr>
                <w:p w14:paraId="299AB41E">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r>
            <w:tr w14:paraId="59639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9" w:type="dxa"/>
                  <w:gridSpan w:val="3"/>
                  <w:noWrap w:val="0"/>
                  <w:vAlign w:val="center"/>
                </w:tcPr>
                <w:p w14:paraId="4E26FF5D">
                  <w:pPr>
                    <w:pStyle w:val="2"/>
                    <w:spacing w:line="240" w:lineRule="auto"/>
                    <w:rPr>
                      <w:rFonts w:hint="eastAsia" w:ascii="宋体" w:hAnsi="宋体" w:eastAsia="宋体" w:cs="宋体"/>
                      <w:snapToGrid w:val="0"/>
                      <w:color w:val="auto"/>
                      <w:sz w:val="21"/>
                      <w:szCs w:val="21"/>
                      <w:highlight w:val="none"/>
                    </w:rPr>
                  </w:pPr>
                  <w:r>
                    <w:rPr>
                      <w:rFonts w:hint="eastAsia" w:ascii="宋体" w:hAnsi="宋体" w:eastAsia="宋体" w:cs="宋体"/>
                      <w:color w:val="auto"/>
                      <w:sz w:val="21"/>
                      <w:szCs w:val="21"/>
                      <w:highlight w:val="none"/>
                    </w:rPr>
                    <w:t>环境保护管理</w:t>
                  </w:r>
                </w:p>
              </w:tc>
              <w:tc>
                <w:tcPr>
                  <w:tcW w:w="1010" w:type="dxa"/>
                  <w:noWrap w:val="0"/>
                  <w:vAlign w:val="center"/>
                </w:tcPr>
                <w:p w14:paraId="5124F315">
                  <w:pPr>
                    <w:pStyle w:val="2"/>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5</w:t>
                  </w:r>
                </w:p>
              </w:tc>
            </w:tr>
            <w:tr w14:paraId="25D9B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9" w:type="dxa"/>
                  <w:gridSpan w:val="3"/>
                  <w:noWrap w:val="0"/>
                  <w:vAlign w:val="center"/>
                </w:tcPr>
                <w:p w14:paraId="1A5476AD">
                  <w:pPr>
                    <w:pStyle w:val="2"/>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预留资金</w:t>
                  </w:r>
                </w:p>
              </w:tc>
              <w:tc>
                <w:tcPr>
                  <w:tcW w:w="1010" w:type="dxa"/>
                  <w:noWrap w:val="0"/>
                  <w:vAlign w:val="center"/>
                </w:tcPr>
                <w:p w14:paraId="310544A0">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r>
            <w:tr w14:paraId="0871EB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9" w:type="dxa"/>
                  <w:gridSpan w:val="3"/>
                  <w:noWrap w:val="0"/>
                  <w:vAlign w:val="center"/>
                </w:tcPr>
                <w:p w14:paraId="2C2E6A5E">
                  <w:pPr>
                    <w:pStyle w:val="2"/>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环保验收</w:t>
                  </w:r>
                </w:p>
              </w:tc>
              <w:tc>
                <w:tcPr>
                  <w:tcW w:w="1010" w:type="dxa"/>
                  <w:noWrap w:val="0"/>
                  <w:vAlign w:val="center"/>
                </w:tcPr>
                <w:p w14:paraId="7CFCCE3B">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r>
            <w:tr w14:paraId="656D6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9" w:type="dxa"/>
                  <w:gridSpan w:val="3"/>
                  <w:noWrap w:val="0"/>
                  <w:vAlign w:val="center"/>
                </w:tcPr>
                <w:p w14:paraId="4C1526E4">
                  <w:pPr>
                    <w:pStyle w:val="2"/>
                    <w:spacing w:line="240" w:lineRule="auto"/>
                    <w:rPr>
                      <w:rFonts w:hint="eastAsia" w:ascii="宋体" w:hAnsi="宋体" w:eastAsia="宋体" w:cs="宋体"/>
                      <w:snapToGrid w:val="0"/>
                      <w:color w:val="auto"/>
                      <w:sz w:val="21"/>
                      <w:szCs w:val="21"/>
                      <w:highlight w:val="none"/>
                    </w:rPr>
                  </w:pPr>
                  <w:r>
                    <w:rPr>
                      <w:rFonts w:hint="eastAsia" w:ascii="宋体" w:hAnsi="宋体" w:eastAsia="宋体" w:cs="宋体"/>
                      <w:snapToGrid w:val="0"/>
                      <w:color w:val="auto"/>
                      <w:sz w:val="21"/>
                      <w:szCs w:val="21"/>
                      <w:highlight w:val="none"/>
                    </w:rPr>
                    <w:t>总计</w:t>
                  </w:r>
                </w:p>
              </w:tc>
              <w:tc>
                <w:tcPr>
                  <w:tcW w:w="1010" w:type="dxa"/>
                  <w:noWrap w:val="0"/>
                  <w:vAlign w:val="center"/>
                </w:tcPr>
                <w:p w14:paraId="6C75314B">
                  <w:pPr>
                    <w:pStyle w:val="2"/>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r>
          </w:tbl>
          <w:p w14:paraId="558B644D">
            <w:pPr>
              <w:adjustRightInd w:val="0"/>
              <w:snapToGrid w:val="0"/>
              <w:ind w:left="0" w:leftChars="0" w:firstLine="0" w:firstLineChars="0"/>
              <w:rPr>
                <w:rFonts w:hint="eastAsia" w:ascii="宋体" w:hAnsi="宋体" w:eastAsia="宋体" w:cs="宋体"/>
                <w:bCs/>
                <w:smallCaps w:val="0"/>
                <w:color w:val="auto"/>
                <w:szCs w:val="21"/>
                <w:highlight w:val="none"/>
              </w:rPr>
            </w:pPr>
          </w:p>
        </w:tc>
      </w:tr>
    </w:tbl>
    <w:p w14:paraId="7BE3B6A4">
      <w:pPr>
        <w:ind w:firstLine="480"/>
        <w:rPr>
          <w:rFonts w:hint="eastAsia" w:ascii="宋体" w:hAnsi="宋体" w:eastAsia="宋体" w:cs="宋体"/>
          <w:smallCaps w:val="0"/>
          <w:color w:val="auto"/>
          <w:highlight w:val="none"/>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14:paraId="4187A5BE">
      <w:pPr>
        <w:pStyle w:val="4"/>
        <w:rPr>
          <w:rFonts w:hint="eastAsia" w:ascii="宋体" w:hAnsi="宋体" w:eastAsia="宋体" w:cs="宋体"/>
          <w:smallCaps w:val="0"/>
          <w:color w:val="auto"/>
          <w:highlight w:val="none"/>
        </w:rPr>
      </w:pPr>
      <w:bookmarkStart w:id="12" w:name="_Toc68880312"/>
      <w:r>
        <w:rPr>
          <w:rFonts w:hint="eastAsia" w:ascii="宋体" w:hAnsi="宋体" w:eastAsia="宋体" w:cs="宋体"/>
          <w:smallCaps w:val="0"/>
          <w:color w:val="auto"/>
          <w:highlight w:val="none"/>
        </w:rPr>
        <w:t>六、生态环境保护措施监督检查清单</w:t>
      </w:r>
      <w:bookmarkEnd w:id="12"/>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6"/>
        <w:gridCol w:w="2922"/>
        <w:gridCol w:w="1584"/>
        <w:gridCol w:w="2206"/>
        <w:gridCol w:w="1279"/>
      </w:tblGrid>
      <w:tr w14:paraId="6B1D64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39" w:type="pct"/>
            <w:vMerge w:val="restart"/>
            <w:tcBorders>
              <w:tl2br w:val="single" w:color="auto" w:sz="4" w:space="0"/>
            </w:tcBorders>
            <w:noWrap w:val="0"/>
            <w:vAlign w:val="center"/>
          </w:tcPr>
          <w:p w14:paraId="06D2BD47">
            <w:pPr>
              <w:pStyle w:val="28"/>
              <w:adjustRightInd w:val="0"/>
              <w:snapToGrid w:val="0"/>
              <w:spacing w:before="0" w:beforeAutospacing="0" w:after="0" w:afterAutospacing="0" w:line="360" w:lineRule="auto"/>
              <w:ind w:firstLine="0" w:firstLineChars="0"/>
              <w:jc w:val="right"/>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内容</w:t>
            </w:r>
          </w:p>
          <w:p w14:paraId="07DEBC06">
            <w:pPr>
              <w:pStyle w:val="28"/>
              <w:adjustRightInd w:val="0"/>
              <w:snapToGrid w:val="0"/>
              <w:spacing w:before="0" w:beforeAutospacing="0" w:after="0" w:afterAutospacing="0" w:line="360" w:lineRule="auto"/>
              <w:ind w:firstLine="0" w:firstLineChars="0"/>
              <w:jc w:val="center"/>
              <w:rPr>
                <w:rFonts w:hint="eastAsia" w:ascii="宋体" w:hAnsi="宋体" w:eastAsia="宋体" w:cs="宋体"/>
                <w:smallCaps w:val="0"/>
                <w:color w:val="auto"/>
                <w:kern w:val="2"/>
                <w:sz w:val="21"/>
                <w:szCs w:val="21"/>
                <w:highlight w:val="none"/>
                <w:lang w:val="en-US" w:eastAsia="zh-CN"/>
              </w:rPr>
            </w:pPr>
          </w:p>
          <w:p w14:paraId="4A8AEF55">
            <w:pPr>
              <w:pStyle w:val="28"/>
              <w:adjustRightInd w:val="0"/>
              <w:snapToGrid w:val="0"/>
              <w:spacing w:before="0" w:beforeAutospacing="0" w:after="0" w:afterAutospacing="0" w:line="240" w:lineRule="auto"/>
              <w:ind w:firstLine="0" w:firstLineChars="0"/>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要素</w:t>
            </w:r>
          </w:p>
        </w:tc>
        <w:tc>
          <w:tcPr>
            <w:tcW w:w="2515" w:type="pct"/>
            <w:gridSpan w:val="2"/>
            <w:noWrap w:val="0"/>
            <w:vAlign w:val="center"/>
          </w:tcPr>
          <w:p w14:paraId="28F833BF">
            <w:pPr>
              <w:pStyle w:val="28"/>
              <w:adjustRightInd w:val="0"/>
              <w:snapToGrid w:val="0"/>
              <w:spacing w:before="0" w:beforeAutospacing="0" w:after="0" w:afterAutospacing="0" w:line="240" w:lineRule="auto"/>
              <w:ind w:firstLine="0" w:firstLineChars="0"/>
              <w:jc w:val="center"/>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施工期</w:t>
            </w:r>
          </w:p>
        </w:tc>
        <w:tc>
          <w:tcPr>
            <w:tcW w:w="1945" w:type="pct"/>
            <w:gridSpan w:val="2"/>
            <w:noWrap w:val="0"/>
            <w:vAlign w:val="center"/>
          </w:tcPr>
          <w:p w14:paraId="7E66E352">
            <w:pPr>
              <w:pStyle w:val="28"/>
              <w:adjustRightInd w:val="0"/>
              <w:snapToGrid w:val="0"/>
              <w:spacing w:before="0" w:beforeAutospacing="0" w:after="0" w:afterAutospacing="0" w:line="240" w:lineRule="auto"/>
              <w:ind w:firstLine="0" w:firstLineChars="0"/>
              <w:jc w:val="center"/>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运营期</w:t>
            </w:r>
          </w:p>
        </w:tc>
      </w:tr>
      <w:tr w14:paraId="39851B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39" w:type="pct"/>
            <w:vMerge w:val="continue"/>
            <w:noWrap w:val="0"/>
            <w:vAlign w:val="top"/>
          </w:tcPr>
          <w:p w14:paraId="3C44110B">
            <w:pPr>
              <w:pStyle w:val="28"/>
              <w:adjustRightInd w:val="0"/>
              <w:snapToGrid w:val="0"/>
              <w:spacing w:before="0" w:beforeAutospacing="0" w:after="0" w:afterAutospacing="0" w:line="240" w:lineRule="auto"/>
              <w:ind w:firstLine="0" w:firstLineChars="0"/>
              <w:jc w:val="center"/>
              <w:rPr>
                <w:rFonts w:hint="eastAsia" w:ascii="宋体" w:hAnsi="宋体" w:eastAsia="宋体" w:cs="宋体"/>
                <w:smallCaps w:val="0"/>
                <w:color w:val="auto"/>
                <w:kern w:val="2"/>
                <w:sz w:val="21"/>
                <w:szCs w:val="21"/>
                <w:highlight w:val="none"/>
                <w:lang w:val="en-US" w:eastAsia="zh-CN"/>
              </w:rPr>
            </w:pPr>
          </w:p>
        </w:tc>
        <w:tc>
          <w:tcPr>
            <w:tcW w:w="1631" w:type="pct"/>
            <w:noWrap w:val="0"/>
            <w:vAlign w:val="center"/>
          </w:tcPr>
          <w:p w14:paraId="0402774C">
            <w:pPr>
              <w:pStyle w:val="2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环境保护措施</w:t>
            </w:r>
          </w:p>
        </w:tc>
        <w:tc>
          <w:tcPr>
            <w:tcW w:w="884" w:type="pct"/>
            <w:noWrap w:val="0"/>
            <w:vAlign w:val="center"/>
          </w:tcPr>
          <w:p w14:paraId="0FE63009">
            <w:pPr>
              <w:pStyle w:val="2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验收要求</w:t>
            </w:r>
          </w:p>
        </w:tc>
        <w:tc>
          <w:tcPr>
            <w:tcW w:w="1231" w:type="pct"/>
            <w:noWrap w:val="0"/>
            <w:vAlign w:val="center"/>
          </w:tcPr>
          <w:p w14:paraId="4025C933">
            <w:pPr>
              <w:pStyle w:val="2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环境保护措施</w:t>
            </w:r>
          </w:p>
        </w:tc>
        <w:tc>
          <w:tcPr>
            <w:tcW w:w="713" w:type="pct"/>
            <w:noWrap w:val="0"/>
            <w:vAlign w:val="center"/>
          </w:tcPr>
          <w:p w14:paraId="19EA7249">
            <w:pPr>
              <w:pStyle w:val="2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宋体" w:hAnsi="宋体" w:eastAsia="宋体" w:cs="宋体"/>
                <w:smallCaps w:val="0"/>
                <w:color w:val="auto"/>
                <w:kern w:val="2"/>
                <w:sz w:val="21"/>
                <w:szCs w:val="21"/>
                <w:highlight w:val="none"/>
                <w:lang w:val="en-US" w:eastAsia="zh-CN"/>
              </w:rPr>
            </w:pPr>
            <w:r>
              <w:rPr>
                <w:rFonts w:hint="eastAsia" w:ascii="宋体" w:hAnsi="宋体" w:eastAsia="宋体" w:cs="宋体"/>
                <w:smallCaps w:val="0"/>
                <w:color w:val="auto"/>
                <w:kern w:val="2"/>
                <w:sz w:val="21"/>
                <w:szCs w:val="21"/>
                <w:highlight w:val="none"/>
                <w:lang w:val="en-US" w:eastAsia="zh-CN"/>
              </w:rPr>
              <w:t>验收要求</w:t>
            </w:r>
          </w:p>
        </w:tc>
      </w:tr>
      <w:tr w14:paraId="3A7415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5" w:hRule="atLeast"/>
          <w:jc w:val="center"/>
        </w:trPr>
        <w:tc>
          <w:tcPr>
            <w:tcW w:w="539" w:type="pct"/>
            <w:noWrap w:val="0"/>
            <w:vAlign w:val="center"/>
          </w:tcPr>
          <w:p w14:paraId="501DDD0A">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陆生生态</w:t>
            </w:r>
          </w:p>
        </w:tc>
        <w:tc>
          <w:tcPr>
            <w:tcW w:w="1631" w:type="pct"/>
            <w:noWrap w:val="0"/>
            <w:vAlign w:val="center"/>
          </w:tcPr>
          <w:p w14:paraId="27923225">
            <w:pPr>
              <w:keepNext w:val="0"/>
              <w:keepLines w:val="0"/>
              <w:pageBreakBefore w:val="0"/>
              <w:kinsoku/>
              <w:wordWrap/>
              <w:overflowPunct/>
              <w:topLinePunct w:val="0"/>
              <w:autoSpaceDE/>
              <w:autoSpaceDN/>
              <w:bidi w:val="0"/>
              <w:adjustRightInd w:val="0"/>
              <w:snapToGrid w:val="0"/>
              <w:spacing w:line="240" w:lineRule="auto"/>
              <w:ind w:firstLine="42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严格控制施工范围，禁止超范围占地；加强对施工人员对有关野生动物保护的宣传教育，严禁猎杀野生动物。</w:t>
            </w:r>
          </w:p>
        </w:tc>
        <w:tc>
          <w:tcPr>
            <w:tcW w:w="884" w:type="pct"/>
            <w:noWrap w:val="0"/>
            <w:vAlign w:val="center"/>
          </w:tcPr>
          <w:p w14:paraId="19AB1E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对两侧道路采取植被恢复措施</w:t>
            </w:r>
          </w:p>
        </w:tc>
        <w:tc>
          <w:tcPr>
            <w:tcW w:w="2233" w:type="dxa"/>
            <w:noWrap w:val="0"/>
            <w:vAlign w:val="center"/>
          </w:tcPr>
          <w:p w14:paraId="512297F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95" w:type="dxa"/>
            <w:noWrap w:val="0"/>
            <w:vAlign w:val="center"/>
          </w:tcPr>
          <w:p w14:paraId="039F0CF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smallCaps w:val="0"/>
                <w:color w:val="auto"/>
                <w:sz w:val="21"/>
                <w:szCs w:val="21"/>
                <w:highlight w:val="none"/>
              </w:rPr>
              <w:t>/</w:t>
            </w:r>
          </w:p>
        </w:tc>
      </w:tr>
      <w:tr w14:paraId="57A38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39" w:type="pct"/>
            <w:noWrap w:val="0"/>
            <w:vAlign w:val="center"/>
          </w:tcPr>
          <w:p w14:paraId="6616C8F7">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水生生态</w:t>
            </w:r>
          </w:p>
        </w:tc>
        <w:tc>
          <w:tcPr>
            <w:tcW w:w="1631" w:type="pct"/>
            <w:noWrap w:val="0"/>
            <w:vAlign w:val="center"/>
          </w:tcPr>
          <w:p w14:paraId="76128F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w:t>
            </w:r>
          </w:p>
        </w:tc>
        <w:tc>
          <w:tcPr>
            <w:tcW w:w="884" w:type="pct"/>
            <w:noWrap w:val="0"/>
            <w:vAlign w:val="center"/>
          </w:tcPr>
          <w:p w14:paraId="1982CF0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w:t>
            </w:r>
          </w:p>
        </w:tc>
        <w:tc>
          <w:tcPr>
            <w:tcW w:w="1231" w:type="pct"/>
            <w:noWrap w:val="0"/>
            <w:vAlign w:val="center"/>
          </w:tcPr>
          <w:p w14:paraId="4F95B24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1B07AE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r w14:paraId="594481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6" w:hRule="atLeast"/>
          <w:jc w:val="center"/>
        </w:trPr>
        <w:tc>
          <w:tcPr>
            <w:tcW w:w="539" w:type="pct"/>
            <w:noWrap w:val="0"/>
            <w:vAlign w:val="center"/>
          </w:tcPr>
          <w:p w14:paraId="020306D0">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地表水环境</w:t>
            </w:r>
          </w:p>
        </w:tc>
        <w:tc>
          <w:tcPr>
            <w:tcW w:w="2960" w:type="dxa"/>
            <w:noWrap w:val="0"/>
            <w:vAlign w:val="center"/>
          </w:tcPr>
          <w:p w14:paraId="1A6481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shd w:val="clear" w:color="auto" w:fill="auto"/>
                <w:lang w:val="en-US" w:eastAsia="zh-CN"/>
              </w:rPr>
              <w:t>施工场地建设隔油池、沉淀池，沉淀水回用于车辆、机械冲洗。不外排放；施工场地设置临时防渗旱厕。防渗旱厕定期清掏外运堆肥，不外排放。</w:t>
            </w:r>
          </w:p>
        </w:tc>
        <w:tc>
          <w:tcPr>
            <w:tcW w:w="1604" w:type="dxa"/>
            <w:noWrap w:val="0"/>
            <w:vAlign w:val="center"/>
          </w:tcPr>
          <w:p w14:paraId="3403B5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shd w:val="clear" w:color="auto" w:fill="auto"/>
                <w:lang w:val="en-US" w:eastAsia="zh-CN"/>
              </w:rPr>
              <w:t>废水不外排放</w:t>
            </w:r>
          </w:p>
        </w:tc>
        <w:tc>
          <w:tcPr>
            <w:tcW w:w="2233" w:type="dxa"/>
            <w:noWrap w:val="0"/>
            <w:vAlign w:val="center"/>
          </w:tcPr>
          <w:p w14:paraId="063560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color w:val="auto"/>
                <w:spacing w:val="0"/>
                <w:w w:val="100"/>
                <w:position w:val="0"/>
                <w:sz w:val="21"/>
                <w:szCs w:val="21"/>
                <w:highlight w:val="none"/>
              </w:rPr>
              <w:t>加强道路的管理，对路面定期清扫、保持路面清洁，及时清除车辆抛洒在路面的污染物。</w:t>
            </w:r>
          </w:p>
        </w:tc>
        <w:tc>
          <w:tcPr>
            <w:tcW w:w="1295" w:type="dxa"/>
            <w:noWrap w:val="0"/>
            <w:vAlign w:val="center"/>
          </w:tcPr>
          <w:p w14:paraId="01D5DD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color w:val="auto"/>
                <w:spacing w:val="0"/>
                <w:w w:val="100"/>
                <w:position w:val="0"/>
                <w:sz w:val="21"/>
                <w:szCs w:val="21"/>
                <w:highlight w:val="none"/>
              </w:rPr>
              <w:t>避免对地表水产生影响</w:t>
            </w:r>
          </w:p>
        </w:tc>
      </w:tr>
      <w:tr w14:paraId="1814B0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539" w:type="pct"/>
            <w:noWrap w:val="0"/>
            <w:vAlign w:val="center"/>
          </w:tcPr>
          <w:p w14:paraId="1BDA5000">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地下水及土壤环境</w:t>
            </w:r>
          </w:p>
        </w:tc>
        <w:tc>
          <w:tcPr>
            <w:tcW w:w="1631" w:type="pct"/>
            <w:noWrap w:val="0"/>
            <w:vAlign w:val="center"/>
          </w:tcPr>
          <w:p w14:paraId="3B2329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884" w:type="pct"/>
            <w:noWrap w:val="0"/>
            <w:vAlign w:val="center"/>
          </w:tcPr>
          <w:p w14:paraId="498F9BA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31" w:type="pct"/>
            <w:noWrap w:val="0"/>
            <w:vAlign w:val="center"/>
          </w:tcPr>
          <w:p w14:paraId="3FAA48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7265D4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r w14:paraId="08DD9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6" w:hRule="atLeast"/>
          <w:jc w:val="center"/>
        </w:trPr>
        <w:tc>
          <w:tcPr>
            <w:tcW w:w="539" w:type="pct"/>
            <w:noWrap w:val="0"/>
            <w:vAlign w:val="center"/>
          </w:tcPr>
          <w:p w14:paraId="34B503A9">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声环境</w:t>
            </w:r>
          </w:p>
        </w:tc>
        <w:tc>
          <w:tcPr>
            <w:tcW w:w="1631" w:type="pct"/>
            <w:noWrap w:val="0"/>
            <w:vAlign w:val="center"/>
          </w:tcPr>
          <w:p w14:paraId="4E8D85F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定期维护施工设备，保证施工设备正常稳定运行；合理控制施工时间，禁止在休息时间施工；设置隔音屏障，减少噪声对敏感目标的影响</w:t>
            </w:r>
          </w:p>
        </w:tc>
        <w:tc>
          <w:tcPr>
            <w:tcW w:w="884" w:type="pct"/>
            <w:noWrap w:val="0"/>
            <w:vAlign w:val="center"/>
          </w:tcPr>
          <w:p w14:paraId="59E3FA7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施工场地噪声满足</w:t>
            </w:r>
            <w:r>
              <w:rPr>
                <w:rFonts w:hint="eastAsia" w:ascii="宋体" w:hAnsi="宋体" w:eastAsia="宋体" w:cs="宋体"/>
                <w:smallCaps w:val="0"/>
                <w:color w:val="auto"/>
                <w:sz w:val="21"/>
                <w:szCs w:val="21"/>
                <w:highlight w:val="none"/>
              </w:rPr>
              <w:t>《建筑施工场界环境噪声排放标准》(GB12523-2011)限值</w:t>
            </w:r>
          </w:p>
        </w:tc>
        <w:tc>
          <w:tcPr>
            <w:tcW w:w="1231" w:type="pct"/>
            <w:noWrap w:val="0"/>
            <w:vAlign w:val="center"/>
          </w:tcPr>
          <w:p w14:paraId="34B31DA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保持限速40km/h行驶，减少车辆行驶中产生的噪声。定期对道路维护保养，保持路面平整，填补坑洼措施。减少车辆行驶的噪声。</w:t>
            </w:r>
          </w:p>
        </w:tc>
        <w:tc>
          <w:tcPr>
            <w:tcW w:w="713" w:type="pct"/>
            <w:noWrap w:val="0"/>
            <w:vAlign w:val="center"/>
          </w:tcPr>
          <w:p w14:paraId="393C8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smallCaps w:val="0"/>
                <w:color w:val="auto"/>
                <w:sz w:val="21"/>
                <w:szCs w:val="21"/>
                <w:highlight w:val="none"/>
                <w:lang w:val="en-US" w:eastAsia="zh-CN"/>
              </w:rPr>
              <w:t xml:space="preserve">满足《声环境质量标准》（GB3096-2008）中的2类、4a标准要求 </w:t>
            </w:r>
          </w:p>
        </w:tc>
      </w:tr>
      <w:tr w14:paraId="23C5C8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539" w:type="pct"/>
            <w:noWrap w:val="0"/>
            <w:vAlign w:val="center"/>
          </w:tcPr>
          <w:p w14:paraId="12D7081B">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振动</w:t>
            </w:r>
          </w:p>
        </w:tc>
        <w:tc>
          <w:tcPr>
            <w:tcW w:w="1631" w:type="pct"/>
            <w:noWrap w:val="0"/>
            <w:vAlign w:val="center"/>
          </w:tcPr>
          <w:p w14:paraId="5EF2FCF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884" w:type="pct"/>
            <w:noWrap w:val="0"/>
            <w:vAlign w:val="center"/>
          </w:tcPr>
          <w:p w14:paraId="0B4F6A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31" w:type="pct"/>
            <w:noWrap w:val="0"/>
            <w:vAlign w:val="center"/>
          </w:tcPr>
          <w:p w14:paraId="78C791B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24EB8F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r w14:paraId="22B23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93" w:hRule="atLeast"/>
          <w:jc w:val="center"/>
        </w:trPr>
        <w:tc>
          <w:tcPr>
            <w:tcW w:w="539" w:type="pct"/>
            <w:noWrap w:val="0"/>
            <w:vAlign w:val="center"/>
          </w:tcPr>
          <w:p w14:paraId="3EFE1E25">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大气环境</w:t>
            </w:r>
          </w:p>
        </w:tc>
        <w:tc>
          <w:tcPr>
            <w:tcW w:w="1631" w:type="pct"/>
            <w:noWrap w:val="0"/>
            <w:vAlign w:val="center"/>
          </w:tcPr>
          <w:p w14:paraId="63908F07">
            <w:pPr>
              <w:keepNext w:val="0"/>
              <w:keepLines w:val="0"/>
              <w:pageBreakBefore w:val="0"/>
              <w:kinsoku/>
              <w:wordWrap/>
              <w:overflowPunct/>
              <w:topLinePunct w:val="0"/>
              <w:autoSpaceDE/>
              <w:autoSpaceDN/>
              <w:bidi w:val="0"/>
              <w:adjustRightInd w:val="0"/>
              <w:snapToGrid w:val="0"/>
              <w:spacing w:line="240" w:lineRule="auto"/>
              <w:ind w:firstLine="420"/>
              <w:jc w:val="center"/>
              <w:textAlignment w:val="auto"/>
              <w:rPr>
                <w:rFonts w:hint="eastAsia" w:ascii="宋体" w:hAnsi="宋体" w:eastAsia="宋体" w:cs="宋体"/>
                <w:smallCaps w:val="0"/>
                <w:color w:val="auto"/>
                <w:sz w:val="21"/>
                <w:szCs w:val="21"/>
                <w:highlight w:val="none"/>
                <w:lang w:eastAsia="zh-CN"/>
              </w:rPr>
            </w:pPr>
            <w:r>
              <w:rPr>
                <w:rFonts w:hint="eastAsia" w:ascii="宋体" w:hAnsi="宋体" w:eastAsia="宋体" w:cs="宋体"/>
                <w:smallCaps w:val="0"/>
                <w:color w:val="auto"/>
                <w:sz w:val="21"/>
                <w:szCs w:val="21"/>
                <w:highlight w:val="none"/>
                <w:lang w:val="en-US" w:eastAsia="zh-CN"/>
              </w:rPr>
              <w:t>设置公示牌；使用商品混凝土、预拌砂浆，建筑材料采取密闭或者遮盖等防尘措施，装卸、搬运时采取防尘措施，建筑垃圾及时清运，道路硬化并洒水，露天装卸作业采取洒水等防尘措施。</w:t>
            </w:r>
          </w:p>
        </w:tc>
        <w:tc>
          <w:tcPr>
            <w:tcW w:w="884" w:type="pct"/>
            <w:noWrap w:val="0"/>
            <w:vAlign w:val="center"/>
          </w:tcPr>
          <w:p w14:paraId="396CC795">
            <w:pPr>
              <w:pStyle w:val="79"/>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施工扬尘排放标准执行《大气污染物综合排放标准》（GB16297-1996）表2中无组织排放标准要求。</w:t>
            </w:r>
          </w:p>
        </w:tc>
        <w:tc>
          <w:tcPr>
            <w:tcW w:w="1231" w:type="pct"/>
            <w:noWrap w:val="0"/>
            <w:vAlign w:val="center"/>
          </w:tcPr>
          <w:p w14:paraId="460D1B6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加强道路路面的清扫和养护，防止积尘。加强运输散装物资如煤、水泥、砂石材料及简易包装的化工原料等车辆的管理，运送上述物品需加盖苫布或密闭运输。执行环境空气监测计划，根据监测结果确定采取补充的环保措施。加强对车辆的管理，尾气超标车辆严禁上路。大力推广清洁燃料的使用。</w:t>
            </w:r>
          </w:p>
        </w:tc>
        <w:tc>
          <w:tcPr>
            <w:tcW w:w="713" w:type="pct"/>
            <w:noWrap w:val="0"/>
            <w:vAlign w:val="center"/>
          </w:tcPr>
          <w:p w14:paraId="4A327C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《环境空气质量标准》（GB3095-2012）及修改单中的二级标准</w:t>
            </w:r>
          </w:p>
        </w:tc>
      </w:tr>
      <w:tr w14:paraId="2E7AF1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4" w:hRule="atLeast"/>
          <w:jc w:val="center"/>
        </w:trPr>
        <w:tc>
          <w:tcPr>
            <w:tcW w:w="539" w:type="pct"/>
            <w:noWrap w:val="0"/>
            <w:vAlign w:val="center"/>
          </w:tcPr>
          <w:p w14:paraId="6AFA8DC6">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固体废物</w:t>
            </w:r>
          </w:p>
        </w:tc>
        <w:tc>
          <w:tcPr>
            <w:tcW w:w="1631" w:type="pct"/>
            <w:noWrap w:val="0"/>
            <w:vAlign w:val="center"/>
          </w:tcPr>
          <w:p w14:paraId="0A8605AB">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对产生的少量生活垃圾进行统一定点收集，每天由附近环保工人清运处理；施工过程中产生的建筑垃圾和弃土弃渣委托市政公用局车辆运至当地政府指定地点统一进行处置</w:t>
            </w:r>
          </w:p>
        </w:tc>
        <w:tc>
          <w:tcPr>
            <w:tcW w:w="884" w:type="pct"/>
            <w:noWrap w:val="0"/>
            <w:vAlign w:val="center"/>
          </w:tcPr>
          <w:p w14:paraId="5238A6E6">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kern w:val="0"/>
                <w:sz w:val="21"/>
                <w:szCs w:val="21"/>
                <w:highlight w:val="none"/>
              </w:rPr>
              <w:t>一般工业固体废物执行《一般工业固体废物贮存和填埋污染控制标准》（GB18599-2020）；</w:t>
            </w:r>
          </w:p>
        </w:tc>
        <w:tc>
          <w:tcPr>
            <w:tcW w:w="1231" w:type="pct"/>
            <w:noWrap w:val="0"/>
            <w:vAlign w:val="center"/>
          </w:tcPr>
          <w:p w14:paraId="50D10DA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smallCaps w:val="0"/>
                <w:color w:val="auto"/>
                <w:sz w:val="21"/>
                <w:szCs w:val="21"/>
                <w:highlight w:val="none"/>
                <w:lang w:val="en-US" w:eastAsia="zh-CN"/>
              </w:rPr>
              <w:t>沿途设置垃圾桶，环卫部门定期对其进行转运处置。环卫部门的定期清扫、收集。运送易散落的物品的车辆应加盖苫布或密闭运输。</w:t>
            </w:r>
          </w:p>
        </w:tc>
        <w:tc>
          <w:tcPr>
            <w:tcW w:w="713" w:type="pct"/>
            <w:noWrap w:val="0"/>
            <w:vAlign w:val="center"/>
          </w:tcPr>
          <w:p w14:paraId="171632B3">
            <w:pPr>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路面整洁，不产生二次污染</w:t>
            </w:r>
          </w:p>
        </w:tc>
      </w:tr>
      <w:tr w14:paraId="2EB21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pct"/>
            <w:noWrap w:val="0"/>
            <w:vAlign w:val="center"/>
          </w:tcPr>
          <w:p w14:paraId="47FD2093">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电磁环境</w:t>
            </w:r>
          </w:p>
        </w:tc>
        <w:tc>
          <w:tcPr>
            <w:tcW w:w="1631" w:type="pct"/>
            <w:noWrap w:val="0"/>
            <w:vAlign w:val="center"/>
          </w:tcPr>
          <w:p w14:paraId="672B768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884" w:type="pct"/>
            <w:noWrap w:val="0"/>
            <w:vAlign w:val="center"/>
          </w:tcPr>
          <w:p w14:paraId="465BE8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31" w:type="pct"/>
            <w:noWrap w:val="0"/>
            <w:vAlign w:val="center"/>
          </w:tcPr>
          <w:p w14:paraId="3FFA25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037E71A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r w14:paraId="3E2555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539" w:type="pct"/>
            <w:noWrap w:val="0"/>
            <w:vAlign w:val="center"/>
          </w:tcPr>
          <w:p w14:paraId="1301EC7E">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环境风险</w:t>
            </w:r>
          </w:p>
        </w:tc>
        <w:tc>
          <w:tcPr>
            <w:tcW w:w="2960" w:type="dxa"/>
            <w:noWrap w:val="0"/>
            <w:vAlign w:val="center"/>
          </w:tcPr>
          <w:p w14:paraId="1C6535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604" w:type="dxa"/>
            <w:noWrap w:val="0"/>
            <w:vAlign w:val="center"/>
          </w:tcPr>
          <w:p w14:paraId="0C142A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31" w:type="pct"/>
            <w:noWrap w:val="0"/>
            <w:vAlign w:val="center"/>
          </w:tcPr>
          <w:p w14:paraId="661358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0D51F95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r w14:paraId="22DA60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pct"/>
            <w:noWrap w:val="0"/>
            <w:vAlign w:val="center"/>
          </w:tcPr>
          <w:p w14:paraId="7489649D">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环境监测</w:t>
            </w:r>
          </w:p>
        </w:tc>
        <w:tc>
          <w:tcPr>
            <w:tcW w:w="2960" w:type="dxa"/>
            <w:noWrap w:val="0"/>
            <w:vAlign w:val="center"/>
          </w:tcPr>
          <w:p w14:paraId="311B3A7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604" w:type="dxa"/>
            <w:noWrap w:val="0"/>
            <w:vAlign w:val="center"/>
          </w:tcPr>
          <w:p w14:paraId="5327D69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2233" w:type="dxa"/>
            <w:noWrap w:val="0"/>
            <w:vAlign w:val="center"/>
          </w:tcPr>
          <w:p w14:paraId="17125E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95" w:type="dxa"/>
            <w:noWrap w:val="0"/>
            <w:vAlign w:val="center"/>
          </w:tcPr>
          <w:p w14:paraId="4D87E3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lang w:eastAsia="zh-CN"/>
              </w:rPr>
            </w:pPr>
            <w:r>
              <w:rPr>
                <w:rFonts w:hint="eastAsia" w:ascii="宋体" w:hAnsi="宋体" w:eastAsia="宋体" w:cs="宋体"/>
                <w:smallCaps w:val="0"/>
                <w:color w:val="auto"/>
                <w:sz w:val="21"/>
                <w:szCs w:val="21"/>
                <w:highlight w:val="none"/>
              </w:rPr>
              <w:t>/</w:t>
            </w:r>
          </w:p>
        </w:tc>
      </w:tr>
      <w:tr w14:paraId="787ADE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pct"/>
            <w:noWrap w:val="0"/>
            <w:vAlign w:val="center"/>
          </w:tcPr>
          <w:p w14:paraId="336FEB79">
            <w:pPr>
              <w:adjustRightInd w:val="0"/>
              <w:snapToGrid w:val="0"/>
              <w:spacing w:line="240" w:lineRule="auto"/>
              <w:ind w:firstLine="0" w:firstLineChars="0"/>
              <w:jc w:val="center"/>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其他</w:t>
            </w:r>
          </w:p>
        </w:tc>
        <w:tc>
          <w:tcPr>
            <w:tcW w:w="1631" w:type="pct"/>
            <w:noWrap w:val="0"/>
            <w:vAlign w:val="center"/>
          </w:tcPr>
          <w:p w14:paraId="19243C6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884" w:type="pct"/>
            <w:noWrap w:val="0"/>
            <w:vAlign w:val="center"/>
          </w:tcPr>
          <w:p w14:paraId="71DB344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1231" w:type="pct"/>
            <w:noWrap w:val="0"/>
            <w:vAlign w:val="center"/>
          </w:tcPr>
          <w:p w14:paraId="4E3002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c>
          <w:tcPr>
            <w:tcW w:w="713" w:type="pct"/>
            <w:noWrap w:val="0"/>
            <w:vAlign w:val="center"/>
          </w:tcPr>
          <w:p w14:paraId="7304FC6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w:t>
            </w:r>
          </w:p>
        </w:tc>
      </w:tr>
    </w:tbl>
    <w:p w14:paraId="3202B50E">
      <w:pPr>
        <w:pStyle w:val="4"/>
        <w:rPr>
          <w:rFonts w:hint="eastAsia" w:ascii="宋体" w:hAnsi="宋体" w:eastAsia="宋体" w:cs="宋体"/>
          <w:smallCaps w:val="0"/>
          <w:color w:val="auto"/>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bookmarkStart w:id="13" w:name="_Toc68880313"/>
    </w:p>
    <w:p w14:paraId="6AAADE47">
      <w:pPr>
        <w:pStyle w:val="4"/>
        <w:rPr>
          <w:rFonts w:hint="eastAsia" w:ascii="宋体" w:hAnsi="宋体" w:eastAsia="宋体" w:cs="宋体"/>
          <w:smallCaps w:val="0"/>
          <w:color w:val="auto"/>
          <w:highlight w:val="none"/>
        </w:rPr>
      </w:pPr>
      <w:r>
        <w:rPr>
          <w:rFonts w:hint="eastAsia" w:ascii="宋体" w:hAnsi="宋体" w:eastAsia="宋体" w:cs="宋体"/>
          <w:smallCaps w:val="0"/>
          <w:color w:val="auto"/>
          <w:highlight w:val="none"/>
        </w:rPr>
        <w:t>七、结论</w:t>
      </w:r>
      <w:bookmarkEnd w:id="13"/>
    </w:p>
    <w:tbl>
      <w:tblPr>
        <w:tblStyle w:val="33"/>
        <w:tblW w:w="89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57"/>
      </w:tblGrid>
      <w:tr w14:paraId="1CC11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8" w:hRule="atLeast"/>
          <w:jc w:val="center"/>
        </w:trPr>
        <w:tc>
          <w:tcPr>
            <w:tcW w:w="9289" w:type="dxa"/>
            <w:noWrap w:val="0"/>
            <w:vAlign w:val="center"/>
          </w:tcPr>
          <w:p w14:paraId="02AA4AFF">
            <w:pPr>
              <w:adjustRightInd w:val="0"/>
              <w:snapToGrid w:val="0"/>
              <w:ind w:firstLine="480"/>
              <w:rPr>
                <w:rFonts w:hint="eastAsia" w:ascii="宋体" w:hAnsi="宋体" w:eastAsia="宋体" w:cs="宋体"/>
                <w:smallCaps w:val="0"/>
                <w:color w:val="auto"/>
                <w:szCs w:val="21"/>
                <w:highlight w:val="none"/>
              </w:rPr>
            </w:pPr>
            <w:r>
              <w:rPr>
                <w:rFonts w:hint="eastAsia" w:ascii="宋体" w:hAnsi="宋体" w:eastAsia="宋体" w:cs="宋体"/>
                <w:smallCaps w:val="0"/>
                <w:color w:val="auto"/>
                <w:szCs w:val="21"/>
                <w:highlight w:val="none"/>
                <w:lang w:val="en-US" w:eastAsia="zh-CN"/>
              </w:rPr>
              <w:t>综上所述，本项目建设符合当前国家产业政策，选线合理。项目运行后将改善区域交通环境，促进地方经济发展。项目实施对周边生态环境有一定影响，但对环境不利影响可通过采取相应环保对策措施予以减免，同时要求施工过程中合理布设临时工程，采取相应环保措施降低对环境及敏感点的影响，该项目正面效应大于负面效应。因此，从环境保护的角度分析，本项目选线及建设是可行的。</w:t>
            </w:r>
          </w:p>
        </w:tc>
      </w:tr>
    </w:tbl>
    <w:p w14:paraId="35E1058D">
      <w:pPr>
        <w:ind w:firstLine="480"/>
        <w:rPr>
          <w:rFonts w:hint="eastAsia" w:ascii="宋体" w:hAnsi="宋体" w:eastAsia="宋体" w:cs="宋体"/>
          <w:smallCaps w:val="0"/>
          <w:color w:val="auto"/>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365417B7">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color w:val="auto"/>
          <w:highlight w:val="none"/>
        </w:rPr>
        <w:drawing>
          <wp:anchor distT="0" distB="0" distL="114300" distR="114300" simplePos="0" relativeHeight="251659264" behindDoc="0" locked="0" layoutInCell="1" allowOverlap="1">
            <wp:simplePos x="0" y="0"/>
            <wp:positionH relativeFrom="column">
              <wp:posOffset>8032750</wp:posOffset>
            </wp:positionH>
            <wp:positionV relativeFrom="paragraph">
              <wp:posOffset>196215</wp:posOffset>
            </wp:positionV>
            <wp:extent cx="857250" cy="809625"/>
            <wp:effectExtent l="0" t="0" r="0" b="9525"/>
            <wp:wrapNone/>
            <wp:docPr id="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5"/>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b/>
          <w:bCs/>
          <w:color w:val="auto"/>
          <w:highlight w:val="none"/>
          <w:lang w:val="en-US" w:eastAsia="zh-CN"/>
        </w:rPr>
        <w:t>附图1 本项目地理位置图</w:t>
      </w:r>
    </w:p>
    <w:p w14:paraId="31E7E3EC">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outlineLvl w:val="9"/>
        <w:rPr>
          <w:rFonts w:hint="eastAsia" w:ascii="宋体" w:hAnsi="宋体" w:eastAsia="宋体" w:cs="宋体"/>
          <w:color w:val="auto"/>
          <w:highlight w:val="none"/>
        </w:rPr>
      </w:pPr>
      <w:r>
        <w:rPr>
          <w:rFonts w:hint="eastAsia" w:ascii="宋体" w:hAnsi="宋体" w:eastAsia="宋体" w:cs="宋体"/>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3817620</wp:posOffset>
                </wp:positionH>
                <wp:positionV relativeFrom="paragraph">
                  <wp:posOffset>2430145</wp:posOffset>
                </wp:positionV>
                <wp:extent cx="865505" cy="373380"/>
                <wp:effectExtent l="5080" t="5080" r="5715" b="212090"/>
                <wp:wrapNone/>
                <wp:docPr id="9" name="自选图形 190"/>
                <wp:cNvGraphicFramePr/>
                <a:graphic xmlns:a="http://schemas.openxmlformats.org/drawingml/2006/main">
                  <a:graphicData uri="http://schemas.microsoft.com/office/word/2010/wordprocessingShape">
                    <wps:wsp>
                      <wps:cNvSpPr/>
                      <wps:spPr>
                        <a:xfrm>
                          <a:off x="0" y="0"/>
                          <a:ext cx="865505" cy="373380"/>
                        </a:xfrm>
                        <a:prstGeom prst="wedgeRectCallout">
                          <a:avLst>
                            <a:gd name="adj1" fmla="val 16176"/>
                            <a:gd name="adj2" fmla="val 103912"/>
                          </a:avLst>
                        </a:prstGeom>
                        <a:solidFill>
                          <a:srgbClr val="FFFFFF"/>
                        </a:solidFill>
                        <a:ln w="9525" cap="flat" cmpd="sng">
                          <a:solidFill>
                            <a:srgbClr val="000000"/>
                          </a:solidFill>
                          <a:prstDash val="solid"/>
                          <a:miter/>
                          <a:headEnd type="none" w="med" len="med"/>
                          <a:tailEnd type="none" w="med" len="med"/>
                        </a:ln>
                      </wps:spPr>
                      <wps:txbx>
                        <w:txbxContent>
                          <w:p w14:paraId="2D6C67E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lang w:val="en-US" w:eastAsia="zh-CN"/>
                              </w:rPr>
                            </w:pPr>
                            <w:r>
                              <w:rPr>
                                <w:rFonts w:hint="eastAsia"/>
                                <w:lang w:val="en-US" w:eastAsia="zh-CN"/>
                              </w:rPr>
                              <w:t>本项目</w:t>
                            </w:r>
                          </w:p>
                        </w:txbxContent>
                      </wps:txbx>
                      <wps:bodyPr vert="horz" wrap="square" anchor="t" anchorCtr="0" upright="1"/>
                    </wps:wsp>
                  </a:graphicData>
                </a:graphic>
              </wp:anchor>
            </w:drawing>
          </mc:Choice>
          <mc:Fallback>
            <w:pict>
              <v:shape id="自选图形 190" o:spid="_x0000_s1026" o:spt="61" type="#_x0000_t61" style="position:absolute;left:0pt;margin-left:300.6pt;margin-top:191.35pt;height:29.4pt;width:68.15pt;z-index:251668480;mso-width-relative:page;mso-height-relative:page;" fillcolor="#FFFFFF" filled="t" stroked="t" coordsize="21600,21600" o:gfxdata="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ur9JtoA&#10;AAALAQAADwAAAAAAAAABACAAAAAiAAAAZHJzL2Rvd25yZXYueG1sUEsBAhQAFAAAAAgAh07iQDG9&#10;f8tWAgAAwQQAAA4AAAAAAAAAAQAgAAAAKQEAAGRycy9lMm9Eb2MueG1sUEsFBgAAAAAGAAYAWQEA&#10;APEFAAAAAA==&#10;" adj="14294,33245">
                <v:fill on="t" focussize="0,0"/>
                <v:stroke color="#000000" joinstyle="miter"/>
                <v:imagedata o:title=""/>
                <o:lock v:ext="edit" aspectratio="f"/>
                <v:textbox>
                  <w:txbxContent>
                    <w:p w14:paraId="2D6C67E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rPr>
        <w:drawing>
          <wp:inline distT="0" distB="0" distL="114300" distR="114300">
            <wp:extent cx="8859520" cy="4830445"/>
            <wp:effectExtent l="0" t="0" r="17780" b="8255"/>
            <wp:docPr id="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6"/>
                    <pic:cNvPicPr>
                      <a:picLocks noChangeAspect="1"/>
                    </pic:cNvPicPr>
                  </pic:nvPicPr>
                  <pic:blipFill>
                    <a:blip r:embed="rId30"/>
                    <a:stretch>
                      <a:fillRect/>
                    </a:stretch>
                  </pic:blipFill>
                  <pic:spPr>
                    <a:xfrm>
                      <a:off x="0" y="0"/>
                      <a:ext cx="8859520" cy="4830445"/>
                    </a:xfrm>
                    <a:prstGeom prst="rect">
                      <a:avLst/>
                    </a:prstGeom>
                    <a:noFill/>
                    <a:ln>
                      <a:noFill/>
                    </a:ln>
                  </pic:spPr>
                </pic:pic>
              </a:graphicData>
            </a:graphic>
          </wp:inline>
        </w:drawing>
      </w:r>
    </w:p>
    <w:p w14:paraId="457489E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480" w:firstLineChars="200"/>
        <w:jc w:val="both"/>
        <w:textAlignment w:val="auto"/>
        <w:outlineLvl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rPr>
        <w:br w:type="page"/>
      </w:r>
      <w:r>
        <w:rPr>
          <w:rFonts w:hint="eastAsia" w:ascii="宋体" w:hAnsi="宋体" w:eastAsia="宋体" w:cs="宋体"/>
          <w:b/>
          <w:bCs/>
          <w:color w:val="auto"/>
          <w:highlight w:val="none"/>
          <w:lang w:val="en-US" w:eastAsia="zh-CN"/>
        </w:rPr>
        <w:t>附图2 黑龙江主体功能区分图</w:t>
      </w:r>
    </w:p>
    <w:p w14:paraId="1A7003AC">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9"/>
        <w:rPr>
          <w:rFonts w:hint="eastAsia" w:ascii="宋体" w:hAnsi="宋体" w:eastAsia="宋体" w:cs="宋体"/>
          <w:color w:val="auto"/>
          <w:highlight w:val="none"/>
        </w:rPr>
      </w:pPr>
      <w:r>
        <w:rPr>
          <w:rFonts w:hint="eastAsia" w:ascii="宋体" w:hAnsi="宋体" w:eastAsia="宋体" w:cs="宋体"/>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5433695</wp:posOffset>
                </wp:positionH>
                <wp:positionV relativeFrom="paragraph">
                  <wp:posOffset>2783840</wp:posOffset>
                </wp:positionV>
                <wp:extent cx="796925" cy="381635"/>
                <wp:effectExtent l="4445" t="4445" r="17780" b="90170"/>
                <wp:wrapNone/>
                <wp:docPr id="2" name="自选图形 176"/>
                <wp:cNvGraphicFramePr/>
                <a:graphic xmlns:a="http://schemas.openxmlformats.org/drawingml/2006/main">
                  <a:graphicData uri="http://schemas.microsoft.com/office/word/2010/wordprocessingShape">
                    <wps:wsp>
                      <wps:cNvSpPr/>
                      <wps:spPr>
                        <a:xfrm>
                          <a:off x="0" y="0"/>
                          <a:ext cx="796925" cy="381635"/>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28441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wps:txbx>
                      <wps:bodyPr vert="horz" wrap="square" anchor="t" anchorCtr="0" upright="1"/>
                    </wps:wsp>
                  </a:graphicData>
                </a:graphic>
              </wp:anchor>
            </w:drawing>
          </mc:Choice>
          <mc:Fallback>
            <w:pict>
              <v:shape id="自选图形 176" o:spid="_x0000_s1026" o:spt="62" type="#_x0000_t62" style="position:absolute;left:0pt;margin-left:427.85pt;margin-top:219.2pt;height:30.05pt;width:62.75pt;z-index:251660288;mso-width-relative:page;mso-height-relative:page;" fillcolor="#FFFFFF" filled="t" stroked="t" coordsize="21600,21600" o:gfxdata="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V2zK2QAAAAsBAAAPAAAAAAAAAAEAIAAAACIAAABkcnMvZG93bnJldi54&#10;bWxQSwECFAAUAAAACACHTuJAFa+mTWsCAADqBAAADgAAAAAAAAABACAAAAAoAQAAZHJzL2Uyb0Rv&#10;Yy54bWxQSwUGAAAAAAYABgBZAQAABQYAAAAA&#10;" adj="1350,25920,14400">
                <v:fill on="t" focussize="0,0"/>
                <v:stroke color="#000000" joinstyle="miter"/>
                <v:imagedata o:title=""/>
                <o:lock v:ext="edit" aspectratio="f"/>
                <v:textbox>
                  <w:txbxContent>
                    <w:p w14:paraId="028441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highlight w:val="none"/>
        </w:rPr>
        <w:drawing>
          <wp:inline distT="0" distB="0" distL="114300" distR="114300">
            <wp:extent cx="6414770" cy="4855210"/>
            <wp:effectExtent l="0" t="0" r="5080" b="2540"/>
            <wp:docPr id="43"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80"/>
                    <pic:cNvPicPr>
                      <a:picLocks noChangeAspect="1"/>
                    </pic:cNvPicPr>
                  </pic:nvPicPr>
                  <pic:blipFill>
                    <a:blip r:embed="rId31"/>
                    <a:stretch>
                      <a:fillRect/>
                    </a:stretch>
                  </pic:blipFill>
                  <pic:spPr>
                    <a:xfrm>
                      <a:off x="0" y="0"/>
                      <a:ext cx="6414770" cy="4855210"/>
                    </a:xfrm>
                    <a:prstGeom prst="rect">
                      <a:avLst/>
                    </a:prstGeom>
                    <a:noFill/>
                    <a:ln>
                      <a:noFill/>
                    </a:ln>
                  </pic:spPr>
                </pic:pic>
              </a:graphicData>
            </a:graphic>
          </wp:inline>
        </w:drawing>
      </w:r>
    </w:p>
    <w:p w14:paraId="44A324AE">
      <w:pPr>
        <w:keepNext w:val="0"/>
        <w:keepLines w:val="0"/>
        <w:widowControl/>
        <w:suppressLineNumbers w:val="0"/>
        <w:spacing w:line="240" w:lineRule="auto"/>
        <w:jc w:val="left"/>
        <w:outlineLvl w:val="0"/>
        <w:rPr>
          <w:rFonts w:hint="eastAsia" w:ascii="宋体" w:hAnsi="宋体" w:eastAsia="宋体" w:cs="宋体"/>
          <w:color w:val="auto"/>
          <w:highlight w:val="none"/>
        </w:rPr>
      </w:pPr>
      <w:r>
        <w:rPr>
          <w:rFonts w:hint="eastAsia" w:ascii="宋体" w:hAnsi="宋体" w:eastAsia="宋体" w:cs="宋体"/>
          <w:color w:val="auto"/>
          <w:highlight w:val="none"/>
        </w:rPr>
        <w:br w:type="page"/>
      </w:r>
      <w:r>
        <w:rPr>
          <w:rFonts w:hint="eastAsia" w:ascii="宋体" w:hAnsi="宋体" w:eastAsia="宋体" w:cs="宋体"/>
          <w:b/>
          <w:bCs/>
          <w:color w:val="auto"/>
          <w:highlight w:val="none"/>
          <w:lang w:val="en-US" w:eastAsia="zh-CN"/>
        </w:rPr>
        <w:t>附图3</w:t>
      </w:r>
      <w:r>
        <w:rPr>
          <w:rFonts w:hint="eastAsia" w:ascii="宋体" w:hAnsi="宋体" w:eastAsia="宋体" w:cs="宋体"/>
          <w:b/>
          <w:bCs/>
          <w:color w:val="auto"/>
          <w:kern w:val="0"/>
          <w:sz w:val="24"/>
          <w:szCs w:val="24"/>
          <w:highlight w:val="none"/>
          <w:lang w:val="en-US" w:eastAsia="zh-CN" w:bidi="ar"/>
        </w:rPr>
        <w:t>黑龙江生态功能区划图</w:t>
      </w:r>
    </w:p>
    <w:p w14:paraId="6D17B0E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outlineLvl w:val="9"/>
        <w:rPr>
          <w:rFonts w:hint="eastAsia" w:ascii="宋体" w:hAnsi="宋体" w:eastAsia="宋体" w:cs="宋体"/>
          <w:color w:val="auto"/>
          <w:highlight w:val="none"/>
        </w:rPr>
      </w:pPr>
      <w:r>
        <w:rPr>
          <w:rFonts w:hint="eastAsia" w:ascii="宋体" w:hAnsi="宋体" w:eastAsia="宋体" w:cs="宋体"/>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6083935</wp:posOffset>
                </wp:positionH>
                <wp:positionV relativeFrom="paragraph">
                  <wp:posOffset>2978785</wp:posOffset>
                </wp:positionV>
                <wp:extent cx="121285" cy="121285"/>
                <wp:effectExtent l="13970" t="15875" r="17145" b="15240"/>
                <wp:wrapNone/>
                <wp:docPr id="4" name="自选图形 180"/>
                <wp:cNvGraphicFramePr/>
                <a:graphic xmlns:a="http://schemas.openxmlformats.org/drawingml/2006/main">
                  <a:graphicData uri="http://schemas.microsoft.com/office/word/2010/wordprocessingShape">
                    <wps:wsp>
                      <wps:cNvSpPr/>
                      <wps:spPr>
                        <a:xfrm>
                          <a:off x="0" y="0"/>
                          <a:ext cx="121285" cy="12128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180" o:spid="_x0000_s1026" style="position:absolute;left:0pt;margin-left:479.05pt;margin-top:234.55pt;height:9.55pt;width:9.55pt;z-index:251662336;mso-width-relative:page;mso-height-relative:page;" fillcolor="#FF0000" filled="t" stroked="t" coordsize="121285,121285" o:gfxdata="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nU3&#10;V9wAAAALAQAADwAAAAAAAAABACAAAAAiAAAAZHJzL2Rvd25yZXYueG1sUEsBAhQAFAAAAAgAh07i&#10;QMRjUYceAgAAWQQAAA4AAAAAAAAAAQAgAAAAKwEAAGRycy9lMm9Eb2MueG1sUEsFBgAAAAAGAAYA&#10;WQEAALsFAAAAAA==&#10;" path="m0,46326l46327,46326,60642,0,74957,46326,121284,46326,83805,74957,98121,121284,60642,92652,23163,121284,37479,74957xe">
                <v:path o:connectlocs="60642,0;0,46326;23163,121284;98121,121284;121284,46326" o:connectangles="247,164,82,82,0"/>
                <v:fill on="t" focussize="0,0"/>
                <v:stroke color="#FF0000" joinstyle="miter"/>
                <v:imagedata o:title=""/>
                <o:lock v:ext="edit" aspectratio="f"/>
              </v:shape>
            </w:pict>
          </mc:Fallback>
        </mc:AlternateContent>
      </w:r>
      <w:r>
        <w:rPr>
          <w:rFonts w:hint="eastAsia" w:ascii="宋体" w:hAnsi="宋体" w:eastAsia="宋体" w:cs="宋体"/>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6118225</wp:posOffset>
                </wp:positionH>
                <wp:positionV relativeFrom="paragraph">
                  <wp:posOffset>2585085</wp:posOffset>
                </wp:positionV>
                <wp:extent cx="796925" cy="381635"/>
                <wp:effectExtent l="4445" t="4445" r="17780" b="90170"/>
                <wp:wrapNone/>
                <wp:docPr id="3" name="自选图形 177"/>
                <wp:cNvGraphicFramePr/>
                <a:graphic xmlns:a="http://schemas.openxmlformats.org/drawingml/2006/main">
                  <a:graphicData uri="http://schemas.microsoft.com/office/word/2010/wordprocessingShape">
                    <wps:wsp>
                      <wps:cNvSpPr/>
                      <wps:spPr>
                        <a:xfrm>
                          <a:off x="0" y="0"/>
                          <a:ext cx="796925" cy="381635"/>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4C15E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wps:txbx>
                      <wps:bodyPr wrap="square" upright="1"/>
                    </wps:wsp>
                  </a:graphicData>
                </a:graphic>
              </wp:anchor>
            </w:drawing>
          </mc:Choice>
          <mc:Fallback>
            <w:pict>
              <v:shape id="自选图形 177" o:spid="_x0000_s1026" o:spt="62" type="#_x0000_t62" style="position:absolute;left:0pt;margin-left:481.75pt;margin-top:203.55pt;height:30.05pt;width:62.75pt;z-index:251661312;mso-width-relative:page;mso-height-relative:page;" fillcolor="#FFFFFF" filled="t" stroked="t" coordsize="21600,21600" o:gfxdata="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0PwCja&#10;AAAADAEAAA8AAAAAAAAAAQAgAAAAIgAAAGRycy9kb3ducmV2LnhtbFBLAQIUABQAAAAIAIdO4kC6&#10;ty8fVwIAAMUEAAAOAAAAAAAAAAEAIAAAACkBAABkcnMvZTJvRG9jLnhtbFBLBQYAAAAABgAGAFkB&#10;AADyBQAAAAA=&#10;" adj="1350,25920,14400">
                <v:fill on="t" focussize="0,0"/>
                <v:stroke color="#000000" joinstyle="miter"/>
                <v:imagedata o:title=""/>
                <o:lock v:ext="edit" aspectratio="f"/>
                <v:textbox>
                  <w:txbxContent>
                    <w:p w14:paraId="14C15E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highlight w:val="none"/>
        </w:rPr>
        <w:drawing>
          <wp:inline distT="0" distB="0" distL="114300" distR="114300">
            <wp:extent cx="6823710" cy="4829175"/>
            <wp:effectExtent l="0" t="0" r="15240" b="9525"/>
            <wp:docPr id="4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4"/>
                    <pic:cNvPicPr>
                      <a:picLocks noChangeAspect="1"/>
                    </pic:cNvPicPr>
                  </pic:nvPicPr>
                  <pic:blipFill>
                    <a:blip r:embed="rId32"/>
                    <a:stretch>
                      <a:fillRect/>
                    </a:stretch>
                  </pic:blipFill>
                  <pic:spPr>
                    <a:xfrm>
                      <a:off x="0" y="0"/>
                      <a:ext cx="6823710" cy="4829175"/>
                    </a:xfrm>
                    <a:prstGeom prst="rect">
                      <a:avLst/>
                    </a:prstGeom>
                    <a:noFill/>
                    <a:ln>
                      <a:noFill/>
                    </a:ln>
                  </pic:spPr>
                </pic:pic>
              </a:graphicData>
            </a:graphic>
          </wp:inline>
        </w:drawing>
      </w:r>
    </w:p>
    <w:p w14:paraId="31BF7479">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rPr>
        <w:br w:type="page"/>
      </w:r>
      <w:r>
        <w:rPr>
          <w:rFonts w:hint="eastAsia" w:ascii="宋体" w:hAnsi="宋体" w:eastAsia="宋体" w:cs="宋体"/>
          <w:b/>
          <w:bCs/>
          <w:color w:val="auto"/>
          <w:highlight w:val="none"/>
          <w:lang w:val="en-US" w:eastAsia="zh-CN"/>
        </w:rPr>
        <w:t>附图4 双鸭山市环境管控单元分布图</w:t>
      </w:r>
    </w:p>
    <w:p w14:paraId="436C429A">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outlineLvl w:val="9"/>
        <w:rPr>
          <w:rFonts w:hint="eastAsia" w:ascii="宋体" w:hAnsi="宋体" w:eastAsia="宋体" w:cs="宋体"/>
          <w:color w:val="auto"/>
          <w:highlight w:val="none"/>
        </w:rPr>
      </w:pPr>
      <w:r>
        <w:rPr>
          <w:rFonts w:hint="eastAsia" w:ascii="宋体" w:hAnsi="宋体" w:eastAsia="宋体" w:cs="宋体"/>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1781175</wp:posOffset>
                </wp:positionH>
                <wp:positionV relativeFrom="paragraph">
                  <wp:posOffset>1805940</wp:posOffset>
                </wp:positionV>
                <wp:extent cx="971550" cy="429260"/>
                <wp:effectExtent l="4445" t="4445" r="14605" b="575945"/>
                <wp:wrapNone/>
                <wp:docPr id="6" name="自选图形 182"/>
                <wp:cNvGraphicFramePr/>
                <a:graphic xmlns:a="http://schemas.openxmlformats.org/drawingml/2006/main">
                  <a:graphicData uri="http://schemas.microsoft.com/office/word/2010/wordprocessingShape">
                    <wps:wsp>
                      <wps:cNvSpPr/>
                      <wps:spPr>
                        <a:xfrm>
                          <a:off x="0" y="0"/>
                          <a:ext cx="971550" cy="429260"/>
                        </a:xfrm>
                        <a:prstGeom prst="wedgeRoundRectCallout">
                          <a:avLst>
                            <a:gd name="adj1" fmla="val -34250"/>
                            <a:gd name="adj2" fmla="val 176773"/>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476BF73">
                            <w:pPr>
                              <w:spacing w:line="240" w:lineRule="auto"/>
                              <w:ind w:left="0" w:leftChars="0" w:firstLine="0" w:firstLineChars="0"/>
                              <w:jc w:val="center"/>
                              <w:rPr>
                                <w:rFonts w:hint="eastAsia" w:eastAsia="宋体"/>
                                <w:lang w:val="en-US" w:eastAsia="zh-CN"/>
                              </w:rPr>
                            </w:pPr>
                            <w:r>
                              <w:rPr>
                                <w:rFonts w:hint="eastAsia"/>
                                <w:lang w:val="en-US" w:eastAsia="zh-CN"/>
                              </w:rPr>
                              <w:t>本项目</w:t>
                            </w:r>
                          </w:p>
                        </w:txbxContent>
                      </wps:txbx>
                      <wps:bodyPr vert="horz" wrap="square" anchor="t" anchorCtr="0" upright="1"/>
                    </wps:wsp>
                  </a:graphicData>
                </a:graphic>
              </wp:anchor>
            </w:drawing>
          </mc:Choice>
          <mc:Fallback>
            <w:pict>
              <v:shape id="自选图形 182" o:spid="_x0000_s1026" o:spt="62" type="#_x0000_t62" style="position:absolute;left:0pt;margin-left:140.25pt;margin-top:142.2pt;height:33.8pt;width:76.5pt;z-index:251664384;mso-width-relative:page;mso-height-relative:page;" fillcolor="#FFFFFF" filled="t" stroked="t" coordsize="21600,21600" o:gfxdata="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TA48TYAAAACwEAAA8AAAAAAAAAAQAgAAAAIgAAAGRycy9kb3ducmV2LnhtbFBL&#10;AQIUABQAAAAIAIdO4kC3YRj6aAIAAOsEAAAOAAAAAAAAAAEAIAAAACcBAABkcnMvZTJvRG9jLnht&#10;bFBLBQYAAAAABgAGAFkBAAABBgAAAAA=&#10;" adj="3402,48983,14400">
                <v:fill on="t" focussize="0,0"/>
                <v:stroke color="#000000" joinstyle="miter"/>
                <v:imagedata o:title=""/>
                <o:lock v:ext="edit" aspectratio="f"/>
                <v:textbox>
                  <w:txbxContent>
                    <w:p w14:paraId="2476BF73">
                      <w:pPr>
                        <w:spacing w:line="240" w:lineRule="auto"/>
                        <w:ind w:left="0" w:leftChars="0" w:firstLine="0" w:firstLineChars="0"/>
                        <w:jc w:val="center"/>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1880870</wp:posOffset>
                </wp:positionH>
                <wp:positionV relativeFrom="paragraph">
                  <wp:posOffset>2752090</wp:posOffset>
                </wp:positionV>
                <wp:extent cx="75565" cy="75565"/>
                <wp:effectExtent l="13970" t="15875" r="24765" b="22860"/>
                <wp:wrapNone/>
                <wp:docPr id="5" name="自选图形 181"/>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181" o:spid="_x0000_s1026" style="position:absolute;left:0pt;margin-left:148.1pt;margin-top:216.7pt;height:5.95pt;width:5.95pt;z-index:251663360;mso-width-relative:page;mso-height-relative:page;" fillcolor="#FF0000" filled="t" stroked="t" coordsize="75565,75565" o:gfxdata="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F/ZnO2AAA&#10;AAsBAAAPAAAAAAAAAAEAIAAAACIAAABkcnMvZG93bnJldi54bWxQSwECFAAUAAAACACHTuJAxXyp&#10;HB4CAABXBAAADgAAAAAAAAABACAAAAAnAQAAZHJzL2Uyb0RvYy54bWxQSwUGAAAAAAYABgBZAQAA&#10;twUAAAAA&#10;" path="m0,28863l28863,28863,37782,0,46701,28863,75564,28863,52213,46701,61133,75564,37782,57726,14431,75564,23351,46701xe">
                <v:path o:connectlocs="37782,0;0,28863;14431,75564;61133,75564;75564,28863" o:connectangles="247,164,82,82,0"/>
                <v:fill on="t" focussize="0,0"/>
                <v:stroke color="#FF0000" joinstyle="miter"/>
                <v:imagedata o:title=""/>
                <o:lock v:ext="edit" aspectratio="f"/>
              </v:shape>
            </w:pict>
          </mc:Fallback>
        </mc:AlternateContent>
      </w:r>
      <w:r>
        <w:rPr>
          <w:rFonts w:hint="eastAsia" w:ascii="宋体" w:hAnsi="宋体" w:eastAsia="宋体" w:cs="宋体"/>
          <w:color w:val="auto"/>
          <w:highlight w:val="none"/>
        </w:rPr>
        <w:drawing>
          <wp:inline distT="0" distB="0" distL="114300" distR="114300">
            <wp:extent cx="7094855" cy="5017770"/>
            <wp:effectExtent l="0" t="0" r="10795" b="11430"/>
            <wp:docPr id="4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5"/>
                    <pic:cNvPicPr>
                      <a:picLocks noChangeAspect="1"/>
                    </pic:cNvPicPr>
                  </pic:nvPicPr>
                  <pic:blipFill>
                    <a:blip r:embed="rId33"/>
                    <a:stretch>
                      <a:fillRect/>
                    </a:stretch>
                  </pic:blipFill>
                  <pic:spPr>
                    <a:xfrm>
                      <a:off x="0" y="0"/>
                      <a:ext cx="7094855" cy="5017770"/>
                    </a:xfrm>
                    <a:prstGeom prst="rect">
                      <a:avLst/>
                    </a:prstGeom>
                    <a:noFill/>
                    <a:ln>
                      <a:noFill/>
                    </a:ln>
                  </pic:spPr>
                </pic:pic>
              </a:graphicData>
            </a:graphic>
          </wp:inline>
        </w:drawing>
      </w:r>
    </w:p>
    <w:p w14:paraId="42B12B7A">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附图5总平面布置图</w:t>
      </w:r>
    </w:p>
    <w:p w14:paraId="24EA4D4D">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rPr>
        <w:drawing>
          <wp:inline distT="0" distB="0" distL="114300" distR="114300">
            <wp:extent cx="6452870" cy="4559300"/>
            <wp:effectExtent l="0" t="0" r="5080" b="12700"/>
            <wp:docPr id="46"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24"/>
                    <pic:cNvPicPr>
                      <a:picLocks noChangeAspect="1"/>
                    </pic:cNvPicPr>
                  </pic:nvPicPr>
                  <pic:blipFill>
                    <a:blip r:embed="rId34"/>
                    <a:stretch>
                      <a:fillRect/>
                    </a:stretch>
                  </pic:blipFill>
                  <pic:spPr>
                    <a:xfrm>
                      <a:off x="0" y="0"/>
                      <a:ext cx="6452870" cy="4559300"/>
                    </a:xfrm>
                    <a:prstGeom prst="rect">
                      <a:avLst/>
                    </a:prstGeom>
                    <a:noFill/>
                    <a:ln>
                      <a:noFill/>
                    </a:ln>
                  </pic:spPr>
                </pic:pic>
              </a:graphicData>
            </a:graphic>
          </wp:inline>
        </w:drawing>
      </w:r>
    </w:p>
    <w:p w14:paraId="76789F01">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rPr>
      </w:pPr>
      <w:r>
        <w:rPr>
          <w:rFonts w:hint="eastAsia" w:ascii="宋体" w:hAnsi="宋体" w:eastAsia="宋体" w:cs="宋体"/>
          <w:color w:val="auto"/>
          <w:highlight w:val="none"/>
        </w:rPr>
        <w:drawing>
          <wp:inline distT="0" distB="0" distL="114300" distR="114300">
            <wp:extent cx="6948170" cy="4907915"/>
            <wp:effectExtent l="0" t="0" r="5080" b="6985"/>
            <wp:docPr id="47"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21"/>
                    <pic:cNvPicPr>
                      <a:picLocks noChangeAspect="1"/>
                    </pic:cNvPicPr>
                  </pic:nvPicPr>
                  <pic:blipFill>
                    <a:blip r:embed="rId35"/>
                    <a:stretch>
                      <a:fillRect/>
                    </a:stretch>
                  </pic:blipFill>
                  <pic:spPr>
                    <a:xfrm>
                      <a:off x="0" y="0"/>
                      <a:ext cx="6948170" cy="490791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6948170" cy="4907915"/>
            <wp:effectExtent l="0" t="0" r="5080" b="6985"/>
            <wp:docPr id="48"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22"/>
                    <pic:cNvPicPr>
                      <a:picLocks noChangeAspect="1"/>
                    </pic:cNvPicPr>
                  </pic:nvPicPr>
                  <pic:blipFill>
                    <a:blip r:embed="rId36"/>
                    <a:stretch>
                      <a:fillRect/>
                    </a:stretch>
                  </pic:blipFill>
                  <pic:spPr>
                    <a:xfrm>
                      <a:off x="0" y="0"/>
                      <a:ext cx="6948170" cy="490791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6948170" cy="4907915"/>
            <wp:effectExtent l="0" t="0" r="5080" b="6985"/>
            <wp:docPr id="49"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23"/>
                    <pic:cNvPicPr>
                      <a:picLocks noChangeAspect="1"/>
                    </pic:cNvPicPr>
                  </pic:nvPicPr>
                  <pic:blipFill>
                    <a:blip r:embed="rId37"/>
                    <a:stretch>
                      <a:fillRect/>
                    </a:stretch>
                  </pic:blipFill>
                  <pic:spPr>
                    <a:xfrm>
                      <a:off x="0" y="0"/>
                      <a:ext cx="6948170" cy="4907915"/>
                    </a:xfrm>
                    <a:prstGeom prst="rect">
                      <a:avLst/>
                    </a:prstGeom>
                    <a:noFill/>
                    <a:ln>
                      <a:noFill/>
                    </a:ln>
                  </pic:spPr>
                </pic:pic>
              </a:graphicData>
            </a:graphic>
          </wp:inline>
        </w:drawing>
      </w:r>
    </w:p>
    <w:p w14:paraId="093172B0">
      <w:pPr>
        <w:rPr>
          <w:rFonts w:hint="eastAsia" w:cs="宋体"/>
          <w:color w:val="auto"/>
          <w:highlight w:val="none"/>
          <w:lang w:val="en-US" w:eastAsia="zh-CN"/>
        </w:rPr>
      </w:pPr>
      <w:r>
        <w:rPr>
          <w:rFonts w:hint="eastAsia" w:cs="宋体"/>
          <w:color w:val="auto"/>
          <w:highlight w:val="none"/>
          <w:lang w:val="en-US" w:eastAsia="zh-CN"/>
        </w:rPr>
        <w:br w:type="page"/>
      </w:r>
    </w:p>
    <w:p w14:paraId="0F345D0B">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cs="宋体"/>
          <w:b/>
          <w:bCs/>
          <w:color w:val="auto"/>
          <w:highlight w:val="lightGray"/>
          <w:lang w:val="en-US" w:eastAsia="zh-CN"/>
        </w:rPr>
      </w:pPr>
      <w:r>
        <w:rPr>
          <w:rFonts w:hint="eastAsia" w:cs="宋体"/>
          <w:b/>
          <w:bCs/>
          <w:color w:val="auto"/>
          <w:highlight w:val="lightGray"/>
          <w:lang w:val="en-US" w:eastAsia="zh-CN"/>
        </w:rPr>
        <w:t>附图6 路线纵断面图</w:t>
      </w:r>
    </w:p>
    <w:p w14:paraId="7EFD803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default" w:cs="宋体"/>
          <w:color w:val="auto"/>
          <w:highlight w:val="none"/>
          <w:lang w:val="en-US" w:eastAsia="zh-CN"/>
        </w:rPr>
      </w:pPr>
      <w:r>
        <w:drawing>
          <wp:inline distT="0" distB="0" distL="114300" distR="114300">
            <wp:extent cx="6948170" cy="4908550"/>
            <wp:effectExtent l="0" t="0" r="5080" b="6350"/>
            <wp:docPr id="15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8"/>
                    <pic:cNvPicPr>
                      <a:picLocks noChangeAspect="1"/>
                    </pic:cNvPicPr>
                  </pic:nvPicPr>
                  <pic:blipFill>
                    <a:blip r:embed="rId38"/>
                    <a:stretch>
                      <a:fillRect/>
                    </a:stretch>
                  </pic:blipFill>
                  <pic:spPr>
                    <a:xfrm>
                      <a:off x="0" y="0"/>
                      <a:ext cx="6948170" cy="4908550"/>
                    </a:xfrm>
                    <a:prstGeom prst="rect">
                      <a:avLst/>
                    </a:prstGeom>
                    <a:noFill/>
                    <a:ln>
                      <a:noFill/>
                    </a:ln>
                  </pic:spPr>
                </pic:pic>
              </a:graphicData>
            </a:graphic>
          </wp:inline>
        </w:drawing>
      </w:r>
    </w:p>
    <w:p w14:paraId="514F7587">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cs="宋体"/>
          <w:color w:val="auto"/>
          <w:highlight w:val="none"/>
          <w:lang w:val="en-US" w:eastAsia="zh-CN"/>
        </w:rPr>
      </w:pPr>
      <w:r>
        <w:drawing>
          <wp:inline distT="0" distB="0" distL="114300" distR="114300">
            <wp:extent cx="6948170" cy="4908550"/>
            <wp:effectExtent l="0" t="0" r="5080" b="6350"/>
            <wp:docPr id="15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9"/>
                    <pic:cNvPicPr>
                      <a:picLocks noChangeAspect="1"/>
                    </pic:cNvPicPr>
                  </pic:nvPicPr>
                  <pic:blipFill>
                    <a:blip r:embed="rId39"/>
                    <a:stretch>
                      <a:fillRect/>
                    </a:stretch>
                  </pic:blipFill>
                  <pic:spPr>
                    <a:xfrm>
                      <a:off x="0" y="0"/>
                      <a:ext cx="6948170" cy="4908550"/>
                    </a:xfrm>
                    <a:prstGeom prst="rect">
                      <a:avLst/>
                    </a:prstGeom>
                    <a:noFill/>
                    <a:ln>
                      <a:noFill/>
                    </a:ln>
                  </pic:spPr>
                </pic:pic>
              </a:graphicData>
            </a:graphic>
          </wp:inline>
        </w:drawing>
      </w:r>
      <w:r>
        <w:drawing>
          <wp:inline distT="0" distB="0" distL="114300" distR="114300">
            <wp:extent cx="6948170" cy="4908550"/>
            <wp:effectExtent l="0" t="0" r="5080" b="6350"/>
            <wp:docPr id="15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0"/>
                    <pic:cNvPicPr>
                      <a:picLocks noChangeAspect="1"/>
                    </pic:cNvPicPr>
                  </pic:nvPicPr>
                  <pic:blipFill>
                    <a:blip r:embed="rId40"/>
                    <a:stretch>
                      <a:fillRect/>
                    </a:stretch>
                  </pic:blipFill>
                  <pic:spPr>
                    <a:xfrm>
                      <a:off x="0" y="0"/>
                      <a:ext cx="6948170" cy="4908550"/>
                    </a:xfrm>
                    <a:prstGeom prst="rect">
                      <a:avLst/>
                    </a:prstGeom>
                    <a:noFill/>
                    <a:ln>
                      <a:noFill/>
                    </a:ln>
                  </pic:spPr>
                </pic:pic>
              </a:graphicData>
            </a:graphic>
          </wp:inline>
        </w:drawing>
      </w:r>
      <w:r>
        <w:drawing>
          <wp:inline distT="0" distB="0" distL="114300" distR="114300">
            <wp:extent cx="6948170" cy="4908550"/>
            <wp:effectExtent l="0" t="0" r="5080" b="6350"/>
            <wp:docPr id="1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1"/>
                    <pic:cNvPicPr>
                      <a:picLocks noChangeAspect="1"/>
                    </pic:cNvPicPr>
                  </pic:nvPicPr>
                  <pic:blipFill>
                    <a:blip r:embed="rId41"/>
                    <a:stretch>
                      <a:fillRect/>
                    </a:stretch>
                  </pic:blipFill>
                  <pic:spPr>
                    <a:xfrm>
                      <a:off x="0" y="0"/>
                      <a:ext cx="6948170" cy="4908550"/>
                    </a:xfrm>
                    <a:prstGeom prst="rect">
                      <a:avLst/>
                    </a:prstGeom>
                    <a:noFill/>
                    <a:ln>
                      <a:noFill/>
                    </a:ln>
                  </pic:spPr>
                </pic:pic>
              </a:graphicData>
            </a:graphic>
          </wp:inline>
        </w:drawing>
      </w:r>
    </w:p>
    <w:p w14:paraId="5F743B80">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rPr>
      </w:pPr>
    </w:p>
    <w:p w14:paraId="27246496">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left"/>
        <w:textAlignment w:val="auto"/>
        <w:outlineLvl w:val="0"/>
        <w:rPr>
          <w:rFonts w:hint="eastAsia" w:ascii="宋体" w:hAnsi="宋体" w:eastAsia="宋体" w:cs="宋体"/>
          <w:color w:val="auto"/>
          <w:highlight w:val="lightGray"/>
          <w:lang w:val="en-US" w:eastAsia="zh-CN"/>
        </w:rPr>
      </w:pPr>
      <w:r>
        <w:rPr>
          <w:rFonts w:hint="eastAsia" w:ascii="宋体" w:hAnsi="宋体" w:eastAsia="宋体" w:cs="宋体"/>
          <w:color w:val="auto"/>
          <w:highlight w:val="none"/>
        </w:rPr>
        <w:br w:type="page"/>
      </w:r>
      <w:r>
        <w:rPr>
          <w:rFonts w:hint="eastAsia" w:ascii="宋体" w:hAnsi="宋体" w:eastAsia="宋体" w:cs="宋体"/>
          <w:b/>
          <w:bCs/>
          <w:color w:val="auto"/>
          <w:highlight w:val="lightGray"/>
          <w:lang w:val="en-US" w:eastAsia="zh-CN"/>
        </w:rPr>
        <w:t>附图</w:t>
      </w:r>
      <w:r>
        <w:rPr>
          <w:rFonts w:hint="eastAsia" w:cs="宋体"/>
          <w:b/>
          <w:bCs/>
          <w:color w:val="auto"/>
          <w:highlight w:val="lightGray"/>
          <w:lang w:val="en-US" w:eastAsia="zh-CN"/>
        </w:rPr>
        <w:t>7</w:t>
      </w:r>
      <w:r>
        <w:rPr>
          <w:rFonts w:hint="eastAsia" w:ascii="宋体" w:hAnsi="宋体" w:eastAsia="宋体" w:cs="宋体"/>
          <w:b/>
          <w:bCs/>
          <w:color w:val="auto"/>
          <w:highlight w:val="lightGray"/>
          <w:lang w:val="en-US" w:eastAsia="zh-CN"/>
        </w:rPr>
        <w:t xml:space="preserve"> 环境保护目标分布图</w:t>
      </w:r>
    </w:p>
    <w:p w14:paraId="7C10BAB1">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lang w:val="en-US" w:eastAsia="zh-CN"/>
        </w:rPr>
      </w:pPr>
      <w:r>
        <mc:AlternateContent>
          <mc:Choice Requires="wps">
            <w:drawing>
              <wp:anchor distT="0" distB="0" distL="114300" distR="114300" simplePos="0" relativeHeight="251712512" behindDoc="0" locked="0" layoutInCell="1" allowOverlap="1">
                <wp:simplePos x="0" y="0"/>
                <wp:positionH relativeFrom="column">
                  <wp:posOffset>388620</wp:posOffset>
                </wp:positionH>
                <wp:positionV relativeFrom="paragraph">
                  <wp:posOffset>4279900</wp:posOffset>
                </wp:positionV>
                <wp:extent cx="414020" cy="3810"/>
                <wp:effectExtent l="0" t="0" r="0" b="0"/>
                <wp:wrapNone/>
                <wp:docPr id="140" name="直线 185"/>
                <wp:cNvGraphicFramePr/>
                <a:graphic xmlns:a="http://schemas.openxmlformats.org/drawingml/2006/main">
                  <a:graphicData uri="http://schemas.microsoft.com/office/word/2010/wordprocessingShape">
                    <wps:wsp>
                      <wps:cNvCnPr/>
                      <wps:spPr>
                        <a:xfrm>
                          <a:off x="0" y="0"/>
                          <a:ext cx="414020" cy="3810"/>
                        </a:xfrm>
                        <a:prstGeom prst="line">
                          <a:avLst/>
                        </a:prstGeom>
                        <a:ln w="19050" cap="flat" cmpd="sng">
                          <a:solidFill>
                            <a:srgbClr val="FFFF00"/>
                          </a:solidFill>
                          <a:prstDash val="solid"/>
                          <a:headEnd type="none" w="med" len="med"/>
                          <a:tailEnd type="none" w="med" len="med"/>
                        </a:ln>
                      </wps:spPr>
                      <wps:bodyPr upright="1"/>
                    </wps:wsp>
                  </a:graphicData>
                </a:graphic>
              </wp:anchor>
            </w:drawing>
          </mc:Choice>
          <mc:Fallback>
            <w:pict>
              <v:line id="直线 185" o:spid="_x0000_s1026" o:spt="20" style="position:absolute;left:0pt;margin-left:30.6pt;margin-top:337pt;height:0.3pt;width:32.6pt;z-index:251712512;mso-width-relative:page;mso-height-relative:page;" filled="f" stroked="t" coordsize="21600,21600" o:gfxdata="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mDl7HZAAAACgEAAA8AAAAAAAAAAQAgAAAAIgAAAGRycy9kb3ducmV2LnhtbFBLAQIUABQAAAAI&#10;AIdO4kAF1SeO7AEAAOIDAAAOAAAAAAAAAAEAIAAAACgBAABkcnMvZTJvRG9jLnhtbFBLBQYAAAAA&#10;BgAGAFkBAACGBQAAAAA=&#10;">
                <v:fill on="f" focussize="0,0"/>
                <v:stroke weight="1.5pt" color="#FFFF00" joinstyle="round"/>
                <v:imagedata o:title=""/>
                <o:lock v:ext="edit" aspectratio="f"/>
              </v:lin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417830</wp:posOffset>
                </wp:positionH>
                <wp:positionV relativeFrom="paragraph">
                  <wp:posOffset>4075430</wp:posOffset>
                </wp:positionV>
                <wp:extent cx="414020" cy="3810"/>
                <wp:effectExtent l="0" t="0" r="0" b="0"/>
                <wp:wrapNone/>
                <wp:docPr id="52" name="直线 185"/>
                <wp:cNvGraphicFramePr/>
                <a:graphic xmlns:a="http://schemas.openxmlformats.org/drawingml/2006/main">
                  <a:graphicData uri="http://schemas.microsoft.com/office/word/2010/wordprocessingShape">
                    <wps:wsp>
                      <wps:cNvCnPr/>
                      <wps:spPr>
                        <a:xfrm>
                          <a:off x="0" y="0"/>
                          <a:ext cx="414020" cy="381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85" o:spid="_x0000_s1026" o:spt="20" style="position:absolute;left:0pt;margin-left:32.9pt;margin-top:320.9pt;height:0.3pt;width:32.6pt;z-index:251711488;mso-width-relative:page;mso-height-relative:page;" filled="f" stroked="t" coordsize="21600,21600" o:gfxdata="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4RYBT9gAAAAKAQAADwAAAAAAAAABACAAAAAiAAAAZHJzL2Rvd25yZXYueG1sUEsBAhQAFAAA&#10;AAgAh07iQKnWMDbvAQAA4QMAAA4AAAAAAAAAAQAgAAAAJwEAAGRycy9lMm9Eb2MueG1sUEsFBgAA&#10;AAAGAAYAWQEAAIgFAAAAAA==&#10;">
                <v:fill on="f" focussize="0,0"/>
                <v:stroke weight="1.5pt" color="#FF0000" joinstyle="round"/>
                <v:imagedata o:title=""/>
                <o:lock v:ext="edit" aspectratio="f"/>
              </v:lin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394970</wp:posOffset>
                </wp:positionH>
                <wp:positionV relativeFrom="paragraph">
                  <wp:posOffset>3860165</wp:posOffset>
                </wp:positionV>
                <wp:extent cx="414020" cy="3810"/>
                <wp:effectExtent l="0" t="0" r="0" b="0"/>
                <wp:wrapNone/>
                <wp:docPr id="141" name="直线 185"/>
                <wp:cNvGraphicFramePr/>
                <a:graphic xmlns:a="http://schemas.openxmlformats.org/drawingml/2006/main">
                  <a:graphicData uri="http://schemas.microsoft.com/office/word/2010/wordprocessingShape">
                    <wps:wsp>
                      <wps:cNvCnPr/>
                      <wps:spPr>
                        <a:xfrm>
                          <a:off x="0" y="0"/>
                          <a:ext cx="414020" cy="3810"/>
                        </a:xfrm>
                        <a:prstGeom prst="line">
                          <a:avLst/>
                        </a:prstGeom>
                        <a:ln w="19050" cap="flat" cmpd="sng">
                          <a:solidFill>
                            <a:srgbClr val="FFFF00"/>
                          </a:solidFill>
                          <a:prstDash val="solid"/>
                          <a:headEnd type="none" w="med" len="med"/>
                          <a:tailEnd type="none" w="med" len="med"/>
                        </a:ln>
                      </wps:spPr>
                      <wps:bodyPr upright="1"/>
                    </wps:wsp>
                  </a:graphicData>
                </a:graphic>
              </wp:anchor>
            </w:drawing>
          </mc:Choice>
          <mc:Fallback>
            <w:pict>
              <v:line id="直线 185" o:spid="_x0000_s1026" o:spt="20" style="position:absolute;left:0pt;margin-left:31.1pt;margin-top:303.95pt;height:0.3pt;width:32.6pt;z-index:251713536;mso-width-relative:page;mso-height-relative:page;" filled="f" stroked="t" coordsize="21600,21600" o:gfxdata="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PTsU9oAAAAKAQAADwAAAAAAAAABACAAAAAiAAAAZHJzL2Rvd25yZXYueG1sUEsBAhQAFAAA&#10;AAgAh07iQBB7NxPtAQAA4gMAAA4AAAAAAAAAAQAgAAAAKQEAAGRycy9lMm9Eb2MueG1sUEsFBgAA&#10;AAAGAAYAWQEAAIgFAAAAAA==&#10;">
                <v:fill on="f" focussize="0,0"/>
                <v:stroke weight="1.5pt" color="#FFFF00" joinstyle="round"/>
                <v:imagedata o:title=""/>
                <o:lock v:ext="edit" aspectratio="f"/>
              </v:lin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435610</wp:posOffset>
                </wp:positionH>
                <wp:positionV relativeFrom="paragraph">
                  <wp:posOffset>4635500</wp:posOffset>
                </wp:positionV>
                <wp:extent cx="389255" cy="130175"/>
                <wp:effectExtent l="4445" t="4445" r="6350" b="17780"/>
                <wp:wrapNone/>
                <wp:docPr id="34" name="矩形 229"/>
                <wp:cNvGraphicFramePr/>
                <a:graphic xmlns:a="http://schemas.openxmlformats.org/drawingml/2006/main">
                  <a:graphicData uri="http://schemas.microsoft.com/office/word/2010/wordprocessingShape">
                    <wps:wsp>
                      <wps:cNvSpPr/>
                      <wps:spPr>
                        <a:xfrm>
                          <a:off x="1350010" y="5975985"/>
                          <a:ext cx="389255" cy="130175"/>
                        </a:xfrm>
                        <a:prstGeom prst="rect">
                          <a:avLst/>
                        </a:prstGeom>
                        <a:solidFill>
                          <a:srgbClr val="1D2DAD"/>
                        </a:solidFill>
                        <a:ln w="9525" cap="flat" cmpd="sng">
                          <a:solidFill>
                            <a:srgbClr val="263D84"/>
                          </a:solidFill>
                          <a:prstDash val="solid"/>
                          <a:miter/>
                          <a:headEnd type="none" w="med" len="med"/>
                          <a:tailEnd type="none" w="med" len="med"/>
                        </a:ln>
                      </wps:spPr>
                      <wps:bodyPr vert="horz" wrap="square" anchor="t" anchorCtr="0" upright="1"/>
                    </wps:wsp>
                  </a:graphicData>
                </a:graphic>
              </wp:anchor>
            </w:drawing>
          </mc:Choice>
          <mc:Fallback>
            <w:pict>
              <v:rect id="矩形 229" o:spid="_x0000_s1026" o:spt="1" style="position:absolute;left:0pt;margin-left:34.3pt;margin-top:365pt;height:10.25pt;width:30.65pt;z-index:251692032;mso-width-relative:page;mso-height-relative:page;" fillcolor="#1D2DAD" filled="t" stroked="t" coordsize="21600,21600" o:gfxdata="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VCYETYAAAACgEAAA8AAAAAAAAAAQAgAAAAIgAAAGRycy9kb3ducmV2LnhtbFBL&#10;AQIUABQAAAAIAIdO4kCaF89XLwIAAF8EAAAOAAAAAAAAAAEAIAAAACcBAABkcnMvZTJvRG9jLnht&#10;bFBLBQYAAAAABgAGAFkBAADIBQAAAAA=&#10;">
                <v:fill on="t" focussize="0,0"/>
                <v:stroke color="#263D84" joinstyle="miter"/>
                <v:imagedata o:title=""/>
                <o:lock v:ext="edit" aspectratio="f"/>
              </v:rect>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410210</wp:posOffset>
                </wp:positionH>
                <wp:positionV relativeFrom="paragraph">
                  <wp:posOffset>4490720</wp:posOffset>
                </wp:positionV>
                <wp:extent cx="415925" cy="1270"/>
                <wp:effectExtent l="0" t="0" r="0" b="0"/>
                <wp:wrapNone/>
                <wp:docPr id="33" name="直线 228"/>
                <wp:cNvGraphicFramePr/>
                <a:graphic xmlns:a="http://schemas.openxmlformats.org/drawingml/2006/main">
                  <a:graphicData uri="http://schemas.microsoft.com/office/word/2010/wordprocessingShape">
                    <wps:wsp>
                      <wps:cNvCnPr/>
                      <wps:spPr>
                        <a:xfrm>
                          <a:off x="1324610" y="5831205"/>
                          <a:ext cx="415925" cy="1270"/>
                        </a:xfrm>
                        <a:prstGeom prst="line">
                          <a:avLst/>
                        </a:prstGeom>
                        <a:ln w="19050" cap="flat" cmpd="sng">
                          <a:solidFill>
                            <a:srgbClr val="00EFEF"/>
                          </a:solidFill>
                          <a:prstDash val="solid"/>
                          <a:headEnd type="none" w="med" len="med"/>
                          <a:tailEnd type="none" w="med" len="med"/>
                        </a:ln>
                      </wps:spPr>
                      <wps:bodyPr upright="1"/>
                    </wps:wsp>
                  </a:graphicData>
                </a:graphic>
              </wp:anchor>
            </w:drawing>
          </mc:Choice>
          <mc:Fallback>
            <w:pict>
              <v:line id="直线 228" o:spid="_x0000_s1026" o:spt="20" style="position:absolute;left:0pt;margin-left:32.3pt;margin-top:353.6pt;height:0.1pt;width:32.75pt;z-index:251691008;mso-width-relative:page;mso-height-relative:page;" filled="f" stroked="t" coordsize="21600,21600" o:gfxdata="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9ymdS2QAAAAoBAAAPAAAAAAAAAAEAIAAAACIAAABkcnMvZG93&#10;bnJldi54bWxQSwECFAAUAAAACACHTuJAlEdjb/8BAADtAwAADgAAAAAAAAABACAAAAAoAQAAZHJz&#10;L2Uyb0RvYy54bWxQSwUGAAAAAAYABgBZAQAAmQUAAAAA&#10;">
                <v:fill on="f" focussize="0,0"/>
                <v:stroke weight="1.5pt" color="#00EFEF" joinstyle="round"/>
                <v:imagedata o:title=""/>
                <o:lock v:ext="edit" aspectratio="f"/>
              </v:lin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396240</wp:posOffset>
                </wp:positionH>
                <wp:positionV relativeFrom="paragraph">
                  <wp:posOffset>3688715</wp:posOffset>
                </wp:positionV>
                <wp:extent cx="402590" cy="1905"/>
                <wp:effectExtent l="0" t="0" r="0" b="0"/>
                <wp:wrapNone/>
                <wp:docPr id="30" name="直线 184"/>
                <wp:cNvGraphicFramePr/>
                <a:graphic xmlns:a="http://schemas.openxmlformats.org/drawingml/2006/main">
                  <a:graphicData uri="http://schemas.microsoft.com/office/word/2010/wordprocessingShape">
                    <wps:wsp>
                      <wps:cNvCnPr/>
                      <wps:spPr>
                        <a:xfrm flipV="1">
                          <a:off x="1310640" y="5029200"/>
                          <a:ext cx="402590" cy="1905"/>
                        </a:xfrm>
                        <a:prstGeom prst="line">
                          <a:avLst/>
                        </a:prstGeom>
                        <a:ln w="19050" cap="flat" cmpd="sng">
                          <a:solidFill>
                            <a:srgbClr val="00B050"/>
                          </a:solidFill>
                          <a:prstDash val="solid"/>
                          <a:headEnd type="none" w="med" len="med"/>
                          <a:tailEnd type="none" w="med" len="med"/>
                        </a:ln>
                      </wps:spPr>
                      <wps:bodyPr upright="1"/>
                    </wps:wsp>
                  </a:graphicData>
                </a:graphic>
              </wp:anchor>
            </w:drawing>
          </mc:Choice>
          <mc:Fallback>
            <w:pict>
              <v:line id="直线 184" o:spid="_x0000_s1026" o:spt="20" style="position:absolute;left:0pt;flip:y;margin-left:31.2pt;margin-top:290.45pt;height:0.15pt;width:31.7pt;z-index:251689984;mso-width-relative:page;mso-height-relative:page;" filled="f" stroked="t" coordsize="21600,21600" o:gfxdata="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s5DqjYAAAACgEAAA8AAAAAAAAAAQAgAAAAIgAAAGRycy9kb3du&#10;cmV2LnhtbFBLAQIUABQAAAAIAIdO4kDdK9Xw/wEAAPcDAAAOAAAAAAAAAAEAIAAAACcBAABkcnMv&#10;ZTJvRG9jLnhtbFBLBQYAAAAABgAGAFkBAACYBQAAAAA=&#10;">
                <v:fill on="f" focussize="0,0"/>
                <v:stroke weight="1.5pt" color="#00B050" joinstyle="round"/>
                <v:imagedata o:title=""/>
                <o:lock v:ext="edit" aspectratio="f"/>
              </v:line>
            </w:pict>
          </mc:Fallback>
        </mc:AlternateContent>
      </w:r>
      <w:r>
        <w:rPr>
          <w:rFonts w:hint="eastAsia" w:ascii="宋体" w:hAnsi="宋体" w:eastAsia="宋体" w:cs="宋体"/>
          <w:color w:val="auto"/>
          <w:highlight w:val="none"/>
        </w:rPr>
        <w:pict>
          <v:shape id="Object 187" o:spid="_x0000_s2235" o:spt="75" type="#_x0000_t75" style="position:absolute;left:0pt;margin-left:541.45pt;margin-top:334.15pt;height:47.25pt;width:110.25pt;z-index:251666432;mso-width-relative:page;mso-height-relative:page;" o:ole="t" filled="f" o:preferrelative="t" stroked="f" coordsize="21600,21600">
            <v:path/>
            <v:fill on="f" focussize="0,0"/>
            <v:stroke on="f"/>
            <v:imagedata r:id="rId43" o:title=""/>
            <o:lock v:ext="edit" aspectratio="f"/>
          </v:shape>
          <o:OLEObject Type="Embed" ProgID="Visio.Drawing.15" ShapeID="Object 187" DrawAspect="Content" ObjectID="_1468075726" r:id="rId42">
            <o:LockedField>false</o:LockedField>
          </o:OLEObject>
        </w:pict>
      </w:r>
      <w:r>
        <w:rPr>
          <w:rFonts w:hint="eastAsia" w:ascii="宋体" w:hAnsi="宋体" w:eastAsia="宋体" w:cs="宋体"/>
          <w:b/>
          <w:bCs/>
          <w:color w:val="auto"/>
          <w:highlight w:val="none"/>
        </w:rPr>
        <w:drawing>
          <wp:anchor distT="0" distB="0" distL="114300" distR="114300" simplePos="0" relativeHeight="251667456" behindDoc="0" locked="0" layoutInCell="1" allowOverlap="1">
            <wp:simplePos x="0" y="0"/>
            <wp:positionH relativeFrom="column">
              <wp:posOffset>7670165</wp:posOffset>
            </wp:positionH>
            <wp:positionV relativeFrom="paragraph">
              <wp:posOffset>8255</wp:posOffset>
            </wp:positionV>
            <wp:extent cx="857250" cy="809625"/>
            <wp:effectExtent l="0" t="0" r="0" b="9525"/>
            <wp:wrapNone/>
            <wp:docPr id="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8"/>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304165</wp:posOffset>
                </wp:positionH>
                <wp:positionV relativeFrom="paragraph">
                  <wp:posOffset>3365500</wp:posOffset>
                </wp:positionV>
                <wp:extent cx="2429510" cy="1485265"/>
                <wp:effectExtent l="4445" t="4445" r="23495" b="15240"/>
                <wp:wrapNone/>
                <wp:docPr id="7" name="文本框 183"/>
                <wp:cNvGraphicFramePr/>
                <a:graphic xmlns:a="http://schemas.openxmlformats.org/drawingml/2006/main">
                  <a:graphicData uri="http://schemas.microsoft.com/office/word/2010/wordprocessingShape">
                    <wps:wsp>
                      <wps:cNvSpPr txBox="1"/>
                      <wps:spPr>
                        <a:xfrm>
                          <a:off x="0" y="0"/>
                          <a:ext cx="2429510" cy="14852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A064D3">
                            <w:pPr>
                              <w:pStyle w:val="2"/>
                              <w:rPr>
                                <w:rFonts w:hint="default"/>
                                <w:lang w:val="en-US" w:eastAsia="zh-CN"/>
                              </w:rPr>
                            </w:pPr>
                            <w:r>
                              <w:rPr>
                                <w:rFonts w:hint="eastAsia"/>
                                <w:lang w:val="en-US" w:eastAsia="zh-CN"/>
                              </w:rPr>
                              <w:t>图例</w:t>
                            </w:r>
                          </w:p>
                          <w:p w14:paraId="18046763">
                            <w:pPr>
                              <w:pStyle w:val="2"/>
                              <w:rPr>
                                <w:rFonts w:hint="eastAsia"/>
                                <w:lang w:val="en-US" w:eastAsia="zh-CN"/>
                              </w:rPr>
                            </w:pPr>
                            <w:r>
                              <w:rPr>
                                <w:rFonts w:hint="eastAsia"/>
                                <w:lang w:val="en-US" w:eastAsia="zh-CN"/>
                              </w:rPr>
                              <w:t>4a类区</w:t>
                            </w:r>
                          </w:p>
                          <w:p w14:paraId="4A4F47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Courier New" w:eastAsia="宋体" w:cs="宋体"/>
                                <w:color w:val="000000"/>
                                <w:kern w:val="0"/>
                                <w:sz w:val="24"/>
                                <w:szCs w:val="24"/>
                                <w:lang w:val="en-US" w:eastAsia="zh-CN" w:bidi="ar-SA"/>
                              </w:rPr>
                            </w:pPr>
                            <w:r>
                              <w:rPr>
                                <w:rFonts w:hint="eastAsia" w:ascii="宋体" w:hAnsi="Courier New" w:eastAsia="宋体" w:cs="宋体"/>
                                <w:color w:val="000000"/>
                                <w:kern w:val="0"/>
                                <w:sz w:val="24"/>
                                <w:szCs w:val="24"/>
                                <w:lang w:val="en-US" w:eastAsia="zh-CN" w:bidi="ar-SA"/>
                              </w:rPr>
                              <w:t>2类区</w:t>
                            </w:r>
                          </w:p>
                          <w:p w14:paraId="0257854D">
                            <w:pPr>
                              <w:pStyle w:val="30"/>
                              <w:keepNext w:val="0"/>
                              <w:keepLines w:val="0"/>
                              <w:pageBreakBefore w:val="0"/>
                              <w:widowControl w:val="0"/>
                              <w:kinsoku/>
                              <w:wordWrap/>
                              <w:overflowPunct/>
                              <w:topLinePunct w:val="0"/>
                              <w:bidi w:val="0"/>
                              <w:adjustRightInd w:val="0"/>
                              <w:snapToGrid w:val="0"/>
                              <w:spacing w:after="0" w:line="240" w:lineRule="auto"/>
                              <w:ind w:firstLine="720" w:firstLineChars="300"/>
                              <w:jc w:val="both"/>
                              <w:textAlignment w:val="auto"/>
                              <w:rPr>
                                <w:rFonts w:hint="eastAsia"/>
                                <w:lang w:val="en-US" w:eastAsia="zh-CN"/>
                              </w:rPr>
                            </w:pPr>
                            <w:r>
                              <w:rPr>
                                <w:rFonts w:hint="eastAsia"/>
                                <w:lang w:val="en-US" w:eastAsia="zh-CN"/>
                              </w:rPr>
                              <w:t>运营期噪声评价范围</w:t>
                            </w:r>
                          </w:p>
                          <w:p w14:paraId="22FBC479">
                            <w:pPr>
                              <w:pStyle w:val="31"/>
                              <w:keepNext w:val="0"/>
                              <w:keepLines w:val="0"/>
                              <w:pageBreakBefore w:val="0"/>
                              <w:widowControl w:val="0"/>
                              <w:kinsoku/>
                              <w:wordWrap/>
                              <w:overflowPunct/>
                              <w:topLinePunct w:val="0"/>
                              <w:bidi w:val="0"/>
                              <w:adjustRightInd/>
                              <w:snapToGrid/>
                              <w:spacing w:line="240" w:lineRule="auto"/>
                              <w:ind w:firstLine="720" w:firstLineChars="300"/>
                              <w:textAlignment w:val="auto"/>
                              <w:rPr>
                                <w:rFonts w:hint="default"/>
                                <w:lang w:val="en-US" w:eastAsia="zh-CN"/>
                              </w:rPr>
                            </w:pPr>
                            <w:r>
                              <w:rPr>
                                <w:rFonts w:hint="eastAsia"/>
                                <w:lang w:val="en-US" w:eastAsia="zh-CN"/>
                              </w:rPr>
                              <w:t>施工期噪声、大气评价范围</w:t>
                            </w:r>
                          </w:p>
                          <w:p w14:paraId="524118CF">
                            <w:pPr>
                              <w:pStyle w:val="31"/>
                              <w:keepNext w:val="0"/>
                              <w:keepLines w:val="0"/>
                              <w:pageBreakBefore w:val="0"/>
                              <w:widowControl w:val="0"/>
                              <w:kinsoku/>
                              <w:wordWrap/>
                              <w:overflowPunct/>
                              <w:topLinePunct w:val="0"/>
                              <w:bidi w:val="0"/>
                              <w:adjustRightInd w:val="0"/>
                              <w:snapToGrid w:val="0"/>
                              <w:spacing w:line="240" w:lineRule="auto"/>
                              <w:ind w:firstLine="720" w:firstLineChars="300"/>
                              <w:textAlignment w:val="auto"/>
                              <w:rPr>
                                <w:rFonts w:hint="eastAsia"/>
                                <w:lang w:val="en-US" w:eastAsia="zh-CN"/>
                              </w:rPr>
                            </w:pPr>
                            <w:r>
                              <w:rPr>
                                <w:rFonts w:hint="eastAsia"/>
                                <w:lang w:val="en-US" w:eastAsia="zh-CN"/>
                              </w:rPr>
                              <w:t>生态评价范围</w:t>
                            </w:r>
                          </w:p>
                          <w:p w14:paraId="56510D5A">
                            <w:pPr>
                              <w:pStyle w:val="15"/>
                              <w:keepNext w:val="0"/>
                              <w:keepLines w:val="0"/>
                              <w:pageBreakBefore w:val="0"/>
                              <w:widowControl w:val="0"/>
                              <w:kinsoku/>
                              <w:wordWrap/>
                              <w:overflowPunct/>
                              <w:topLinePunct w:val="0"/>
                              <w:bidi w:val="0"/>
                              <w:ind w:firstLine="720" w:firstLineChars="300"/>
                              <w:textAlignment w:val="auto"/>
                              <w:rPr>
                                <w:rFonts w:hint="default"/>
                                <w:lang w:val="en-US" w:eastAsia="zh-CN"/>
                              </w:rPr>
                            </w:pPr>
                            <w:r>
                              <w:rPr>
                                <w:rFonts w:hint="eastAsia"/>
                                <w:lang w:val="en-US" w:eastAsia="zh-CN"/>
                              </w:rPr>
                              <w:t>保护目标</w:t>
                            </w:r>
                          </w:p>
                        </w:txbxContent>
                      </wps:txbx>
                      <wps:bodyPr vert="horz" wrap="square" anchor="t" anchorCtr="0" upright="1"/>
                    </wps:wsp>
                  </a:graphicData>
                </a:graphic>
              </wp:anchor>
            </w:drawing>
          </mc:Choice>
          <mc:Fallback>
            <w:pict>
              <v:shape id="文本框 183" o:spid="_x0000_s1026" o:spt="202" type="#_x0000_t202" style="position:absolute;left:0pt;margin-left:23.95pt;margin-top:265pt;height:116.95pt;width:191.3pt;z-index:251665408;mso-width-relative:page;mso-height-relative:page;" fillcolor="#FFFFFF" filled="t" stroked="t" coordsize="21600,21600" o:gfxdata="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z4r7vaAAAACgEAAA8AAAAAAAAAAQAgAAAAIgAAAGRycy9kb3ducmV2LnhtbFBL&#10;AQIUABQAAAAIAIdO4kCqhDfxLQIAAGwEAAAOAAAAAAAAAAEAIAAAACkBAABkcnMvZTJvRG9jLnht&#10;bFBLBQYAAAAABgAGAFkBAADIBQAAAAA=&#10;">
                <v:fill on="t" focussize="0,0"/>
                <v:stroke color="#000000" joinstyle="miter"/>
                <v:imagedata o:title=""/>
                <o:lock v:ext="edit" aspectratio="f"/>
                <v:textbox>
                  <w:txbxContent>
                    <w:p w14:paraId="6AA064D3">
                      <w:pPr>
                        <w:pStyle w:val="2"/>
                        <w:rPr>
                          <w:rFonts w:hint="default"/>
                          <w:lang w:val="en-US" w:eastAsia="zh-CN"/>
                        </w:rPr>
                      </w:pPr>
                      <w:r>
                        <w:rPr>
                          <w:rFonts w:hint="eastAsia"/>
                          <w:lang w:val="en-US" w:eastAsia="zh-CN"/>
                        </w:rPr>
                        <w:t>图例</w:t>
                      </w:r>
                    </w:p>
                    <w:p w14:paraId="18046763">
                      <w:pPr>
                        <w:pStyle w:val="2"/>
                        <w:rPr>
                          <w:rFonts w:hint="eastAsia"/>
                          <w:lang w:val="en-US" w:eastAsia="zh-CN"/>
                        </w:rPr>
                      </w:pPr>
                      <w:r>
                        <w:rPr>
                          <w:rFonts w:hint="eastAsia"/>
                          <w:lang w:val="en-US" w:eastAsia="zh-CN"/>
                        </w:rPr>
                        <w:t>4a类区</w:t>
                      </w:r>
                    </w:p>
                    <w:p w14:paraId="4A4F47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Courier New" w:eastAsia="宋体" w:cs="宋体"/>
                          <w:color w:val="000000"/>
                          <w:kern w:val="0"/>
                          <w:sz w:val="24"/>
                          <w:szCs w:val="24"/>
                          <w:lang w:val="en-US" w:eastAsia="zh-CN" w:bidi="ar-SA"/>
                        </w:rPr>
                      </w:pPr>
                      <w:r>
                        <w:rPr>
                          <w:rFonts w:hint="eastAsia" w:ascii="宋体" w:hAnsi="Courier New" w:eastAsia="宋体" w:cs="宋体"/>
                          <w:color w:val="000000"/>
                          <w:kern w:val="0"/>
                          <w:sz w:val="24"/>
                          <w:szCs w:val="24"/>
                          <w:lang w:val="en-US" w:eastAsia="zh-CN" w:bidi="ar-SA"/>
                        </w:rPr>
                        <w:t>2类区</w:t>
                      </w:r>
                    </w:p>
                    <w:p w14:paraId="0257854D">
                      <w:pPr>
                        <w:pStyle w:val="30"/>
                        <w:keepNext w:val="0"/>
                        <w:keepLines w:val="0"/>
                        <w:pageBreakBefore w:val="0"/>
                        <w:widowControl w:val="0"/>
                        <w:kinsoku/>
                        <w:wordWrap/>
                        <w:overflowPunct/>
                        <w:topLinePunct w:val="0"/>
                        <w:bidi w:val="0"/>
                        <w:adjustRightInd w:val="0"/>
                        <w:snapToGrid w:val="0"/>
                        <w:spacing w:after="0" w:line="240" w:lineRule="auto"/>
                        <w:ind w:firstLine="720" w:firstLineChars="300"/>
                        <w:jc w:val="both"/>
                        <w:textAlignment w:val="auto"/>
                        <w:rPr>
                          <w:rFonts w:hint="eastAsia"/>
                          <w:lang w:val="en-US" w:eastAsia="zh-CN"/>
                        </w:rPr>
                      </w:pPr>
                      <w:r>
                        <w:rPr>
                          <w:rFonts w:hint="eastAsia"/>
                          <w:lang w:val="en-US" w:eastAsia="zh-CN"/>
                        </w:rPr>
                        <w:t>运营期噪声评价范围</w:t>
                      </w:r>
                    </w:p>
                    <w:p w14:paraId="22FBC479">
                      <w:pPr>
                        <w:pStyle w:val="31"/>
                        <w:keepNext w:val="0"/>
                        <w:keepLines w:val="0"/>
                        <w:pageBreakBefore w:val="0"/>
                        <w:widowControl w:val="0"/>
                        <w:kinsoku/>
                        <w:wordWrap/>
                        <w:overflowPunct/>
                        <w:topLinePunct w:val="0"/>
                        <w:bidi w:val="0"/>
                        <w:adjustRightInd/>
                        <w:snapToGrid/>
                        <w:spacing w:line="240" w:lineRule="auto"/>
                        <w:ind w:firstLine="720" w:firstLineChars="300"/>
                        <w:textAlignment w:val="auto"/>
                        <w:rPr>
                          <w:rFonts w:hint="default"/>
                          <w:lang w:val="en-US" w:eastAsia="zh-CN"/>
                        </w:rPr>
                      </w:pPr>
                      <w:r>
                        <w:rPr>
                          <w:rFonts w:hint="eastAsia"/>
                          <w:lang w:val="en-US" w:eastAsia="zh-CN"/>
                        </w:rPr>
                        <w:t>施工期噪声、大气评价范围</w:t>
                      </w:r>
                    </w:p>
                    <w:p w14:paraId="524118CF">
                      <w:pPr>
                        <w:pStyle w:val="31"/>
                        <w:keepNext w:val="0"/>
                        <w:keepLines w:val="0"/>
                        <w:pageBreakBefore w:val="0"/>
                        <w:widowControl w:val="0"/>
                        <w:kinsoku/>
                        <w:wordWrap/>
                        <w:overflowPunct/>
                        <w:topLinePunct w:val="0"/>
                        <w:bidi w:val="0"/>
                        <w:adjustRightInd w:val="0"/>
                        <w:snapToGrid w:val="0"/>
                        <w:spacing w:line="240" w:lineRule="auto"/>
                        <w:ind w:firstLine="720" w:firstLineChars="300"/>
                        <w:textAlignment w:val="auto"/>
                        <w:rPr>
                          <w:rFonts w:hint="eastAsia"/>
                          <w:lang w:val="en-US" w:eastAsia="zh-CN"/>
                        </w:rPr>
                      </w:pPr>
                      <w:r>
                        <w:rPr>
                          <w:rFonts w:hint="eastAsia"/>
                          <w:lang w:val="en-US" w:eastAsia="zh-CN"/>
                        </w:rPr>
                        <w:t>生态评价范围</w:t>
                      </w:r>
                    </w:p>
                    <w:p w14:paraId="56510D5A">
                      <w:pPr>
                        <w:pStyle w:val="15"/>
                        <w:keepNext w:val="0"/>
                        <w:keepLines w:val="0"/>
                        <w:pageBreakBefore w:val="0"/>
                        <w:widowControl w:val="0"/>
                        <w:kinsoku/>
                        <w:wordWrap/>
                        <w:overflowPunct/>
                        <w:topLinePunct w:val="0"/>
                        <w:bidi w:val="0"/>
                        <w:ind w:firstLine="720" w:firstLineChars="300"/>
                        <w:textAlignment w:val="auto"/>
                        <w:rPr>
                          <w:rFonts w:hint="default"/>
                          <w:lang w:val="en-US" w:eastAsia="zh-CN"/>
                        </w:rPr>
                      </w:pPr>
                      <w:r>
                        <w:rPr>
                          <w:rFonts w:hint="eastAsia"/>
                          <w:lang w:val="en-US" w:eastAsia="zh-CN"/>
                        </w:rPr>
                        <w:t>保护目标</w:t>
                      </w:r>
                    </w:p>
                  </w:txbxContent>
                </v:textbox>
              </v:shape>
            </w:pict>
          </mc:Fallback>
        </mc:AlternateContent>
      </w:r>
      <w:r>
        <w:drawing>
          <wp:inline distT="0" distB="0" distL="114300" distR="114300">
            <wp:extent cx="8239760" cy="4869815"/>
            <wp:effectExtent l="0" t="0" r="8890" b="6985"/>
            <wp:docPr id="9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5"/>
                    <pic:cNvPicPr>
                      <a:picLocks noChangeAspect="1"/>
                    </pic:cNvPicPr>
                  </pic:nvPicPr>
                  <pic:blipFill>
                    <a:blip r:embed="rId44"/>
                    <a:stretch>
                      <a:fillRect/>
                    </a:stretch>
                  </pic:blipFill>
                  <pic:spPr>
                    <a:xfrm>
                      <a:off x="0" y="0"/>
                      <a:ext cx="8239760" cy="4869815"/>
                    </a:xfrm>
                    <a:prstGeom prst="rect">
                      <a:avLst/>
                    </a:prstGeom>
                    <a:noFill/>
                    <a:ln>
                      <a:noFill/>
                    </a:ln>
                  </pic:spPr>
                </pic:pic>
              </a:graphicData>
            </a:graphic>
          </wp:inline>
        </w:drawing>
      </w:r>
    </w:p>
    <w:p w14:paraId="200FE20F">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left"/>
        <w:textAlignment w:val="auto"/>
        <w:outlineLvl w:val="9"/>
        <w:rPr>
          <w:rFonts w:hint="eastAsia" w:ascii="宋体" w:hAnsi="宋体" w:eastAsia="宋体" w:cs="宋体"/>
          <w:color w:val="auto"/>
          <w:highlight w:val="none"/>
          <w:lang w:val="en-US" w:eastAsia="zh-CN"/>
        </w:rPr>
        <w:sectPr>
          <w:footerReference r:id="rId12" w:type="default"/>
          <w:pgSz w:w="16838" w:h="11906" w:orient="landscape"/>
          <w:pgMar w:top="1800" w:right="1440" w:bottom="1803" w:left="1440" w:header="851" w:footer="1077" w:gutter="0"/>
          <w:pgBorders>
            <w:top w:val="none" w:sz="0" w:space="0"/>
            <w:left w:val="none" w:sz="0" w:space="0"/>
            <w:bottom w:val="none" w:sz="0" w:space="0"/>
            <w:right w:val="none" w:sz="0" w:space="0"/>
          </w:pgBorders>
          <w:cols w:space="720" w:num="1"/>
          <w:docGrid w:linePitch="312" w:charSpace="0"/>
        </w:sectPr>
      </w:pPr>
    </w:p>
    <w:p w14:paraId="73BE3CB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spacing w:val="0"/>
          <w:w w:val="100"/>
          <w:position w:val="0"/>
          <w:highlight w:val="none"/>
        </w:rPr>
      </w:pPr>
      <w:r>
        <w:rPr>
          <w:rFonts w:hint="eastAsia" w:ascii="宋体" w:hAnsi="宋体" w:eastAsia="宋体" w:cs="宋体"/>
          <w:b/>
          <w:bCs/>
          <w:color w:val="auto"/>
          <w:spacing w:val="0"/>
          <w:w w:val="100"/>
          <w:position w:val="0"/>
          <w:highlight w:val="none"/>
        </w:rPr>
        <w:t xml:space="preserve">附图 </w:t>
      </w:r>
      <w:r>
        <w:rPr>
          <w:rFonts w:hint="eastAsia" w:cs="宋体"/>
          <w:b/>
          <w:bCs/>
          <w:color w:val="auto"/>
          <w:spacing w:val="0"/>
          <w:w w:val="100"/>
          <w:position w:val="0"/>
          <w:highlight w:val="none"/>
          <w:lang w:val="en-US" w:eastAsia="zh-CN"/>
        </w:rPr>
        <w:t>8</w:t>
      </w:r>
      <w:r>
        <w:rPr>
          <w:rFonts w:hint="eastAsia" w:ascii="宋体" w:hAnsi="宋体" w:eastAsia="宋体" w:cs="宋体"/>
          <w:b/>
          <w:bCs/>
          <w:color w:val="auto"/>
          <w:spacing w:val="0"/>
          <w:w w:val="100"/>
          <w:position w:val="0"/>
          <w:highlight w:val="none"/>
        </w:rPr>
        <w:t xml:space="preserve"> 土地利用现状图</w:t>
      </w:r>
    </w:p>
    <w:p w14:paraId="2F689B8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lang w:val="en-US" w:eastAsia="zh-CN"/>
        </w:rPr>
        <w:sectPr>
          <w:pgSz w:w="23811" w:h="16838" w:orient="landscape"/>
          <w:pgMar w:top="567" w:right="1440" w:bottom="567" w:left="1440" w:header="0" w:footer="56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highlight w:val="none"/>
          <w:lang w:val="en-US" w:eastAsia="zh-CN"/>
        </w:rPr>
        <w:drawing>
          <wp:inline distT="0" distB="0" distL="114300" distR="114300">
            <wp:extent cx="13302615" cy="9413875"/>
            <wp:effectExtent l="0" t="0" r="13335" b="15875"/>
            <wp:docPr id="51" name="图片 468" descr="350d678ec392f048b7ac420d3cc37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68" descr="350d678ec392f048b7ac420d3cc37d6"/>
                    <pic:cNvPicPr>
                      <a:picLocks noChangeAspect="1"/>
                    </pic:cNvPicPr>
                  </pic:nvPicPr>
                  <pic:blipFill>
                    <a:blip r:embed="rId45"/>
                    <a:stretch>
                      <a:fillRect/>
                    </a:stretch>
                  </pic:blipFill>
                  <pic:spPr>
                    <a:xfrm>
                      <a:off x="0" y="0"/>
                      <a:ext cx="13302615" cy="9413875"/>
                    </a:xfrm>
                    <a:prstGeom prst="rect">
                      <a:avLst/>
                    </a:prstGeom>
                    <a:noFill/>
                    <a:ln>
                      <a:noFill/>
                    </a:ln>
                  </pic:spPr>
                </pic:pic>
              </a:graphicData>
            </a:graphic>
          </wp:inline>
        </w:drawing>
      </w:r>
      <w:r>
        <w:rPr>
          <w:rFonts w:hint="eastAsia" w:ascii="宋体" w:hAnsi="宋体" w:eastAsia="宋体" w:cs="宋体"/>
          <w:sz w:val="24"/>
        </w:rPr>
        <mc:AlternateContent>
          <mc:Choice Requires="wpg">
            <w:drawing>
              <wp:anchor distT="0" distB="0" distL="114300" distR="114300" simplePos="0" relativeHeight="251700224" behindDoc="0" locked="0" layoutInCell="1" allowOverlap="1">
                <wp:simplePos x="0" y="0"/>
                <wp:positionH relativeFrom="column">
                  <wp:posOffset>79375</wp:posOffset>
                </wp:positionH>
                <wp:positionV relativeFrom="paragraph">
                  <wp:posOffset>6718300</wp:posOffset>
                </wp:positionV>
                <wp:extent cx="231140" cy="2261235"/>
                <wp:effectExtent l="0" t="0" r="16510" b="5715"/>
                <wp:wrapNone/>
                <wp:docPr id="138" name="组合 138"/>
                <wp:cNvGraphicFramePr/>
                <a:graphic xmlns:a="http://schemas.openxmlformats.org/drawingml/2006/main">
                  <a:graphicData uri="http://schemas.microsoft.com/office/word/2010/wordprocessingGroup">
                    <wpg:wgp>
                      <wpg:cNvGrpSpPr/>
                      <wpg:grpSpPr>
                        <a:xfrm>
                          <a:off x="0" y="0"/>
                          <a:ext cx="231140" cy="2261235"/>
                          <a:chOff x="1828" y="907808"/>
                          <a:chExt cx="364" cy="3561"/>
                        </a:xfrm>
                      </wpg:grpSpPr>
                      <wps:wsp>
                        <wps:cNvPr id="126" name="矩形 126"/>
                        <wps:cNvSpPr/>
                        <wps:spPr>
                          <a:xfrm>
                            <a:off x="1848" y="907808"/>
                            <a:ext cx="345" cy="165"/>
                          </a:xfrm>
                          <a:prstGeom prst="rect">
                            <a:avLst/>
                          </a:prstGeom>
                          <a:solidFill>
                            <a:srgbClr val="31AC69"/>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7" name="矩形 127"/>
                        <wps:cNvSpPr/>
                        <wps:spPr>
                          <a:xfrm>
                            <a:off x="1848" y="908111"/>
                            <a:ext cx="345" cy="165"/>
                          </a:xfrm>
                          <a:prstGeom prst="rect">
                            <a:avLst/>
                          </a:prstGeom>
                          <a:solidFill>
                            <a:srgbClr val="FFFBB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8" name="矩形 128"/>
                        <wps:cNvSpPr/>
                        <wps:spPr>
                          <a:xfrm>
                            <a:off x="1848" y="908404"/>
                            <a:ext cx="345" cy="165"/>
                          </a:xfrm>
                          <a:prstGeom prst="rect">
                            <a:avLst/>
                          </a:prstGeom>
                          <a:solidFill>
                            <a:srgbClr val="97CFB2"/>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矩形 129"/>
                        <wps:cNvSpPr/>
                        <wps:spPr>
                          <a:xfrm>
                            <a:off x="1843" y="908719"/>
                            <a:ext cx="345" cy="165"/>
                          </a:xfrm>
                          <a:prstGeom prst="rect">
                            <a:avLst/>
                          </a:prstGeom>
                          <a:solidFill>
                            <a:srgbClr val="E56866"/>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 name="矩形 130"/>
                        <wps:cNvSpPr/>
                        <wps:spPr>
                          <a:xfrm>
                            <a:off x="1837" y="909066"/>
                            <a:ext cx="345" cy="165"/>
                          </a:xfrm>
                          <a:prstGeom prst="rect">
                            <a:avLst/>
                          </a:prstGeom>
                          <a:solidFill>
                            <a:srgbClr val="D6A7C9"/>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1" name="矩形 131"/>
                        <wps:cNvSpPr/>
                        <wps:spPr>
                          <a:xfrm>
                            <a:off x="1845" y="909355"/>
                            <a:ext cx="345" cy="165"/>
                          </a:xfrm>
                          <a:prstGeom prst="rect">
                            <a:avLst/>
                          </a:prstGeom>
                          <a:solidFill>
                            <a:srgbClr val="90AACF"/>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2" name="矩形 132"/>
                        <wps:cNvSpPr/>
                        <wps:spPr>
                          <a:xfrm>
                            <a:off x="1840" y="909661"/>
                            <a:ext cx="345" cy="165"/>
                          </a:xfrm>
                          <a:prstGeom prst="rect">
                            <a:avLst/>
                          </a:prstGeom>
                          <a:solidFill>
                            <a:srgbClr val="C0C0C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3" name="矩形 133"/>
                        <wps:cNvSpPr/>
                        <wps:spPr>
                          <a:xfrm>
                            <a:off x="1848" y="909976"/>
                            <a:ext cx="345" cy="165"/>
                          </a:xfrm>
                          <a:prstGeom prst="rect">
                            <a:avLst/>
                          </a:prstGeom>
                          <a:solidFill>
                            <a:srgbClr val="D1D7C9"/>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4" name="矩形 134"/>
                        <wps:cNvSpPr/>
                        <wps:spPr>
                          <a:xfrm>
                            <a:off x="1833" y="910317"/>
                            <a:ext cx="345" cy="165"/>
                          </a:xfrm>
                          <a:prstGeom prst="rect">
                            <a:avLst/>
                          </a:prstGeom>
                          <a:solidFill>
                            <a:srgbClr val="E1A195"/>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5" name="矩形 135"/>
                        <wps:cNvSpPr/>
                        <wps:spPr>
                          <a:xfrm>
                            <a:off x="1835" y="910628"/>
                            <a:ext cx="345" cy="165"/>
                          </a:xfrm>
                          <a:prstGeom prst="rect">
                            <a:avLst/>
                          </a:prstGeom>
                          <a:solidFill>
                            <a:srgbClr val="C5998C"/>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6" name="矩形 136"/>
                        <wps:cNvSpPr/>
                        <wps:spPr>
                          <a:xfrm>
                            <a:off x="1828" y="910919"/>
                            <a:ext cx="345" cy="165"/>
                          </a:xfrm>
                          <a:prstGeom prst="rect">
                            <a:avLst/>
                          </a:prstGeom>
                          <a:solidFill>
                            <a:srgbClr val="C8E3A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7" name="矩形 137"/>
                        <wps:cNvSpPr/>
                        <wps:spPr>
                          <a:xfrm>
                            <a:off x="1839" y="911205"/>
                            <a:ext cx="345" cy="165"/>
                          </a:xfrm>
                          <a:prstGeom prst="rect">
                            <a:avLst/>
                          </a:prstGeom>
                          <a:solidFill>
                            <a:srgbClr val="C8E3A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6.25pt;margin-top:529pt;height:178.05pt;width:18.2pt;z-index:251700224;mso-width-relative:page;mso-height-relative:page;" coordorigin="1828,907808" coordsize="364,3561" o:gfxdata="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">
                <o:lock v:ext="edit" aspectratio="f"/>
                <v:rect id="_x0000_s1026" o:spid="_x0000_s1026" o:spt="1" style="position:absolute;left:1848;top:907808;height:165;width:345;v-text-anchor:middle;" fillcolor="#31AC69" filled="t" stroked="f" coordsize="21600,21600" o:gfxdata="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mVSr4A&#10;AADcAAAADwAAAAAAAAABACAAAAAiAAAAZHJzL2Rvd25yZXYueG1sUEsBAhQAFAAAAAgAh07iQDMv&#10;BZ47AAAAOQAAABAAAAAAAAAAAQAgAAAADQEAAGRycy9zaGFwZXhtbC54bWxQSwUGAAAAAAYABgBb&#10;AQAAtwMAAAAA&#10;">
                  <v:fill on="t" focussize="0,0"/>
                  <v:stroke on="f" weight="2pt"/>
                  <v:imagedata o:title=""/>
                  <o:lock v:ext="edit" aspectratio="f"/>
                </v:rect>
                <v:rect id="_x0000_s1026" o:spid="_x0000_s1026" o:spt="1" style="position:absolute;left:1848;top:908111;height:165;width:345;v-text-anchor:middle;" fillcolor="#FFFBB1" filled="t" stroked="f" coordsize="21600,21600" o:gfxdata="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vhg6bsAAADc&#10;AAAADwAAAAAAAAABACAAAAAiAAAAZHJzL2Rvd25yZXYueG1sUEsBAhQAFAAAAAgAh07iQDMvBZ47&#10;AAAAOQAAABAAAAAAAAAAAQAgAAAACgEAAGRycy9zaGFwZXhtbC54bWxQSwUGAAAAAAYABgBbAQAA&#10;tAMAAAAA&#10;">
                  <v:fill on="t" focussize="0,0"/>
                  <v:stroke on="f" weight="2pt"/>
                  <v:imagedata o:title=""/>
                  <o:lock v:ext="edit" aspectratio="f"/>
                </v:rect>
                <v:rect id="_x0000_s1026" o:spid="_x0000_s1026" o:spt="1" style="position:absolute;left:1848;top:908404;height:165;width:345;v-text-anchor:middle;" fillcolor="#97CFB2" filled="t" stroked="f" coordsize="21600,21600" o:gfxdata="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MJTs74A&#10;AADcAAAADwAAAAAAAAABACAAAAAiAAAAZHJzL2Rvd25yZXYueG1sUEsBAhQAFAAAAAgAh07iQDMv&#10;BZ47AAAAOQAAABAAAAAAAAAAAQAgAAAADQEAAGRycy9zaGFwZXhtbC54bWxQSwUGAAAAAAYABgBb&#10;AQAAtwMAAAAA&#10;">
                  <v:fill on="t" focussize="0,0"/>
                  <v:stroke on="f" weight="2pt"/>
                  <v:imagedata o:title=""/>
                  <o:lock v:ext="edit" aspectratio="f"/>
                </v:rect>
                <v:rect id="_x0000_s1026" o:spid="_x0000_s1026" o:spt="1" style="position:absolute;left:1843;top:908719;height:165;width:345;v-text-anchor:middle;" fillcolor="#E56866" filled="t" stroked="f" coordsize="21600,21600" o:gfxdata="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6o1PK5AAAA3AAA&#10;AA8AAAAAAAAAAQAgAAAAIgAAAGRycy9kb3ducmV2LnhtbFBLAQIUABQAAAAIAIdO4kAzLwWeOwAA&#10;ADkAAAAQAAAAAAAAAAEAIAAAAAgBAABkcnMvc2hhcGV4bWwueG1sUEsFBgAAAAAGAAYAWwEAALID&#10;AAAAAA==&#10;">
                  <v:fill on="t" focussize="0,0"/>
                  <v:stroke on="f" weight="2pt"/>
                  <v:imagedata o:title=""/>
                  <o:lock v:ext="edit" aspectratio="f"/>
                </v:rect>
                <v:rect id="_x0000_s1026" o:spid="_x0000_s1026" o:spt="1" style="position:absolute;left:1837;top:909066;height:165;width:345;v-text-anchor:middle;" fillcolor="#D6A7C9" filled="t" stroked="f" coordsize="21600,21600" o:gfxdata="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qH4HvQAA&#10;ANwAAAAPAAAAAAAAAAEAIAAAACIAAABkcnMvZG93bnJldi54bWxQSwECFAAUAAAACACHTuJAMy8F&#10;njsAAAA5AAAAEAAAAAAAAAABACAAAAAMAQAAZHJzL3NoYXBleG1sLnhtbFBLBQYAAAAABgAGAFsB&#10;AAC2AwAAAAA=&#10;">
                  <v:fill on="t" focussize="0,0"/>
                  <v:stroke on="f" weight="2pt"/>
                  <v:imagedata o:title=""/>
                  <o:lock v:ext="edit" aspectratio="f"/>
                </v:rect>
                <v:rect id="_x0000_s1026" o:spid="_x0000_s1026" o:spt="1" style="position:absolute;left:1845;top:909355;height:165;width:345;v-text-anchor:middle;" fillcolor="#90AACF" filled="t" stroked="f" coordsize="21600,21600" o:gfxdata="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R+nK/&#10;AAAA3AAAAA8AAAAAAAAAAQAgAAAAIgAAAGRycy9kb3ducmV2LnhtbFBLAQIUABQAAAAIAIdO4kAz&#10;LwWeOwAAADkAAAAQAAAAAAAAAAEAIAAAAA4BAABkcnMvc2hhcGV4bWwueG1sUEsFBgAAAAAGAAYA&#10;WwEAALgDAAAAAA==&#10;">
                  <v:fill on="t" focussize="0,0"/>
                  <v:stroke on="f" weight="2pt"/>
                  <v:imagedata o:title=""/>
                  <o:lock v:ext="edit" aspectratio="f"/>
                </v:rect>
                <v:rect id="_x0000_s1026" o:spid="_x0000_s1026" o:spt="1" style="position:absolute;left:1840;top:909661;height:165;width:345;v-text-anchor:middle;" fillcolor="#C0C0C0" filled="t" stroked="f" coordsize="21600,21600" o:gfxdata="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1LKCb4A&#10;AADcAAAADwAAAAAAAAABACAAAAAiAAAAZHJzL2Rvd25yZXYueG1sUEsBAhQAFAAAAAgAh07iQDMv&#10;BZ47AAAAOQAAABAAAAAAAAAAAQAgAAAADQEAAGRycy9zaGFwZXhtbC54bWxQSwUGAAAAAAYABgBb&#10;AQAAtwMAAAAA&#10;">
                  <v:fill on="t" focussize="0,0"/>
                  <v:stroke on="f" weight="2pt"/>
                  <v:imagedata o:title=""/>
                  <o:lock v:ext="edit" aspectratio="f"/>
                </v:rect>
                <v:rect id="_x0000_s1026" o:spid="_x0000_s1026" o:spt="1" style="position:absolute;left:1848;top:909976;height:165;width:345;v-text-anchor:middle;" fillcolor="#D1D7C9" filled="t" stroked="f" coordsize="21600,21600" o:gfxdata="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xbq9LsAAADc&#10;AAAADwAAAAAAAAABACAAAAAiAAAAZHJzL2Rvd25yZXYueG1sUEsBAhQAFAAAAAgAh07iQDMvBZ47&#10;AAAAOQAAABAAAAAAAAAAAQAgAAAACgEAAGRycy9zaGFwZXhtbC54bWxQSwUGAAAAAAYABgBbAQAA&#10;tAMAAAAA&#10;">
                  <v:fill on="t" focussize="0,0"/>
                  <v:stroke on="f" weight="2pt"/>
                  <v:imagedata o:title=""/>
                  <o:lock v:ext="edit" aspectratio="f"/>
                </v:rect>
                <v:rect id="_x0000_s1026" o:spid="_x0000_s1026" o:spt="1" style="position:absolute;left:1833;top:910317;height:165;width:345;v-text-anchor:middle;" fillcolor="#E1A195" filled="t" stroked="f" coordsize="21600,21600" o:gfxdata="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Qki8AAAA&#10;3AAAAA8AAAAAAAAAAQAgAAAAIgAAAGRycy9kb3ducmV2LnhtbFBLAQIUABQAAAAIAIdO4kAzLwWe&#10;OwAAADkAAAAQAAAAAAAAAAEAIAAAAAsBAABkcnMvc2hhcGV4bWwueG1sUEsFBgAAAAAGAAYAWwEA&#10;ALUDAAAAAA==&#10;">
                  <v:fill on="t" focussize="0,0"/>
                  <v:stroke on="f" weight="2pt"/>
                  <v:imagedata o:title=""/>
                  <o:lock v:ext="edit" aspectratio="f"/>
                </v:rect>
                <v:rect id="_x0000_s1026" o:spid="_x0000_s1026" o:spt="1" style="position:absolute;left:1835;top:910628;height:165;width:345;v-text-anchor:middle;" fillcolor="#C5998C" filled="t" stroked="f" coordsize="21600,21600" o:gfxdata="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u3wA74A&#10;AADcAAAADwAAAAAAAAABACAAAAAiAAAAZHJzL2Rvd25yZXYueG1sUEsBAhQAFAAAAAgAh07iQDMv&#10;BZ47AAAAOQAAABAAAAAAAAAAAQAgAAAADQEAAGRycy9zaGFwZXhtbC54bWxQSwUGAAAAAAYABgBb&#10;AQAAtwMAAAAA&#10;">
                  <v:fill on="t" focussize="0,0"/>
                  <v:stroke on="f" weight="2pt"/>
                  <v:imagedata o:title=""/>
                  <o:lock v:ext="edit" aspectratio="f"/>
                </v:rect>
                <v:rect id="_x0000_s1026" o:spid="_x0000_s1026" o:spt="1" style="position:absolute;left:1828;top:910919;height:165;width:345;v-text-anchor:middle;" fillcolor="#C8E3A0" filled="t" stroked="f" coordsize="21600,21600" o:gfxdata="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7dnOvQAA&#10;ANwAAAAPAAAAAAAAAAEAIAAAACIAAABkcnMvZG93bnJldi54bWxQSwECFAAUAAAACACHTuJAMy8F&#10;njsAAAA5AAAAEAAAAAAAAAABACAAAAAMAQAAZHJzL3NoYXBleG1sLnhtbFBLBQYAAAAABgAGAFsB&#10;AAC2AwAAAAA=&#10;">
                  <v:fill on="t" focussize="0,0"/>
                  <v:stroke on="f" weight="2pt"/>
                  <v:imagedata o:title=""/>
                  <o:lock v:ext="edit" aspectratio="f"/>
                </v:rect>
                <v:rect id="_x0000_s1026" o:spid="_x0000_s1026" o:spt="1" style="position:absolute;left:1839;top:911205;height:165;width:345;v-text-anchor:middle;" fillcolor="#C8E3A0" filled="t" stroked="f" coordsize="21600,21600" o:gfxdata="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hfFW8AAAA&#10;3AAAAA8AAAAAAAAAAQAgAAAAIgAAAGRycy9kb3ducmV2LnhtbFBLAQIUABQAAAAIAIdO4kAzLwWe&#10;OwAAADkAAAAQAAAAAAAAAAEAIAAAAAsBAABkcnMvc2hhcGV4bWwueG1sUEsFBgAAAAAGAAYAWwEA&#10;ALUDAAAAAA==&#10;">
                  <v:fill on="t" focussize="0,0"/>
                  <v:stroke on="f" weight="2pt"/>
                  <v:imagedata o:title=""/>
                  <o:lock v:ext="edit" aspectratio="f"/>
                </v:rect>
              </v:group>
            </w:pict>
          </mc:Fallback>
        </mc:AlternateContent>
      </w:r>
      <w:r>
        <w:rPr>
          <w:rFonts w:hint="eastAsia" w:ascii="宋体" w:hAnsi="宋体" w:eastAsia="宋体" w:cs="宋体"/>
          <w:sz w:val="24"/>
        </w:rPr>
        <mc:AlternateContent>
          <mc:Choice Requires="wps">
            <w:drawing>
              <wp:anchor distT="0" distB="0" distL="114300" distR="114300" simplePos="0" relativeHeight="251697152" behindDoc="0" locked="0" layoutInCell="1" allowOverlap="1">
                <wp:simplePos x="0" y="0"/>
                <wp:positionH relativeFrom="column">
                  <wp:posOffset>59690</wp:posOffset>
                </wp:positionH>
                <wp:positionV relativeFrom="paragraph">
                  <wp:posOffset>6421755</wp:posOffset>
                </wp:positionV>
                <wp:extent cx="1304290" cy="2644775"/>
                <wp:effectExtent l="4445" t="4445" r="5715" b="17780"/>
                <wp:wrapNone/>
                <wp:docPr id="125" name="文本框 125"/>
                <wp:cNvGraphicFramePr/>
                <a:graphic xmlns:a="http://schemas.openxmlformats.org/drawingml/2006/main">
                  <a:graphicData uri="http://schemas.microsoft.com/office/word/2010/wordprocessingShape">
                    <wps:wsp>
                      <wps:cNvSpPr txBox="1"/>
                      <wps:spPr>
                        <a:xfrm>
                          <a:off x="974090" y="6414135"/>
                          <a:ext cx="1304290" cy="2644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90D979">
                            <w:pPr>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hint="default"/>
                                <w:lang w:val="en-US" w:eastAsia="zh-CN"/>
                              </w:rPr>
                            </w:pPr>
                            <w:r>
                              <w:rPr>
                                <w:rFonts w:hint="eastAsia"/>
                                <w:lang w:val="en-US" w:eastAsia="zh-CN"/>
                              </w:rPr>
                              <w:t>图例</w:t>
                            </w:r>
                          </w:p>
                          <w:p w14:paraId="6FFA6DA3">
                            <w:pPr>
                              <w:keepNext w:val="0"/>
                              <w:keepLines w:val="0"/>
                              <w:pageBreakBefore w:val="0"/>
                              <w:widowControl w:val="0"/>
                              <w:kinsoku/>
                              <w:wordWrap/>
                              <w:overflowPunct/>
                              <w:topLinePunct w:val="0"/>
                              <w:bidi w:val="0"/>
                              <w:adjustRightInd/>
                              <w:snapToGrid/>
                              <w:spacing w:line="240" w:lineRule="auto"/>
                              <w:ind w:left="0" w:leftChars="0" w:right="0" w:firstLine="240" w:firstLineChars="100"/>
                              <w:textAlignment w:val="auto"/>
                              <w:rPr>
                                <w:rFonts w:hint="eastAsia"/>
                                <w:lang w:val="en-US" w:eastAsia="zh-CN"/>
                              </w:rPr>
                            </w:pPr>
                            <w:r>
                              <w:rPr>
                                <w:rFonts w:hint="eastAsia"/>
                                <w:lang w:val="en-US" w:eastAsia="zh-CN"/>
                              </w:rPr>
                              <w:t>乔木林地</w:t>
                            </w:r>
                          </w:p>
                          <w:p w14:paraId="62519691">
                            <w:pPr>
                              <w:pStyle w:val="14"/>
                              <w:keepNext w:val="0"/>
                              <w:keepLines w:val="0"/>
                              <w:pageBreakBefore w:val="0"/>
                              <w:kinsoku/>
                              <w:wordWrap/>
                              <w:overflowPunct/>
                              <w:topLinePunct w:val="0"/>
                              <w:bidi w:val="0"/>
                              <w:adjustRightInd/>
                              <w:spacing w:before="0" w:after="0" w:line="240" w:lineRule="auto"/>
                              <w:ind w:right="0" w:firstLine="240" w:firstLineChars="100"/>
                              <w:textAlignment w:val="auto"/>
                              <w:rPr>
                                <w:rFonts w:hint="eastAsia"/>
                                <w:sz w:val="24"/>
                                <w:szCs w:val="24"/>
                                <w:lang w:val="en-US" w:eastAsia="zh-CN"/>
                              </w:rPr>
                            </w:pPr>
                            <w:r>
                              <w:rPr>
                                <w:rFonts w:hint="eastAsia"/>
                                <w:sz w:val="24"/>
                                <w:szCs w:val="24"/>
                                <w:lang w:val="en-US" w:eastAsia="zh-CN"/>
                              </w:rPr>
                              <w:t>旱地</w:t>
                            </w:r>
                          </w:p>
                          <w:p w14:paraId="1F1F4263">
                            <w:pPr>
                              <w:pStyle w:val="15"/>
                              <w:keepNext w:val="0"/>
                              <w:keepLines w:val="0"/>
                              <w:pageBreakBefore w:val="0"/>
                              <w:kinsoku/>
                              <w:wordWrap/>
                              <w:overflowPunct/>
                              <w:topLinePunct w:val="0"/>
                              <w:bidi w:val="0"/>
                              <w:spacing w:line="240" w:lineRule="auto"/>
                              <w:ind w:firstLine="240" w:firstLineChars="100"/>
                              <w:textAlignment w:val="auto"/>
                              <w:rPr>
                                <w:rFonts w:hint="eastAsia"/>
                                <w:lang w:val="en-US" w:eastAsia="zh-CN"/>
                              </w:rPr>
                            </w:pPr>
                            <w:r>
                              <w:rPr>
                                <w:rFonts w:hint="eastAsia"/>
                                <w:lang w:val="en-US" w:eastAsia="zh-CN"/>
                              </w:rPr>
                              <w:t>其他林地</w:t>
                            </w:r>
                          </w:p>
                          <w:p w14:paraId="14647018">
                            <w:pPr>
                              <w:keepNext w:val="0"/>
                              <w:keepLines w:val="0"/>
                              <w:pageBreakBefore w:val="0"/>
                              <w:kinsoku/>
                              <w:wordWrap/>
                              <w:overflowPunct/>
                              <w:topLinePunct w:val="0"/>
                              <w:bidi w:val="0"/>
                              <w:spacing w:line="240" w:lineRule="auto"/>
                              <w:ind w:firstLine="240" w:firstLineChars="100"/>
                              <w:textAlignment w:val="auto"/>
                              <w:rPr>
                                <w:rFonts w:hint="eastAsia"/>
                                <w:lang w:val="en-US" w:eastAsia="zh-CN"/>
                              </w:rPr>
                            </w:pPr>
                            <w:r>
                              <w:rPr>
                                <w:rFonts w:hint="eastAsia"/>
                                <w:lang w:val="en-US" w:eastAsia="zh-CN"/>
                              </w:rPr>
                              <w:t>住宅用地</w:t>
                            </w:r>
                          </w:p>
                          <w:p w14:paraId="49AF0548">
                            <w:pPr>
                              <w:pStyle w:val="14"/>
                              <w:keepNext w:val="0"/>
                              <w:keepLines w:val="0"/>
                              <w:pageBreakBefore w:val="0"/>
                              <w:widowControl/>
                              <w:kinsoku/>
                              <w:wordWrap/>
                              <w:overflowPunct/>
                              <w:topLinePunct w:val="0"/>
                              <w:bidi w:val="0"/>
                              <w:adjustRightInd w:val="0"/>
                              <w:snapToGrid w:val="0"/>
                              <w:spacing w:before="0" w:after="0" w:line="240" w:lineRule="auto"/>
                              <w:ind w:right="0" w:firstLine="240" w:firstLineChars="100"/>
                              <w:textAlignment w:val="auto"/>
                              <w:rPr>
                                <w:rFonts w:hint="eastAsia"/>
                                <w:sz w:val="24"/>
                                <w:szCs w:val="28"/>
                                <w:lang w:val="en-US" w:eastAsia="zh-CN"/>
                              </w:rPr>
                            </w:pPr>
                            <w:r>
                              <w:rPr>
                                <w:rFonts w:hint="eastAsia"/>
                                <w:sz w:val="24"/>
                                <w:szCs w:val="28"/>
                                <w:lang w:val="en-US" w:eastAsia="zh-CN"/>
                              </w:rPr>
                              <w:t>果园</w:t>
                            </w:r>
                          </w:p>
                          <w:p w14:paraId="05A94DD0">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养殖坑塘</w:t>
                            </w:r>
                          </w:p>
                          <w:p w14:paraId="13DFE31C">
                            <w:pPr>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农村道路</w:t>
                            </w:r>
                          </w:p>
                          <w:p w14:paraId="6F5B4D87">
                            <w:pPr>
                              <w:pStyle w:val="14"/>
                              <w:keepNext w:val="0"/>
                              <w:keepLines w:val="0"/>
                              <w:pageBreakBefore w:val="0"/>
                              <w:widowControl/>
                              <w:kinsoku/>
                              <w:wordWrap/>
                              <w:overflowPunct/>
                              <w:topLinePunct w:val="0"/>
                              <w:bidi w:val="0"/>
                              <w:adjustRightInd/>
                              <w:snapToGrid w:val="0"/>
                              <w:spacing w:before="0" w:after="0" w:line="240" w:lineRule="auto"/>
                              <w:ind w:right="0" w:firstLine="240" w:firstLineChars="100"/>
                              <w:textAlignment w:val="auto"/>
                              <w:rPr>
                                <w:rFonts w:hint="eastAsia"/>
                                <w:sz w:val="24"/>
                                <w:szCs w:val="28"/>
                                <w:lang w:val="en-US" w:eastAsia="zh-CN"/>
                              </w:rPr>
                            </w:pPr>
                            <w:r>
                              <w:rPr>
                                <w:rFonts w:hint="eastAsia"/>
                                <w:sz w:val="24"/>
                                <w:szCs w:val="28"/>
                                <w:lang w:val="en-US" w:eastAsia="zh-CN"/>
                              </w:rPr>
                              <w:t>公路用地</w:t>
                            </w:r>
                          </w:p>
                          <w:p w14:paraId="0645DA13">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物流仓储用地</w:t>
                            </w:r>
                          </w:p>
                          <w:p w14:paraId="2F1CC517">
                            <w:pPr>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采矿用地</w:t>
                            </w:r>
                          </w:p>
                          <w:p w14:paraId="74765483">
                            <w:pPr>
                              <w:pStyle w:val="14"/>
                              <w:keepNext w:val="0"/>
                              <w:keepLines w:val="0"/>
                              <w:pageBreakBefore w:val="0"/>
                              <w:widowControl/>
                              <w:kinsoku/>
                              <w:wordWrap/>
                              <w:overflowPunct/>
                              <w:topLinePunct w:val="0"/>
                              <w:bidi w:val="0"/>
                              <w:adjustRightInd/>
                              <w:snapToGrid w:val="0"/>
                              <w:spacing w:before="0" w:after="0" w:line="240" w:lineRule="auto"/>
                              <w:ind w:right="0" w:firstLine="240" w:firstLineChars="100"/>
                              <w:textAlignment w:val="auto"/>
                              <w:rPr>
                                <w:rFonts w:hint="eastAsia"/>
                                <w:sz w:val="24"/>
                                <w:szCs w:val="24"/>
                                <w:lang w:val="en-US" w:eastAsia="zh-CN"/>
                              </w:rPr>
                            </w:pPr>
                            <w:r>
                              <w:rPr>
                                <w:rFonts w:hint="eastAsia"/>
                                <w:sz w:val="24"/>
                                <w:szCs w:val="24"/>
                                <w:lang w:val="en-US" w:eastAsia="zh-CN"/>
                              </w:rPr>
                              <w:t>其他草地</w:t>
                            </w:r>
                          </w:p>
                          <w:p w14:paraId="309A370D">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default"/>
                                <w:lang w:val="en-US" w:eastAsia="zh-CN"/>
                              </w:rPr>
                            </w:pPr>
                            <w:r>
                              <w:rPr>
                                <w:rFonts w:hint="eastAsia"/>
                                <w:sz w:val="24"/>
                                <w:szCs w:val="24"/>
                                <w:lang w:val="en-US" w:eastAsia="zh-CN"/>
                              </w:rPr>
                              <w:t>灌木林地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505.65pt;height:208.25pt;width:102.7pt;z-index:251697152;mso-width-relative:page;mso-height-relative:page;" fillcolor="#FFFFFF [3201]" filled="t" stroked="t" coordsize="21600,21600" o:gfxdata="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JZWHDWAAAACwEAAA8AAAAAAAAAAQAgAAAAIgAAAGRycy9kb3ducmV2LnhtbFBLAQIU&#10;ABQAAAAIAIdO4kBCU2FRZwIAAMcEAAAOAAAAAAAAAAEAIAAAACUBAABkcnMvZTJvRG9jLnhtbFBL&#10;BQYAAAAABgAGAFkBAAD+BQAAAAA=&#10;">
                <v:fill on="t" focussize="0,0"/>
                <v:stroke weight="0.5pt" color="#000000 [3204]" joinstyle="round"/>
                <v:imagedata o:title=""/>
                <o:lock v:ext="edit" aspectratio="f"/>
                <v:textbox>
                  <w:txbxContent>
                    <w:p w14:paraId="3390D979">
                      <w:pPr>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hint="default"/>
                          <w:lang w:val="en-US" w:eastAsia="zh-CN"/>
                        </w:rPr>
                      </w:pPr>
                      <w:r>
                        <w:rPr>
                          <w:rFonts w:hint="eastAsia"/>
                          <w:lang w:val="en-US" w:eastAsia="zh-CN"/>
                        </w:rPr>
                        <w:t>图例</w:t>
                      </w:r>
                    </w:p>
                    <w:p w14:paraId="6FFA6DA3">
                      <w:pPr>
                        <w:keepNext w:val="0"/>
                        <w:keepLines w:val="0"/>
                        <w:pageBreakBefore w:val="0"/>
                        <w:widowControl w:val="0"/>
                        <w:kinsoku/>
                        <w:wordWrap/>
                        <w:overflowPunct/>
                        <w:topLinePunct w:val="0"/>
                        <w:bidi w:val="0"/>
                        <w:adjustRightInd/>
                        <w:snapToGrid/>
                        <w:spacing w:line="240" w:lineRule="auto"/>
                        <w:ind w:left="0" w:leftChars="0" w:right="0" w:firstLine="240" w:firstLineChars="100"/>
                        <w:textAlignment w:val="auto"/>
                        <w:rPr>
                          <w:rFonts w:hint="eastAsia"/>
                          <w:lang w:val="en-US" w:eastAsia="zh-CN"/>
                        </w:rPr>
                      </w:pPr>
                      <w:r>
                        <w:rPr>
                          <w:rFonts w:hint="eastAsia"/>
                          <w:lang w:val="en-US" w:eastAsia="zh-CN"/>
                        </w:rPr>
                        <w:t>乔木林地</w:t>
                      </w:r>
                    </w:p>
                    <w:p w14:paraId="62519691">
                      <w:pPr>
                        <w:pStyle w:val="14"/>
                        <w:keepNext w:val="0"/>
                        <w:keepLines w:val="0"/>
                        <w:pageBreakBefore w:val="0"/>
                        <w:kinsoku/>
                        <w:wordWrap/>
                        <w:overflowPunct/>
                        <w:topLinePunct w:val="0"/>
                        <w:bidi w:val="0"/>
                        <w:adjustRightInd/>
                        <w:spacing w:before="0" w:after="0" w:line="240" w:lineRule="auto"/>
                        <w:ind w:right="0" w:firstLine="240" w:firstLineChars="100"/>
                        <w:textAlignment w:val="auto"/>
                        <w:rPr>
                          <w:rFonts w:hint="eastAsia"/>
                          <w:sz w:val="24"/>
                          <w:szCs w:val="24"/>
                          <w:lang w:val="en-US" w:eastAsia="zh-CN"/>
                        </w:rPr>
                      </w:pPr>
                      <w:r>
                        <w:rPr>
                          <w:rFonts w:hint="eastAsia"/>
                          <w:sz w:val="24"/>
                          <w:szCs w:val="24"/>
                          <w:lang w:val="en-US" w:eastAsia="zh-CN"/>
                        </w:rPr>
                        <w:t>旱地</w:t>
                      </w:r>
                    </w:p>
                    <w:p w14:paraId="1F1F4263">
                      <w:pPr>
                        <w:pStyle w:val="15"/>
                        <w:keepNext w:val="0"/>
                        <w:keepLines w:val="0"/>
                        <w:pageBreakBefore w:val="0"/>
                        <w:kinsoku/>
                        <w:wordWrap/>
                        <w:overflowPunct/>
                        <w:topLinePunct w:val="0"/>
                        <w:bidi w:val="0"/>
                        <w:spacing w:line="240" w:lineRule="auto"/>
                        <w:ind w:firstLine="240" w:firstLineChars="100"/>
                        <w:textAlignment w:val="auto"/>
                        <w:rPr>
                          <w:rFonts w:hint="eastAsia"/>
                          <w:lang w:val="en-US" w:eastAsia="zh-CN"/>
                        </w:rPr>
                      </w:pPr>
                      <w:r>
                        <w:rPr>
                          <w:rFonts w:hint="eastAsia"/>
                          <w:lang w:val="en-US" w:eastAsia="zh-CN"/>
                        </w:rPr>
                        <w:t>其他林地</w:t>
                      </w:r>
                    </w:p>
                    <w:p w14:paraId="14647018">
                      <w:pPr>
                        <w:keepNext w:val="0"/>
                        <w:keepLines w:val="0"/>
                        <w:pageBreakBefore w:val="0"/>
                        <w:kinsoku/>
                        <w:wordWrap/>
                        <w:overflowPunct/>
                        <w:topLinePunct w:val="0"/>
                        <w:bidi w:val="0"/>
                        <w:spacing w:line="240" w:lineRule="auto"/>
                        <w:ind w:firstLine="240" w:firstLineChars="100"/>
                        <w:textAlignment w:val="auto"/>
                        <w:rPr>
                          <w:rFonts w:hint="eastAsia"/>
                          <w:lang w:val="en-US" w:eastAsia="zh-CN"/>
                        </w:rPr>
                      </w:pPr>
                      <w:r>
                        <w:rPr>
                          <w:rFonts w:hint="eastAsia"/>
                          <w:lang w:val="en-US" w:eastAsia="zh-CN"/>
                        </w:rPr>
                        <w:t>住宅用地</w:t>
                      </w:r>
                    </w:p>
                    <w:p w14:paraId="49AF0548">
                      <w:pPr>
                        <w:pStyle w:val="14"/>
                        <w:keepNext w:val="0"/>
                        <w:keepLines w:val="0"/>
                        <w:pageBreakBefore w:val="0"/>
                        <w:widowControl/>
                        <w:kinsoku/>
                        <w:wordWrap/>
                        <w:overflowPunct/>
                        <w:topLinePunct w:val="0"/>
                        <w:bidi w:val="0"/>
                        <w:adjustRightInd w:val="0"/>
                        <w:snapToGrid w:val="0"/>
                        <w:spacing w:before="0" w:after="0" w:line="240" w:lineRule="auto"/>
                        <w:ind w:right="0" w:firstLine="240" w:firstLineChars="100"/>
                        <w:textAlignment w:val="auto"/>
                        <w:rPr>
                          <w:rFonts w:hint="eastAsia"/>
                          <w:sz w:val="24"/>
                          <w:szCs w:val="28"/>
                          <w:lang w:val="en-US" w:eastAsia="zh-CN"/>
                        </w:rPr>
                      </w:pPr>
                      <w:r>
                        <w:rPr>
                          <w:rFonts w:hint="eastAsia"/>
                          <w:sz w:val="24"/>
                          <w:szCs w:val="28"/>
                          <w:lang w:val="en-US" w:eastAsia="zh-CN"/>
                        </w:rPr>
                        <w:t>果园</w:t>
                      </w:r>
                    </w:p>
                    <w:p w14:paraId="05A94DD0">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养殖坑塘</w:t>
                      </w:r>
                    </w:p>
                    <w:p w14:paraId="13DFE31C">
                      <w:pPr>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农村道路</w:t>
                      </w:r>
                    </w:p>
                    <w:p w14:paraId="6F5B4D87">
                      <w:pPr>
                        <w:pStyle w:val="14"/>
                        <w:keepNext w:val="0"/>
                        <w:keepLines w:val="0"/>
                        <w:pageBreakBefore w:val="0"/>
                        <w:widowControl/>
                        <w:kinsoku/>
                        <w:wordWrap/>
                        <w:overflowPunct/>
                        <w:topLinePunct w:val="0"/>
                        <w:bidi w:val="0"/>
                        <w:adjustRightInd/>
                        <w:snapToGrid w:val="0"/>
                        <w:spacing w:before="0" w:after="0" w:line="240" w:lineRule="auto"/>
                        <w:ind w:right="0" w:firstLine="240" w:firstLineChars="100"/>
                        <w:textAlignment w:val="auto"/>
                        <w:rPr>
                          <w:rFonts w:hint="eastAsia"/>
                          <w:sz w:val="24"/>
                          <w:szCs w:val="28"/>
                          <w:lang w:val="en-US" w:eastAsia="zh-CN"/>
                        </w:rPr>
                      </w:pPr>
                      <w:r>
                        <w:rPr>
                          <w:rFonts w:hint="eastAsia"/>
                          <w:sz w:val="24"/>
                          <w:szCs w:val="28"/>
                          <w:lang w:val="en-US" w:eastAsia="zh-CN"/>
                        </w:rPr>
                        <w:t>公路用地</w:t>
                      </w:r>
                    </w:p>
                    <w:p w14:paraId="0645DA13">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物流仓储用地</w:t>
                      </w:r>
                    </w:p>
                    <w:p w14:paraId="2F1CC517">
                      <w:pPr>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eastAsia"/>
                          <w:lang w:val="en-US" w:eastAsia="zh-CN"/>
                        </w:rPr>
                      </w:pPr>
                      <w:r>
                        <w:rPr>
                          <w:rFonts w:hint="eastAsia"/>
                          <w:lang w:val="en-US" w:eastAsia="zh-CN"/>
                        </w:rPr>
                        <w:t>采矿用地</w:t>
                      </w:r>
                    </w:p>
                    <w:p w14:paraId="74765483">
                      <w:pPr>
                        <w:pStyle w:val="14"/>
                        <w:keepNext w:val="0"/>
                        <w:keepLines w:val="0"/>
                        <w:pageBreakBefore w:val="0"/>
                        <w:widowControl/>
                        <w:kinsoku/>
                        <w:wordWrap/>
                        <w:overflowPunct/>
                        <w:topLinePunct w:val="0"/>
                        <w:bidi w:val="0"/>
                        <w:adjustRightInd/>
                        <w:snapToGrid w:val="0"/>
                        <w:spacing w:before="0" w:after="0" w:line="240" w:lineRule="auto"/>
                        <w:ind w:right="0" w:firstLine="240" w:firstLineChars="100"/>
                        <w:textAlignment w:val="auto"/>
                        <w:rPr>
                          <w:rFonts w:hint="eastAsia"/>
                          <w:sz w:val="24"/>
                          <w:szCs w:val="24"/>
                          <w:lang w:val="en-US" w:eastAsia="zh-CN"/>
                        </w:rPr>
                      </w:pPr>
                      <w:r>
                        <w:rPr>
                          <w:rFonts w:hint="eastAsia"/>
                          <w:sz w:val="24"/>
                          <w:szCs w:val="24"/>
                          <w:lang w:val="en-US" w:eastAsia="zh-CN"/>
                        </w:rPr>
                        <w:t>其他草地</w:t>
                      </w:r>
                    </w:p>
                    <w:p w14:paraId="309A370D">
                      <w:pPr>
                        <w:pStyle w:val="15"/>
                        <w:keepNext w:val="0"/>
                        <w:keepLines w:val="0"/>
                        <w:pageBreakBefore w:val="0"/>
                        <w:widowControl w:val="0"/>
                        <w:kinsoku/>
                        <w:wordWrap/>
                        <w:overflowPunct/>
                        <w:topLinePunct w:val="0"/>
                        <w:bidi w:val="0"/>
                        <w:adjustRightInd/>
                        <w:snapToGrid/>
                        <w:spacing w:line="240" w:lineRule="auto"/>
                        <w:ind w:firstLine="240" w:firstLineChars="100"/>
                        <w:textAlignment w:val="auto"/>
                        <w:rPr>
                          <w:rFonts w:hint="default"/>
                          <w:lang w:val="en-US" w:eastAsia="zh-CN"/>
                        </w:rPr>
                      </w:pPr>
                      <w:r>
                        <w:rPr>
                          <w:rFonts w:hint="eastAsia"/>
                          <w:sz w:val="24"/>
                          <w:szCs w:val="24"/>
                          <w:lang w:val="en-US" w:eastAsia="zh-CN"/>
                        </w:rPr>
                        <w:t>灌木林地</w:t>
                      </w:r>
                    </w:p>
                  </w:txbxContent>
                </v:textbox>
              </v:shape>
            </w:pict>
          </mc:Fallback>
        </mc:AlternateContent>
      </w:r>
    </w:p>
    <w:p w14:paraId="6E5E624B">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附图</w:t>
      </w:r>
      <w:r>
        <w:rPr>
          <w:rFonts w:hint="eastAsia" w:cs="宋体"/>
          <w:b/>
          <w:bCs/>
          <w:color w:val="auto"/>
          <w:highlight w:val="none"/>
          <w:lang w:val="en-US" w:eastAsia="zh-CN"/>
        </w:rPr>
        <w:t>9</w:t>
      </w:r>
      <w:r>
        <w:rPr>
          <w:rFonts w:hint="eastAsia" w:ascii="宋体" w:hAnsi="宋体" w:eastAsia="宋体" w:cs="宋体"/>
          <w:b/>
          <w:bCs/>
          <w:color w:val="auto"/>
          <w:highlight w:val="none"/>
          <w:lang w:val="en-US" w:eastAsia="zh-CN"/>
        </w:rPr>
        <w:t xml:space="preserve"> 施工总布置图</w:t>
      </w:r>
    </w:p>
    <w:p w14:paraId="790C3219">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object>
          <v:shape id="_x0000_i1026" o:spt="75" type="#_x0000_t75" style="height:316.95pt;width:434.35pt;" o:ole="t" filled="f" o:preferrelative="t" stroked="f" coordsize="21600,21600">
            <v:path/>
            <v:fill on="f" focussize="0,0"/>
            <v:stroke on="f"/>
            <v:imagedata r:id="rId47" o:title=""/>
            <o:lock v:ext="edit" aspectratio="f"/>
            <w10:wrap type="none"/>
            <w10:anchorlock/>
          </v:shape>
          <o:OLEObject Type="Embed" ProgID="Visio.Drawing.15" ShapeID="_x0000_i1026" DrawAspect="Content" ObjectID="_1468075727" r:id="rId46">
            <o:LockedField>false</o:LockedField>
          </o:OLEObject>
        </w:object>
      </w:r>
    </w:p>
    <w:p w14:paraId="65594A4D">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rPr>
        <w:sectPr>
          <w:pgSz w:w="11906" w:h="16838"/>
          <w:pgMar w:top="1440" w:right="1440" w:bottom="1440"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highlight w:val="none"/>
        </w:rPr>
        <w:pict>
          <v:shape id="_x0000_s2270" o:spid="_x0000_s2270" o:spt="75" type="#_x0000_t75" style="position:absolute;left:0pt;margin-left:338.2pt;margin-top:251.15pt;height:47.25pt;width:110.25pt;z-index:251703296;mso-width-relative:page;mso-height-relative:page;" o:ole="t" filled="f" o:preferrelative="t" stroked="f" coordsize="21600,21600">
            <v:path/>
            <v:fill on="f" focussize="0,0"/>
            <v:stroke on="f"/>
            <v:imagedata r:id="rId49" o:title=""/>
            <o:lock v:ext="edit" aspectratio="f"/>
          </v:shape>
          <o:OLEObject Type="Embed" ProgID="Visio.Drawing.15" ShapeID="_x0000_s2270" DrawAspect="Content" ObjectID="_1468075728" r:id="rId48">
            <o:LockedField>false</o:LockedField>
          </o:OLEObject>
        </w:pict>
      </w:r>
      <w:r>
        <w:rPr>
          <w:rFonts w:hint="eastAsia" w:ascii="宋体" w:hAnsi="宋体" w:eastAsia="宋体" w:cs="宋体"/>
          <w:sz w:val="24"/>
        </w:rPr>
        <mc:AlternateContent>
          <mc:Choice Requires="wpg">
            <w:drawing>
              <wp:anchor distT="0" distB="0" distL="114300" distR="114300" simplePos="0" relativeHeight="251706368" behindDoc="0" locked="0" layoutInCell="1" allowOverlap="1">
                <wp:simplePos x="0" y="0"/>
                <wp:positionH relativeFrom="column">
                  <wp:posOffset>49530</wp:posOffset>
                </wp:positionH>
                <wp:positionV relativeFrom="paragraph">
                  <wp:posOffset>2939415</wp:posOffset>
                </wp:positionV>
                <wp:extent cx="271780" cy="655320"/>
                <wp:effectExtent l="0" t="0" r="13970" b="11430"/>
                <wp:wrapNone/>
                <wp:docPr id="88" name="组合 88"/>
                <wp:cNvGraphicFramePr/>
                <a:graphic xmlns:a="http://schemas.openxmlformats.org/drawingml/2006/main">
                  <a:graphicData uri="http://schemas.microsoft.com/office/word/2010/wordprocessingGroup">
                    <wpg:wgp>
                      <wpg:cNvGrpSpPr/>
                      <wpg:grpSpPr>
                        <a:xfrm>
                          <a:off x="0" y="0"/>
                          <a:ext cx="271780" cy="655320"/>
                          <a:chOff x="7053" y="978315"/>
                          <a:chExt cx="428" cy="1032"/>
                        </a:xfrm>
                      </wpg:grpSpPr>
                      <wps:wsp>
                        <wps:cNvPr id="143" name="矩形 143"/>
                        <wps:cNvSpPr/>
                        <wps:spPr>
                          <a:xfrm>
                            <a:off x="7053" y="978315"/>
                            <a:ext cx="420" cy="180"/>
                          </a:xfrm>
                          <a:prstGeom prst="rect">
                            <a:avLst/>
                          </a:prstGeom>
                          <a:solidFill>
                            <a:srgbClr val="FF7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4" name="矩形 144"/>
                        <wps:cNvSpPr/>
                        <wps:spPr>
                          <a:xfrm>
                            <a:off x="7053" y="978630"/>
                            <a:ext cx="420" cy="180"/>
                          </a:xfrm>
                          <a:prstGeom prst="rect">
                            <a:avLst/>
                          </a:prstGeom>
                          <a:solidFill>
                            <a:srgbClr val="FFF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5" name="矩形 145"/>
                        <wps:cNvSpPr/>
                        <wps:spPr>
                          <a:xfrm>
                            <a:off x="7053" y="978900"/>
                            <a:ext cx="420" cy="180"/>
                          </a:xfrm>
                          <a:prstGeom prst="rect">
                            <a:avLst/>
                          </a:prstGeom>
                          <a:solidFill>
                            <a:srgbClr val="5D62E2"/>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2" name="矩形 82"/>
                        <wps:cNvSpPr/>
                        <wps:spPr>
                          <a:xfrm>
                            <a:off x="7061" y="979167"/>
                            <a:ext cx="420" cy="180"/>
                          </a:xfrm>
                          <a:prstGeom prst="rect">
                            <a:avLst/>
                          </a:prstGeom>
                          <a:solidFill>
                            <a:srgbClr val="00FDFD"/>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9pt;margin-top:231.45pt;height:51.6pt;width:21.4pt;z-index:251706368;mso-width-relative:page;mso-height-relative:page;" coordorigin="7053,978315" coordsize="428,1032" o:gfxdata="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">
                <o:lock v:ext="edit" aspectratio="f"/>
                <v:rect id="_x0000_s1026" o:spid="_x0000_s1026" o:spt="1" style="position:absolute;left:7053;top:978315;height:180;width:420;v-text-anchor:middle;" fillcolor="#FF7F00" filled="t" stroked="f" coordsize="21600,21600" o:gfxdata="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oeQ8m5AAAA3AAA&#10;AA8AAAAAAAAAAQAgAAAAIgAAAGRycy9kb3ducmV2LnhtbFBLAQIUABQAAAAIAIdO4kAzLwWeOwAA&#10;ADkAAAAQAAAAAAAAAAEAIAAAAAgBAABkcnMvc2hhcGV4bWwueG1sUEsFBgAAAAAGAAYAWwEAALID&#10;AAAAAA==&#10;">
                  <v:fill on="t" focussize="0,0"/>
                  <v:stroke on="f" weight="2pt"/>
                  <v:imagedata o:title=""/>
                  <o:lock v:ext="edit" aspectratio="f"/>
                </v:rect>
                <v:rect id="_x0000_s1026" o:spid="_x0000_s1026" o:spt="1" style="position:absolute;left:7053;top:978630;height:180;width:420;v-text-anchor:middle;" fillcolor="#FFFF00" filled="t" stroked="f" coordsize="21600,21600" o:gfxdata="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CWVgugAAANwA&#10;AAAPAAAAAAAAAAEAIAAAACIAAABkcnMvZG93bnJldi54bWxQSwECFAAUAAAACACHTuJAMy8FnjsA&#10;AAA5AAAAEAAAAAAAAAABACAAAAAJAQAAZHJzL3NoYXBleG1sLnhtbFBLBQYAAAAABgAGAFsBAACz&#10;AwAAAAA=&#10;">
                  <v:fill on="t" focussize="0,0"/>
                  <v:stroke on="f" weight="2pt"/>
                  <v:imagedata o:title=""/>
                  <o:lock v:ext="edit" aspectratio="f"/>
                </v:rect>
                <v:rect id="_x0000_s1026" o:spid="_x0000_s1026" o:spt="1" style="position:absolute;left:7053;top:978900;height:180;width:420;v-text-anchor:middle;" fillcolor="#5D62E2" filled="t" stroked="f" coordsize="21600,21600" o:gfxdata="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wH+74A&#10;AADcAAAADwAAAAAAAAABACAAAAAiAAAAZHJzL2Rvd25yZXYueG1sUEsBAhQAFAAAAAgAh07iQDMv&#10;BZ47AAAAOQAAABAAAAAAAAAAAQAgAAAADQEAAGRycy9zaGFwZXhtbC54bWxQSwUGAAAAAAYABgBb&#10;AQAAtwMAAAAA&#10;">
                  <v:fill on="t" focussize="0,0"/>
                  <v:stroke on="f" weight="2pt"/>
                  <v:imagedata o:title=""/>
                  <o:lock v:ext="edit" aspectratio="f"/>
                </v:rect>
                <v:rect id="_x0000_s1026" o:spid="_x0000_s1026" o:spt="1" style="position:absolute;left:7061;top:979167;height:180;width:420;v-text-anchor:middle;" fillcolor="#00FDFD" filled="t" stroked="f" coordsize="21600,21600" o:gfxdata="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kfCL&#10;wAAAANsAAAAPAAAAAAAAAAEAIAAAACIAAABkcnMvZG93bnJldi54bWxQSwECFAAUAAAACACHTuJA&#10;My8FnjsAAAA5AAAAEAAAAAAAAAABACAAAAAPAQAAZHJzL3NoYXBleG1sLnhtbFBLBQYAAAAABgAG&#10;AFsBAAC5AwAAAAA=&#10;">
                  <v:fill on="t" focussize="0,0"/>
                  <v:stroke on="f" weight="2pt"/>
                  <v:imagedata o:title=""/>
                  <o:lock v:ext="edit" aspectratio="f"/>
                </v:rect>
              </v:group>
            </w:pict>
          </mc:Fallback>
        </mc:AlternateContent>
      </w:r>
      <w:r>
        <w:rPr>
          <w:rFonts w:hint="eastAsia" w:ascii="宋体" w:hAnsi="宋体" w:eastAsia="宋体" w:cs="宋体"/>
          <w:sz w:val="24"/>
        </w:rPr>
        <mc:AlternateContent>
          <mc:Choice Requires="wps">
            <w:drawing>
              <wp:anchor distT="0" distB="0" distL="114300" distR="114300" simplePos="0" relativeHeight="251701248" behindDoc="0" locked="0" layoutInCell="1" allowOverlap="1">
                <wp:simplePos x="0" y="0"/>
                <wp:positionH relativeFrom="column">
                  <wp:posOffset>4445</wp:posOffset>
                </wp:positionH>
                <wp:positionV relativeFrom="paragraph">
                  <wp:posOffset>2880995</wp:posOffset>
                </wp:positionV>
                <wp:extent cx="2009775" cy="834390"/>
                <wp:effectExtent l="4445" t="5080" r="5080" b="17780"/>
                <wp:wrapNone/>
                <wp:docPr id="139" name="文本框 139"/>
                <wp:cNvGraphicFramePr/>
                <a:graphic xmlns:a="http://schemas.openxmlformats.org/drawingml/2006/main">
                  <a:graphicData uri="http://schemas.microsoft.com/office/word/2010/wordprocessingShape">
                    <wps:wsp>
                      <wps:cNvSpPr txBox="1"/>
                      <wps:spPr>
                        <a:xfrm>
                          <a:off x="937895" y="7192010"/>
                          <a:ext cx="2009775" cy="8343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FED795">
                            <w:pPr>
                              <w:keepNext w:val="0"/>
                              <w:keepLines w:val="0"/>
                              <w:pageBreakBefore w:val="0"/>
                              <w:kinsoku/>
                              <w:wordWrap/>
                              <w:overflowPunct/>
                              <w:topLinePunct w:val="0"/>
                              <w:bidi w:val="0"/>
                              <w:adjustRightInd w:val="0"/>
                              <w:snapToGrid w:val="0"/>
                              <w:spacing w:line="240" w:lineRule="auto"/>
                              <w:ind w:right="0"/>
                              <w:textAlignment w:val="auto"/>
                              <w:rPr>
                                <w:rFonts w:hint="eastAsia"/>
                                <w:sz w:val="21"/>
                                <w:szCs w:val="21"/>
                                <w:lang w:val="en-US" w:eastAsia="zh-CN"/>
                              </w:rPr>
                            </w:pPr>
                            <w:r>
                              <w:rPr>
                                <w:rFonts w:hint="eastAsia"/>
                                <w:sz w:val="21"/>
                                <w:szCs w:val="21"/>
                                <w:lang w:val="en-US" w:eastAsia="zh-CN"/>
                              </w:rPr>
                              <w:t>本项目</w:t>
                            </w:r>
                          </w:p>
                          <w:p w14:paraId="376FE4DB">
                            <w:pPr>
                              <w:pStyle w:val="14"/>
                              <w:keepNext w:val="0"/>
                              <w:keepLines w:val="0"/>
                              <w:pageBreakBefore w:val="0"/>
                              <w:kinsoku/>
                              <w:wordWrap/>
                              <w:overflowPunct/>
                              <w:topLinePunct w:val="0"/>
                              <w:bidi w:val="0"/>
                              <w:adjustRightInd w:val="0"/>
                              <w:snapToGrid w:val="0"/>
                              <w:spacing w:before="0" w:after="0" w:line="240" w:lineRule="auto"/>
                              <w:ind w:right="0"/>
                              <w:textAlignment w:val="auto"/>
                              <w:rPr>
                                <w:rFonts w:hint="eastAsia"/>
                                <w:sz w:val="21"/>
                                <w:szCs w:val="21"/>
                                <w:lang w:val="en-US" w:eastAsia="zh-CN"/>
                              </w:rPr>
                            </w:pPr>
                            <w:r>
                              <w:rPr>
                                <w:rFonts w:hint="eastAsia"/>
                                <w:sz w:val="21"/>
                                <w:szCs w:val="21"/>
                                <w:lang w:val="en-US" w:eastAsia="zh-CN"/>
                              </w:rPr>
                              <w:t>桥涵施工临时便道</w:t>
                            </w:r>
                          </w:p>
                          <w:p w14:paraId="139B3BD8">
                            <w:pPr>
                              <w:pStyle w:val="15"/>
                              <w:keepNext w:val="0"/>
                              <w:keepLines w:val="0"/>
                              <w:pageBreakBefore w:val="0"/>
                              <w:kinsoku/>
                              <w:wordWrap/>
                              <w:overflowPunct/>
                              <w:topLinePunct w:val="0"/>
                              <w:bidi w:val="0"/>
                              <w:adjustRightInd w:val="0"/>
                              <w:snapToGrid w:val="0"/>
                              <w:spacing w:line="240" w:lineRule="auto"/>
                              <w:ind w:right="0"/>
                              <w:textAlignment w:val="auto"/>
                              <w:rPr>
                                <w:rFonts w:hint="eastAsia"/>
                                <w:sz w:val="21"/>
                                <w:szCs w:val="21"/>
                                <w:lang w:val="en-US" w:eastAsia="zh-CN"/>
                              </w:rPr>
                            </w:pPr>
                            <w:r>
                              <w:rPr>
                                <w:rFonts w:hint="eastAsia"/>
                                <w:sz w:val="21"/>
                                <w:szCs w:val="21"/>
                                <w:lang w:val="en-US" w:eastAsia="zh-CN"/>
                              </w:rPr>
                              <w:t>施工工场+临时弃渣场</w:t>
                            </w:r>
                          </w:p>
                          <w:p w14:paraId="6AF1637F">
                            <w:pPr>
                              <w:rPr>
                                <w:rFonts w:hint="default"/>
                                <w:lang w:val="en-US" w:eastAsia="zh-CN"/>
                              </w:rPr>
                            </w:pPr>
                            <w:r>
                              <w:rPr>
                                <w:rFonts w:hint="eastAsia"/>
                                <w:sz w:val="21"/>
                                <w:szCs w:val="21"/>
                                <w:lang w:val="en-US" w:eastAsia="zh-CN"/>
                              </w:rPr>
                              <w:t>边沟工程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6.85pt;height:65.7pt;width:158.25pt;z-index:251701248;mso-width-relative:page;mso-height-relative:page;" fillcolor="#FFFFFF [3201]" filled="t" stroked="t" coordsize="21600,21600" o:gfxdata="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yEGFtYAAAAIAQAADwAAAAAAAAABACAAAAAiAAAAZHJzL2Rvd25yZXYueG1sUEsBAhQA&#10;FAAAAAgAh07iQKPJkmBmAgAAxgQAAA4AAAAAAAAAAQAgAAAAJQEAAGRycy9lMm9Eb2MueG1sUEsF&#10;BgAAAAAGAAYAWQEAAP0FAAAAAA==&#10;">
                <v:fill on="t" focussize="0,0"/>
                <v:stroke weight="0.5pt" color="#000000 [3204]" joinstyle="round"/>
                <v:imagedata o:title=""/>
                <o:lock v:ext="edit" aspectratio="f"/>
                <v:textbox>
                  <w:txbxContent>
                    <w:p w14:paraId="6AFED795">
                      <w:pPr>
                        <w:keepNext w:val="0"/>
                        <w:keepLines w:val="0"/>
                        <w:pageBreakBefore w:val="0"/>
                        <w:kinsoku/>
                        <w:wordWrap/>
                        <w:overflowPunct/>
                        <w:topLinePunct w:val="0"/>
                        <w:bidi w:val="0"/>
                        <w:adjustRightInd w:val="0"/>
                        <w:snapToGrid w:val="0"/>
                        <w:spacing w:line="240" w:lineRule="auto"/>
                        <w:ind w:right="0"/>
                        <w:textAlignment w:val="auto"/>
                        <w:rPr>
                          <w:rFonts w:hint="eastAsia"/>
                          <w:sz w:val="21"/>
                          <w:szCs w:val="21"/>
                          <w:lang w:val="en-US" w:eastAsia="zh-CN"/>
                        </w:rPr>
                      </w:pPr>
                      <w:r>
                        <w:rPr>
                          <w:rFonts w:hint="eastAsia"/>
                          <w:sz w:val="21"/>
                          <w:szCs w:val="21"/>
                          <w:lang w:val="en-US" w:eastAsia="zh-CN"/>
                        </w:rPr>
                        <w:t>本项目</w:t>
                      </w:r>
                    </w:p>
                    <w:p w14:paraId="376FE4DB">
                      <w:pPr>
                        <w:pStyle w:val="14"/>
                        <w:keepNext w:val="0"/>
                        <w:keepLines w:val="0"/>
                        <w:pageBreakBefore w:val="0"/>
                        <w:kinsoku/>
                        <w:wordWrap/>
                        <w:overflowPunct/>
                        <w:topLinePunct w:val="0"/>
                        <w:bidi w:val="0"/>
                        <w:adjustRightInd w:val="0"/>
                        <w:snapToGrid w:val="0"/>
                        <w:spacing w:before="0" w:after="0" w:line="240" w:lineRule="auto"/>
                        <w:ind w:right="0"/>
                        <w:textAlignment w:val="auto"/>
                        <w:rPr>
                          <w:rFonts w:hint="eastAsia"/>
                          <w:sz w:val="21"/>
                          <w:szCs w:val="21"/>
                          <w:lang w:val="en-US" w:eastAsia="zh-CN"/>
                        </w:rPr>
                      </w:pPr>
                      <w:r>
                        <w:rPr>
                          <w:rFonts w:hint="eastAsia"/>
                          <w:sz w:val="21"/>
                          <w:szCs w:val="21"/>
                          <w:lang w:val="en-US" w:eastAsia="zh-CN"/>
                        </w:rPr>
                        <w:t>桥涵施工临时便道</w:t>
                      </w:r>
                    </w:p>
                    <w:p w14:paraId="139B3BD8">
                      <w:pPr>
                        <w:pStyle w:val="15"/>
                        <w:keepNext w:val="0"/>
                        <w:keepLines w:val="0"/>
                        <w:pageBreakBefore w:val="0"/>
                        <w:kinsoku/>
                        <w:wordWrap/>
                        <w:overflowPunct/>
                        <w:topLinePunct w:val="0"/>
                        <w:bidi w:val="0"/>
                        <w:adjustRightInd w:val="0"/>
                        <w:snapToGrid w:val="0"/>
                        <w:spacing w:line="240" w:lineRule="auto"/>
                        <w:ind w:right="0"/>
                        <w:textAlignment w:val="auto"/>
                        <w:rPr>
                          <w:rFonts w:hint="eastAsia"/>
                          <w:sz w:val="21"/>
                          <w:szCs w:val="21"/>
                          <w:lang w:val="en-US" w:eastAsia="zh-CN"/>
                        </w:rPr>
                      </w:pPr>
                      <w:r>
                        <w:rPr>
                          <w:rFonts w:hint="eastAsia"/>
                          <w:sz w:val="21"/>
                          <w:szCs w:val="21"/>
                          <w:lang w:val="en-US" w:eastAsia="zh-CN"/>
                        </w:rPr>
                        <w:t>施工工场+临时弃渣场</w:t>
                      </w:r>
                    </w:p>
                    <w:p w14:paraId="6AF1637F">
                      <w:pPr>
                        <w:rPr>
                          <w:rFonts w:hint="default"/>
                          <w:lang w:val="en-US" w:eastAsia="zh-CN"/>
                        </w:rPr>
                      </w:pPr>
                      <w:r>
                        <w:rPr>
                          <w:rFonts w:hint="eastAsia"/>
                          <w:sz w:val="21"/>
                          <w:szCs w:val="21"/>
                          <w:lang w:val="en-US" w:eastAsia="zh-CN"/>
                        </w:rPr>
                        <w:t>边沟工程</w:t>
                      </w:r>
                    </w:p>
                  </w:txbxContent>
                </v:textbox>
              </v:shape>
            </w:pict>
          </mc:Fallback>
        </mc:AlternateContent>
      </w:r>
      <w:r>
        <w:rPr>
          <w:rFonts w:hint="eastAsia" w:ascii="宋体" w:hAnsi="宋体" w:eastAsia="宋体" w:cs="宋体"/>
          <w:b/>
          <w:bCs/>
          <w:color w:val="auto"/>
          <w:highlight w:val="none"/>
          <w:lang w:val="en-US" w:eastAsia="zh-CN"/>
        </w:rPr>
        <w:drawing>
          <wp:anchor distT="0" distB="0" distL="114300" distR="114300" simplePos="0" relativeHeight="251704320" behindDoc="0" locked="0" layoutInCell="1" allowOverlap="1">
            <wp:simplePos x="0" y="0"/>
            <wp:positionH relativeFrom="column">
              <wp:posOffset>4854575</wp:posOffset>
            </wp:positionH>
            <wp:positionV relativeFrom="paragraph">
              <wp:posOffset>635</wp:posOffset>
            </wp:positionV>
            <wp:extent cx="857250" cy="809625"/>
            <wp:effectExtent l="0" t="0" r="0" b="9525"/>
            <wp:wrapNone/>
            <wp:docPr id="14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88"/>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rPr>
        <w:drawing>
          <wp:inline distT="0" distB="0" distL="114300" distR="114300">
            <wp:extent cx="5725160" cy="3705860"/>
            <wp:effectExtent l="0" t="0" r="8890" b="8890"/>
            <wp:docPr id="8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4"/>
                    <pic:cNvPicPr>
                      <a:picLocks noChangeAspect="1"/>
                    </pic:cNvPicPr>
                  </pic:nvPicPr>
                  <pic:blipFill>
                    <a:blip r:embed="rId50"/>
                    <a:stretch>
                      <a:fillRect/>
                    </a:stretch>
                  </pic:blipFill>
                  <pic:spPr>
                    <a:xfrm>
                      <a:off x="0" y="0"/>
                      <a:ext cx="5725160" cy="3705860"/>
                    </a:xfrm>
                    <a:prstGeom prst="rect">
                      <a:avLst/>
                    </a:prstGeom>
                    <a:noFill/>
                    <a:ln>
                      <a:noFill/>
                    </a:ln>
                  </pic:spPr>
                </pic:pic>
              </a:graphicData>
            </a:graphic>
          </wp:inline>
        </w:drawing>
      </w:r>
      <w:r>
        <w:rPr>
          <w:rFonts w:hint="eastAsia" w:ascii="宋体" w:hAnsi="宋体" w:eastAsia="宋体" w:cs="宋体"/>
          <w:color w:val="auto"/>
          <w:highlight w:val="none"/>
        </w:rPr>
        <w:pict>
          <v:shape id="_x0000_s2269" o:spid="_x0000_s2269" o:spt="75" type="#_x0000_t75" style="position:absolute;left:0pt;margin-left:953.35pt;margin-top:317.1pt;height:47.25pt;width:110.25pt;z-index:251702272;mso-width-relative:page;mso-height-relative:page;" o:ole="t" filled="f" o:preferrelative="t" stroked="f" coordsize="21600,21600">
            <v:path/>
            <v:fill on="f" focussize="0,0"/>
            <v:stroke on="f"/>
            <v:imagedata r:id="rId52" o:title=""/>
            <o:lock v:ext="edit" aspectratio="f"/>
          </v:shape>
          <o:OLEObject Type="Embed" ProgID="Visio.Drawing.15" ShapeID="_x0000_s2269" DrawAspect="Content" ObjectID="_1468075729" r:id="rId51">
            <o:LockedField>false</o:LockedField>
          </o:OLEObject>
        </w:pict>
      </w:r>
    </w:p>
    <w:p w14:paraId="3BBD364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附图</w:t>
      </w:r>
      <w:r>
        <w:rPr>
          <w:rFonts w:hint="eastAsia" w:cs="宋体"/>
          <w:b/>
          <w:bCs/>
          <w:color w:val="auto"/>
          <w:highlight w:val="none"/>
          <w:lang w:val="en-US" w:eastAsia="zh-CN"/>
        </w:rPr>
        <w:t>10</w:t>
      </w:r>
      <w:r>
        <w:rPr>
          <w:rFonts w:hint="eastAsia" w:ascii="宋体" w:hAnsi="宋体" w:eastAsia="宋体" w:cs="宋体"/>
          <w:b/>
          <w:bCs/>
          <w:color w:val="auto"/>
          <w:highlight w:val="none"/>
          <w:lang w:val="en-US" w:eastAsia="zh-CN"/>
        </w:rPr>
        <w:t>主要生态环境保护措施设计图</w:t>
      </w:r>
    </w:p>
    <w:p w14:paraId="044B6874">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9"/>
        <w:rPr>
          <w:rFonts w:hint="eastAsia" w:ascii="宋体" w:hAnsi="宋体" w:eastAsia="宋体" w:cs="宋体"/>
          <w:color w:val="auto"/>
          <w:highlight w:val="none"/>
          <w:lang w:val="en-US" w:eastAsia="zh-CN"/>
        </w:rPr>
        <w:sectPr>
          <w:pgSz w:w="23811" w:h="16838" w:orient="landscape"/>
          <w:pgMar w:top="1440" w:right="1440" w:bottom="1440"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auto"/>
          <w:highlight w:val="none"/>
          <w:lang w:val="en-US" w:eastAsia="zh-CN"/>
        </w:rPr>
        <w:drawing>
          <wp:anchor distT="0" distB="0" distL="114300" distR="114300" simplePos="0" relativeHeight="251693056" behindDoc="0" locked="0" layoutInCell="1" allowOverlap="1">
            <wp:simplePos x="0" y="0"/>
            <wp:positionH relativeFrom="column">
              <wp:posOffset>18415</wp:posOffset>
            </wp:positionH>
            <wp:positionV relativeFrom="paragraph">
              <wp:posOffset>31115</wp:posOffset>
            </wp:positionV>
            <wp:extent cx="857250" cy="809625"/>
            <wp:effectExtent l="0" t="0" r="0" b="9525"/>
            <wp:wrapNone/>
            <wp:docPr id="110"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88"/>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sz w:val="24"/>
        </w:rPr>
        <mc:AlternateContent>
          <mc:Choice Requires="wps">
            <w:drawing>
              <wp:anchor distT="0" distB="0" distL="114300" distR="114300" simplePos="0" relativeHeight="251705344" behindDoc="0" locked="0" layoutInCell="1" allowOverlap="1">
                <wp:simplePos x="0" y="0"/>
                <wp:positionH relativeFrom="column">
                  <wp:posOffset>11307445</wp:posOffset>
                </wp:positionH>
                <wp:positionV relativeFrom="paragraph">
                  <wp:posOffset>7673340</wp:posOffset>
                </wp:positionV>
                <wp:extent cx="274955" cy="147955"/>
                <wp:effectExtent l="0" t="0" r="10795" b="4445"/>
                <wp:wrapNone/>
                <wp:docPr id="41" name="矩形 108"/>
                <wp:cNvGraphicFramePr/>
                <a:graphic xmlns:a="http://schemas.openxmlformats.org/drawingml/2006/main">
                  <a:graphicData uri="http://schemas.microsoft.com/office/word/2010/wordprocessingShape">
                    <wps:wsp>
                      <wps:cNvSpPr/>
                      <wps:spPr>
                        <a:xfrm>
                          <a:off x="12359005" y="8542020"/>
                          <a:ext cx="274955" cy="147955"/>
                        </a:xfrm>
                        <a:prstGeom prst="rect">
                          <a:avLst/>
                        </a:prstGeom>
                        <a:solidFill>
                          <a:srgbClr val="00F6F6"/>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890.35pt;margin-top:604.2pt;height:11.65pt;width:21.65pt;z-index:251705344;v-text-anchor:middle;mso-width-relative:page;mso-height-relative:page;" fillcolor="#00F6F6" filled="t" stroked="f" coordsize="21600,21600" o:gfxdata="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MUzyidwAAAAPAQAADwAAAAAAAAABACAAAAAiAAAAZHJzL2Rvd25y&#10;ZXYueG1sUEsBAhQAFAAAAAgAh07iQMuQ5QBsAgAAwwQAAA4AAAAAAAAAAQAgAAAAKwEAAGRycy9l&#10;Mm9Eb2MueG1sUEsFBgAAAAAGAAYAWQEAAAkGAAAAAA==&#10;">
                <v:fill on="t" focussize="0,0"/>
                <v:stroke on="f" weight="2pt"/>
                <v:imagedata o:title=""/>
                <o:lock v:ext="edit" aspectratio="f"/>
              </v:rect>
            </w:pict>
          </mc:Fallback>
        </mc:AlternateContent>
      </w:r>
      <w:r>
        <w:rPr>
          <w:rFonts w:hint="eastAsia" w:ascii="宋体" w:hAnsi="宋体" w:eastAsia="宋体" w:cs="宋体"/>
          <w:sz w:val="24"/>
        </w:rPr>
        <mc:AlternateContent>
          <mc:Choice Requires="wpg">
            <w:drawing>
              <wp:anchor distT="0" distB="0" distL="114300" distR="114300" simplePos="0" relativeHeight="251694080" behindDoc="0" locked="0" layoutInCell="1" allowOverlap="1">
                <wp:simplePos x="0" y="0"/>
                <wp:positionH relativeFrom="column">
                  <wp:posOffset>11292205</wp:posOffset>
                </wp:positionH>
                <wp:positionV relativeFrom="paragraph">
                  <wp:posOffset>7277735</wp:posOffset>
                </wp:positionV>
                <wp:extent cx="278765" cy="353060"/>
                <wp:effectExtent l="12700" t="12700" r="13335" b="15240"/>
                <wp:wrapNone/>
                <wp:docPr id="111" name="组合 111"/>
                <wp:cNvGraphicFramePr/>
                <a:graphic xmlns:a="http://schemas.openxmlformats.org/drawingml/2006/main">
                  <a:graphicData uri="http://schemas.microsoft.com/office/word/2010/wordprocessingGroup">
                    <wpg:wgp>
                      <wpg:cNvGrpSpPr/>
                      <wpg:grpSpPr>
                        <a:xfrm>
                          <a:off x="0" y="0"/>
                          <a:ext cx="278765" cy="353060"/>
                          <a:chOff x="11937" y="917985"/>
                          <a:chExt cx="439" cy="556"/>
                        </a:xfrm>
                      </wpg:grpSpPr>
                      <wps:wsp>
                        <wps:cNvPr id="108" name="矩形 108"/>
                        <wps:cNvSpPr/>
                        <wps:spPr>
                          <a:xfrm>
                            <a:off x="11937" y="917985"/>
                            <a:ext cx="433" cy="233"/>
                          </a:xfrm>
                          <a:prstGeom prst="rect">
                            <a:avLst/>
                          </a:prstGeom>
                          <a:solidFill>
                            <a:srgbClr val="7F7FFF"/>
                          </a:solidFill>
                          <a:ln>
                            <a:solidFill>
                              <a:srgbClr val="7F7F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9" name="矩形 109"/>
                        <wps:cNvSpPr/>
                        <wps:spPr>
                          <a:xfrm>
                            <a:off x="11944" y="918309"/>
                            <a:ext cx="433" cy="233"/>
                          </a:xfrm>
                          <a:prstGeom prst="rect">
                            <a:avLst/>
                          </a:prstGeom>
                          <a:solidFill>
                            <a:srgbClr val="FFF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89.15pt;margin-top:573.05pt;height:27.8pt;width:21.95pt;z-index:251694080;mso-width-relative:page;mso-height-relative:page;" coordorigin="11937,917985" coordsize="439,556" o:gfxdata="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M3V0ovdAAAADwEAAA8AAAAAAAAAAQAgAAAAIgAAAGRycy9kb3ducmV2Lnht&#10;bFBLAQIUABQAAAAIAIdO4kAeyakGEQMAAPMIAAAOAAAAAAAAAAEAIAAAACwBAABkcnMvZTJvRG9j&#10;LnhtbFBLBQYAAAAABgAGAFkBAACvBgAAAAA=&#10;">
                <o:lock v:ext="edit" aspectratio="f"/>
                <v:rect id="_x0000_s1026" o:spid="_x0000_s1026" o:spt="1" style="position:absolute;left:11937;top:917985;height:233;width:433;v-text-anchor:middle;" fillcolor="#7F7FFF" filled="t" stroked="t" coordsize="21600,21600" o:gfxdata="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Hla/&#10;AAAA3AAAAA8AAAAAAAAAAQAgAAAAIgAAAGRycy9kb3ducmV2LnhtbFBLAQIUABQAAAAIAIdO4kAz&#10;LwWeOwAAADkAAAAQAAAAAAAAAAEAIAAAAA4BAABkcnMvc2hhcGV4bWwueG1sUEsFBgAAAAAGAAYA&#10;WwEAALgDAAAAAA==&#10;">
                  <v:fill on="t" focussize="0,0"/>
                  <v:stroke weight="2pt" color="#7F7FFF [2404]" joinstyle="round"/>
                  <v:imagedata o:title=""/>
                  <o:lock v:ext="edit" aspectratio="f"/>
                </v:rect>
                <v:rect id="_x0000_s1026" o:spid="_x0000_s1026" o:spt="1" style="position:absolute;left:11944;top:918309;height:233;width:433;v-text-anchor:middle;" fillcolor="#FFFF00" filled="t" stroked="f" coordsize="21600,21600" o:gfxdata="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GJzPrsAAADc&#10;AAAADwAAAAAAAAABACAAAAAiAAAAZHJzL2Rvd25yZXYueG1sUEsBAhQAFAAAAAgAh07iQDMvBZ47&#10;AAAAOQAAABAAAAAAAAAAAQAgAAAACgEAAGRycy9zaGFwZXhtbC54bWxQSwUGAAAAAAYABgBbAQAA&#10;tAMAAAAA&#10;">
                  <v:fill on="t" focussize="0,0"/>
                  <v:stroke on="f" weight="2pt"/>
                  <v:imagedata o:title=""/>
                  <o:lock v:ext="edit" aspectratio="f"/>
                </v:rect>
              </v:group>
            </w:pict>
          </mc:Fallback>
        </mc:AlternateContent>
      </w:r>
      <w:r>
        <w:rPr>
          <w:rFonts w:hint="eastAsia" w:ascii="宋体" w:hAnsi="宋体" w:eastAsia="宋体" w:cs="宋体"/>
          <w:sz w:val="24"/>
        </w:rPr>
        <mc:AlternateContent>
          <mc:Choice Requires="wps">
            <w:drawing>
              <wp:anchor distT="0" distB="0" distL="114300" distR="114300" simplePos="0" relativeHeight="251692032" behindDoc="0" locked="0" layoutInCell="1" allowOverlap="1">
                <wp:simplePos x="0" y="0"/>
                <wp:positionH relativeFrom="column">
                  <wp:posOffset>11191240</wp:posOffset>
                </wp:positionH>
                <wp:positionV relativeFrom="paragraph">
                  <wp:posOffset>7006590</wp:posOffset>
                </wp:positionV>
                <wp:extent cx="1901825" cy="1493520"/>
                <wp:effectExtent l="4445" t="4445" r="17780" b="6985"/>
                <wp:wrapNone/>
                <wp:docPr id="107" name="文本框 107"/>
                <wp:cNvGraphicFramePr/>
                <a:graphic xmlns:a="http://schemas.openxmlformats.org/drawingml/2006/main">
                  <a:graphicData uri="http://schemas.microsoft.com/office/word/2010/wordprocessingShape">
                    <wps:wsp>
                      <wps:cNvSpPr txBox="1"/>
                      <wps:spPr>
                        <a:xfrm>
                          <a:off x="7689850" y="5310505"/>
                          <a:ext cx="1901825" cy="14935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9CA03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lang w:val="en-US" w:eastAsia="zh-CN"/>
                              </w:rPr>
                            </w:pPr>
                            <w:r>
                              <w:rPr>
                                <w:rFonts w:hint="eastAsia"/>
                                <w:lang w:val="en-US" w:eastAsia="zh-CN"/>
                              </w:rPr>
                              <w:t>图例</w:t>
                            </w:r>
                          </w:p>
                          <w:p w14:paraId="6D9CA5CF">
                            <w:pPr>
                              <w:pStyle w:val="14"/>
                              <w:keepNext w:val="0"/>
                              <w:keepLines w:val="0"/>
                              <w:pageBreakBefore w:val="0"/>
                              <w:widowControl/>
                              <w:kinsoku/>
                              <w:wordWrap/>
                              <w:overflowPunct/>
                              <w:topLinePunct w:val="0"/>
                              <w:bidi w:val="0"/>
                              <w:adjustRightInd/>
                              <w:snapToGrid w:val="0"/>
                              <w:spacing w:before="0" w:after="0" w:line="240" w:lineRule="auto"/>
                              <w:ind w:left="0" w:leftChars="0" w:right="0" w:firstLine="480" w:firstLineChars="200"/>
                              <w:textAlignment w:val="auto"/>
                              <w:rPr>
                                <w:rFonts w:hint="eastAsia"/>
                                <w:sz w:val="24"/>
                                <w:szCs w:val="28"/>
                                <w:lang w:val="en-US" w:eastAsia="zh-CN"/>
                              </w:rPr>
                            </w:pPr>
                            <w:r>
                              <w:rPr>
                                <w:rFonts w:hint="eastAsia"/>
                                <w:sz w:val="24"/>
                                <w:szCs w:val="28"/>
                                <w:lang w:val="en-US" w:eastAsia="zh-CN"/>
                              </w:rPr>
                              <w:t>临时暂存场</w:t>
                            </w:r>
                          </w:p>
                          <w:p w14:paraId="28842139">
                            <w:pPr>
                              <w:pStyle w:val="42"/>
                              <w:keepNext w:val="0"/>
                              <w:keepLines w:val="0"/>
                              <w:pageBreakBefore w:val="0"/>
                              <w:widowControl/>
                              <w:kinsoku/>
                              <w:wordWrap/>
                              <w:overflowPunct/>
                              <w:topLinePunct w:val="0"/>
                              <w:bidi w:val="0"/>
                              <w:adjustRightInd/>
                              <w:snapToGrid/>
                              <w:spacing w:after="0" w:line="240" w:lineRule="auto"/>
                              <w:textAlignment w:val="auto"/>
                              <w:rPr>
                                <w:rFonts w:hint="eastAsia" w:ascii="Times New Roman" w:hAnsi="Times New Roman" w:eastAsia="宋体" w:cs="Times New Roman"/>
                                <w:i w:val="0"/>
                                <w:iCs w:val="0"/>
                                <w:kern w:val="0"/>
                                <w:sz w:val="24"/>
                                <w:szCs w:val="28"/>
                                <w:lang w:val="en-US" w:eastAsia="zh-CN" w:bidi="ar-SA"/>
                              </w:rPr>
                            </w:pPr>
                            <w:r>
                              <w:rPr>
                                <w:rFonts w:hint="eastAsia" w:ascii="Times New Roman" w:hAnsi="Times New Roman" w:eastAsia="宋体" w:cs="Times New Roman"/>
                                <w:i w:val="0"/>
                                <w:iCs w:val="0"/>
                                <w:kern w:val="0"/>
                                <w:sz w:val="24"/>
                                <w:szCs w:val="28"/>
                                <w:lang w:val="en-US" w:eastAsia="zh-CN" w:bidi="ar-SA"/>
                              </w:rPr>
                              <w:t>施工便道</w:t>
                            </w:r>
                          </w:p>
                          <w:p w14:paraId="6D881E13">
                            <w:pPr>
                              <w:rPr>
                                <w:rFonts w:hint="default"/>
                                <w:lang w:val="en-US" w:eastAsia="zh-CN"/>
                              </w:rPr>
                            </w:pPr>
                            <w:r>
                              <w:rPr>
                                <w:rFonts w:hint="eastAsia" w:cs="Times New Roman"/>
                                <w:i w:val="0"/>
                                <w:iCs w:val="0"/>
                                <w:kern w:val="0"/>
                                <w:sz w:val="24"/>
                                <w:szCs w:val="28"/>
                                <w:lang w:val="en-US" w:eastAsia="zh-CN" w:bidi="ar-SA"/>
                              </w:rPr>
                              <w:t>边沟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1.2pt;margin-top:551.7pt;height:117.6pt;width:149.75pt;z-index:251692032;mso-width-relative:page;mso-height-relative:page;" fillcolor="#FFFFFF [3201]" filled="t" stroked="t" coordsize="21600,21600" o:gfxdata="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ZNFQ9kAAAAPAQAADwAAAAAAAAABACAAAAAiAAAAZHJzL2Rvd25yZXYueG1s&#10;UEsBAhQAFAAAAAgAh07iQL2yo8tpAgAAyAQAAA4AAAAAAAAAAQAgAAAAKAEAAGRycy9lMm9Eb2Mu&#10;eG1sUEsFBgAAAAAGAAYAWQEAAAMGAAAAAA==&#10;">
                <v:fill on="t" focussize="0,0"/>
                <v:stroke weight="0.5pt" color="#000000 [3204]" joinstyle="round"/>
                <v:imagedata o:title=""/>
                <o:lock v:ext="edit" aspectratio="f"/>
                <v:textbox>
                  <w:txbxContent>
                    <w:p w14:paraId="449CA03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lang w:val="en-US" w:eastAsia="zh-CN"/>
                        </w:rPr>
                      </w:pPr>
                      <w:r>
                        <w:rPr>
                          <w:rFonts w:hint="eastAsia"/>
                          <w:lang w:val="en-US" w:eastAsia="zh-CN"/>
                        </w:rPr>
                        <w:t>图例</w:t>
                      </w:r>
                    </w:p>
                    <w:p w14:paraId="6D9CA5CF">
                      <w:pPr>
                        <w:pStyle w:val="14"/>
                        <w:keepNext w:val="0"/>
                        <w:keepLines w:val="0"/>
                        <w:pageBreakBefore w:val="0"/>
                        <w:widowControl/>
                        <w:kinsoku/>
                        <w:wordWrap/>
                        <w:overflowPunct/>
                        <w:topLinePunct w:val="0"/>
                        <w:bidi w:val="0"/>
                        <w:adjustRightInd/>
                        <w:snapToGrid w:val="0"/>
                        <w:spacing w:before="0" w:after="0" w:line="240" w:lineRule="auto"/>
                        <w:ind w:left="0" w:leftChars="0" w:right="0" w:firstLine="480" w:firstLineChars="200"/>
                        <w:textAlignment w:val="auto"/>
                        <w:rPr>
                          <w:rFonts w:hint="eastAsia"/>
                          <w:sz w:val="24"/>
                          <w:szCs w:val="28"/>
                          <w:lang w:val="en-US" w:eastAsia="zh-CN"/>
                        </w:rPr>
                      </w:pPr>
                      <w:r>
                        <w:rPr>
                          <w:rFonts w:hint="eastAsia"/>
                          <w:sz w:val="24"/>
                          <w:szCs w:val="28"/>
                          <w:lang w:val="en-US" w:eastAsia="zh-CN"/>
                        </w:rPr>
                        <w:t>临时暂存场</w:t>
                      </w:r>
                    </w:p>
                    <w:p w14:paraId="28842139">
                      <w:pPr>
                        <w:pStyle w:val="42"/>
                        <w:keepNext w:val="0"/>
                        <w:keepLines w:val="0"/>
                        <w:pageBreakBefore w:val="0"/>
                        <w:widowControl/>
                        <w:kinsoku/>
                        <w:wordWrap/>
                        <w:overflowPunct/>
                        <w:topLinePunct w:val="0"/>
                        <w:bidi w:val="0"/>
                        <w:adjustRightInd/>
                        <w:snapToGrid/>
                        <w:spacing w:after="0" w:line="240" w:lineRule="auto"/>
                        <w:textAlignment w:val="auto"/>
                        <w:rPr>
                          <w:rFonts w:hint="eastAsia" w:ascii="Times New Roman" w:hAnsi="Times New Roman" w:eastAsia="宋体" w:cs="Times New Roman"/>
                          <w:i w:val="0"/>
                          <w:iCs w:val="0"/>
                          <w:kern w:val="0"/>
                          <w:sz w:val="24"/>
                          <w:szCs w:val="28"/>
                          <w:lang w:val="en-US" w:eastAsia="zh-CN" w:bidi="ar-SA"/>
                        </w:rPr>
                      </w:pPr>
                      <w:r>
                        <w:rPr>
                          <w:rFonts w:hint="eastAsia" w:ascii="Times New Roman" w:hAnsi="Times New Roman" w:eastAsia="宋体" w:cs="Times New Roman"/>
                          <w:i w:val="0"/>
                          <w:iCs w:val="0"/>
                          <w:kern w:val="0"/>
                          <w:sz w:val="24"/>
                          <w:szCs w:val="28"/>
                          <w:lang w:val="en-US" w:eastAsia="zh-CN" w:bidi="ar-SA"/>
                        </w:rPr>
                        <w:t>施工便道</w:t>
                      </w:r>
                    </w:p>
                    <w:p w14:paraId="6D881E13">
                      <w:pPr>
                        <w:rPr>
                          <w:rFonts w:hint="default"/>
                          <w:lang w:val="en-US" w:eastAsia="zh-CN"/>
                        </w:rPr>
                      </w:pPr>
                      <w:r>
                        <w:rPr>
                          <w:rFonts w:hint="eastAsia" w:cs="Times New Roman"/>
                          <w:i w:val="0"/>
                          <w:iCs w:val="0"/>
                          <w:kern w:val="0"/>
                          <w:sz w:val="24"/>
                          <w:szCs w:val="28"/>
                          <w:lang w:val="en-US" w:eastAsia="zh-CN" w:bidi="ar-SA"/>
                        </w:rPr>
                        <w:t>边沟</w:t>
                      </w:r>
                    </w:p>
                  </w:txbxContent>
                </v:textbox>
              </v:shape>
            </w:pict>
          </mc:Fallback>
        </mc:AlternateContent>
      </w:r>
      <w:r>
        <w:rPr>
          <w:rFonts w:hint="eastAsia" w:ascii="宋体" w:hAnsi="宋体" w:eastAsia="宋体" w:cs="宋体"/>
          <w:color w:val="auto"/>
          <w:highlight w:val="none"/>
        </w:rPr>
        <w:pict>
          <v:shape id="_x0000_s2268" o:spid="_x0000_s2268" o:spt="75" type="#_x0000_t75" style="position:absolute;left:0pt;margin-left:901.7pt;margin-top:629.9pt;height:47.25pt;width:110.25pt;z-index:251699200;mso-width-relative:page;mso-height-relative:page;" o:ole="t" filled="f" o:preferrelative="t" stroked="f" coordsize="21600,21600">
            <v:path/>
            <v:fill on="f" focussize="0,0"/>
            <v:stroke on="f"/>
            <v:imagedata r:id="rId52" o:title=""/>
            <o:lock v:ext="edit" aspectratio="f"/>
          </v:shape>
          <o:OLEObject Type="Embed" ProgID="Visio.Drawing.15" ShapeID="_x0000_s2268" DrawAspect="Content" ObjectID="_1468075730" r:id="rId53">
            <o:LockedField>false</o:LockedField>
          </o:OLEObject>
        </w:pict>
      </w:r>
      <w:r>
        <w:rPr>
          <w:rFonts w:hint="eastAsia" w:ascii="宋体" w:hAnsi="宋体" w:eastAsia="宋体" w:cs="宋体"/>
        </w:rPr>
        <w:drawing>
          <wp:anchor distT="0" distB="0" distL="114300" distR="114300" simplePos="0" relativeHeight="251696128" behindDoc="0" locked="0" layoutInCell="1" allowOverlap="1">
            <wp:simplePos x="0" y="0"/>
            <wp:positionH relativeFrom="column">
              <wp:posOffset>927100</wp:posOffset>
            </wp:positionH>
            <wp:positionV relativeFrom="paragraph">
              <wp:posOffset>291465</wp:posOffset>
            </wp:positionV>
            <wp:extent cx="5435600" cy="1442720"/>
            <wp:effectExtent l="0" t="0" r="12700" b="5080"/>
            <wp:wrapNone/>
            <wp:docPr id="12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6"/>
                    <pic:cNvPicPr>
                      <a:picLocks noChangeAspect="1"/>
                    </pic:cNvPicPr>
                  </pic:nvPicPr>
                  <pic:blipFill>
                    <a:blip r:embed="rId54"/>
                    <a:stretch>
                      <a:fillRect/>
                    </a:stretch>
                  </pic:blipFill>
                  <pic:spPr>
                    <a:xfrm>
                      <a:off x="0" y="0"/>
                      <a:ext cx="5435600" cy="1442720"/>
                    </a:xfrm>
                    <a:prstGeom prst="rect">
                      <a:avLst/>
                    </a:prstGeom>
                    <a:noFill/>
                    <a:ln>
                      <a:noFill/>
                    </a:ln>
                  </pic:spPr>
                </pic:pic>
              </a:graphicData>
            </a:graphic>
          </wp:anchor>
        </w:drawing>
      </w:r>
      <w:r>
        <w:rPr>
          <w:rFonts w:hint="eastAsia" w:ascii="宋体" w:hAnsi="宋体" w:eastAsia="宋体" w:cs="宋体"/>
        </w:rPr>
        <w:drawing>
          <wp:anchor distT="0" distB="0" distL="114300" distR="114300" simplePos="0" relativeHeight="251697152" behindDoc="0" locked="0" layoutInCell="1" allowOverlap="1">
            <wp:simplePos x="0" y="0"/>
            <wp:positionH relativeFrom="column">
              <wp:posOffset>-40640</wp:posOffset>
            </wp:positionH>
            <wp:positionV relativeFrom="paragraph">
              <wp:posOffset>5302885</wp:posOffset>
            </wp:positionV>
            <wp:extent cx="5490845" cy="3186430"/>
            <wp:effectExtent l="0" t="0" r="14605" b="13970"/>
            <wp:wrapNone/>
            <wp:docPr id="1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8"/>
                    <pic:cNvPicPr>
                      <a:picLocks noChangeAspect="1"/>
                    </pic:cNvPicPr>
                  </pic:nvPicPr>
                  <pic:blipFill>
                    <a:blip r:embed="rId55"/>
                    <a:stretch>
                      <a:fillRect/>
                    </a:stretch>
                  </pic:blipFill>
                  <pic:spPr>
                    <a:xfrm>
                      <a:off x="0" y="0"/>
                      <a:ext cx="5490845" cy="3186430"/>
                    </a:xfrm>
                    <a:prstGeom prst="rect">
                      <a:avLst/>
                    </a:prstGeom>
                    <a:noFill/>
                    <a:ln>
                      <a:noFill/>
                    </a:ln>
                  </pic:spPr>
                </pic:pic>
              </a:graphicData>
            </a:graphic>
          </wp:anchor>
        </w:drawing>
      </w:r>
      <w:r>
        <w:rPr>
          <w:rFonts w:hint="eastAsia" w:ascii="宋体" w:hAnsi="宋体" w:eastAsia="宋体" w:cs="宋体"/>
        </w:rPr>
        <w:drawing>
          <wp:anchor distT="0" distB="0" distL="114300" distR="114300" simplePos="0" relativeHeight="251698176" behindDoc="0" locked="0" layoutInCell="1" allowOverlap="1">
            <wp:simplePos x="0" y="0"/>
            <wp:positionH relativeFrom="column">
              <wp:posOffset>7141210</wp:posOffset>
            </wp:positionH>
            <wp:positionV relativeFrom="paragraph">
              <wp:posOffset>137160</wp:posOffset>
            </wp:positionV>
            <wp:extent cx="5728335" cy="2871470"/>
            <wp:effectExtent l="0" t="0" r="5715" b="5080"/>
            <wp:wrapNone/>
            <wp:docPr id="12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9"/>
                    <pic:cNvPicPr>
                      <a:picLocks noChangeAspect="1"/>
                    </pic:cNvPicPr>
                  </pic:nvPicPr>
                  <pic:blipFill>
                    <a:blip r:embed="rId56"/>
                    <a:stretch>
                      <a:fillRect/>
                    </a:stretch>
                  </pic:blipFill>
                  <pic:spPr>
                    <a:xfrm>
                      <a:off x="0" y="0"/>
                      <a:ext cx="5728335" cy="2871470"/>
                    </a:xfrm>
                    <a:prstGeom prst="rect">
                      <a:avLst/>
                    </a:prstGeom>
                    <a:noFill/>
                    <a:ln>
                      <a:noFill/>
                    </a:ln>
                  </pic:spPr>
                </pic:pic>
              </a:graphicData>
            </a:graphic>
          </wp:anchor>
        </w:drawing>
      </w:r>
      <w:r>
        <w:rPr>
          <w:rFonts w:hint="eastAsia" w:ascii="宋体" w:hAnsi="宋体" w:eastAsia="宋体" w:cs="宋体"/>
        </w:rPr>
        <w:drawing>
          <wp:anchor distT="0" distB="0" distL="114300" distR="114300" simplePos="0" relativeHeight="251695104" behindDoc="0" locked="0" layoutInCell="1" allowOverlap="1">
            <wp:simplePos x="0" y="0"/>
            <wp:positionH relativeFrom="column">
              <wp:posOffset>6456680</wp:posOffset>
            </wp:positionH>
            <wp:positionV relativeFrom="paragraph">
              <wp:posOffset>3525520</wp:posOffset>
            </wp:positionV>
            <wp:extent cx="4488180" cy="1190625"/>
            <wp:effectExtent l="0" t="0" r="7620" b="9525"/>
            <wp:wrapNone/>
            <wp:docPr id="11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4"/>
                    <pic:cNvPicPr>
                      <a:picLocks noChangeAspect="1"/>
                    </pic:cNvPicPr>
                  </pic:nvPicPr>
                  <pic:blipFill>
                    <a:blip r:embed="rId57"/>
                    <a:stretch>
                      <a:fillRect/>
                    </a:stretch>
                  </pic:blipFill>
                  <pic:spPr>
                    <a:xfrm>
                      <a:off x="0" y="0"/>
                      <a:ext cx="4488180" cy="1190625"/>
                    </a:xfrm>
                    <a:prstGeom prst="rect">
                      <a:avLst/>
                    </a:prstGeom>
                    <a:noFill/>
                    <a:ln>
                      <a:noFill/>
                    </a:ln>
                  </pic:spPr>
                </pic:pic>
              </a:graphicData>
            </a:graphic>
          </wp:anchor>
        </w:drawing>
      </w:r>
      <w:r>
        <w:rPr>
          <w:rFonts w:hint="eastAsia" w:ascii="宋体" w:hAnsi="宋体" w:eastAsia="宋体" w:cs="宋体"/>
        </w:rPr>
        <w:drawing>
          <wp:inline distT="0" distB="0" distL="114300" distR="114300">
            <wp:extent cx="13098780" cy="8476615"/>
            <wp:effectExtent l="0" t="0" r="7620" b="635"/>
            <wp:docPr id="1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4"/>
                    <pic:cNvPicPr>
                      <a:picLocks noChangeAspect="1"/>
                    </pic:cNvPicPr>
                  </pic:nvPicPr>
                  <pic:blipFill>
                    <a:blip r:embed="rId50"/>
                    <a:stretch>
                      <a:fillRect/>
                    </a:stretch>
                  </pic:blipFill>
                  <pic:spPr>
                    <a:xfrm>
                      <a:off x="0" y="0"/>
                      <a:ext cx="13098780" cy="8476615"/>
                    </a:xfrm>
                    <a:prstGeom prst="rect">
                      <a:avLst/>
                    </a:prstGeom>
                    <a:noFill/>
                    <a:ln>
                      <a:noFill/>
                    </a:ln>
                  </pic:spPr>
                </pic:pic>
              </a:graphicData>
            </a:graphic>
          </wp:inline>
        </w:drawing>
      </w:r>
    </w:p>
    <w:p w14:paraId="7E6902C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附图1</w:t>
      </w:r>
      <w:r>
        <w:rPr>
          <w:rFonts w:hint="eastAsia" w:cs="宋体"/>
          <w:b/>
          <w:bCs/>
          <w:color w:val="auto"/>
          <w:highlight w:val="none"/>
          <w:lang w:val="en-US" w:eastAsia="zh-CN"/>
        </w:rPr>
        <w:t>1</w:t>
      </w:r>
      <w:r>
        <w:rPr>
          <w:rFonts w:hint="eastAsia" w:ascii="宋体" w:hAnsi="宋体" w:eastAsia="宋体" w:cs="宋体"/>
          <w:b/>
          <w:bCs/>
          <w:color w:val="auto"/>
          <w:highlight w:val="none"/>
          <w:lang w:val="en-US" w:eastAsia="zh-CN"/>
        </w:rPr>
        <w:t xml:space="preserve"> 弯道太特殊路段加宽方式</w:t>
      </w:r>
    </w:p>
    <w:p w14:paraId="30C3869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color w:val="auto"/>
          <w:highlight w:val="none"/>
          <w:lang w:val="en-US" w:eastAsia="zh-CN"/>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rPr>
        <w:drawing>
          <wp:inline distT="0" distB="0" distL="114300" distR="114300">
            <wp:extent cx="7753985" cy="5477510"/>
            <wp:effectExtent l="0" t="0" r="18415" b="8890"/>
            <wp:docPr id="15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1"/>
                    <pic:cNvPicPr>
                      <a:picLocks noChangeAspect="1"/>
                    </pic:cNvPicPr>
                  </pic:nvPicPr>
                  <pic:blipFill>
                    <a:blip r:embed="rId58"/>
                    <a:stretch>
                      <a:fillRect/>
                    </a:stretch>
                  </pic:blipFill>
                  <pic:spPr>
                    <a:xfrm>
                      <a:off x="0" y="0"/>
                      <a:ext cx="7753985" cy="5477510"/>
                    </a:xfrm>
                    <a:prstGeom prst="rect">
                      <a:avLst/>
                    </a:prstGeom>
                    <a:noFill/>
                    <a:ln>
                      <a:noFill/>
                    </a:ln>
                  </pic:spPr>
                </pic:pic>
              </a:graphicData>
            </a:graphic>
          </wp:inline>
        </w:drawing>
      </w:r>
    </w:p>
    <w:p w14:paraId="33A8A8C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附件1营业执照</w:t>
      </w:r>
    </w:p>
    <w:p w14:paraId="1F66A9EB">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0"/>
        <w:rPr>
          <w:rFonts w:hint="eastAsia" w:ascii="宋体" w:hAnsi="宋体" w:eastAsia="宋体" w:cs="宋体"/>
          <w:color w:val="auto"/>
          <w:highlight w:val="none"/>
          <w:lang w:val="en-US" w:eastAsia="zh-CN"/>
        </w:rPr>
        <w:sectPr>
          <w:pgSz w:w="16838" w:h="11906" w:orient="landscape"/>
          <w:pgMar w:top="1800" w:right="1440" w:bottom="567"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highlight w:val="none"/>
          <w:lang w:val="en-US" w:eastAsia="zh-CN"/>
        </w:rPr>
        <w:drawing>
          <wp:inline distT="0" distB="0" distL="114300" distR="114300">
            <wp:extent cx="7018655" cy="4830445"/>
            <wp:effectExtent l="0" t="0" r="10795" b="8255"/>
            <wp:docPr id="53" name="图片 471" descr="89acf5f6886b6c8cd44e3910fd4e6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71" descr="89acf5f6886b6c8cd44e3910fd4e6af"/>
                    <pic:cNvPicPr>
                      <a:picLocks noChangeAspect="1"/>
                    </pic:cNvPicPr>
                  </pic:nvPicPr>
                  <pic:blipFill>
                    <a:blip r:embed="rId59"/>
                    <a:stretch>
                      <a:fillRect/>
                    </a:stretch>
                  </pic:blipFill>
                  <pic:spPr>
                    <a:xfrm>
                      <a:off x="0" y="0"/>
                      <a:ext cx="7018655" cy="4830445"/>
                    </a:xfrm>
                    <a:prstGeom prst="rect">
                      <a:avLst/>
                    </a:prstGeom>
                    <a:noFill/>
                    <a:ln>
                      <a:noFill/>
                    </a:ln>
                  </pic:spPr>
                </pic:pic>
              </a:graphicData>
            </a:graphic>
          </wp:inline>
        </w:drawing>
      </w:r>
    </w:p>
    <w:p w14:paraId="4EABED76">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附件2 施工图设计批复</w:t>
      </w:r>
    </w:p>
    <w:p w14:paraId="335F21B1">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rPr>
        <w:drawing>
          <wp:inline distT="0" distB="0" distL="114300" distR="114300">
            <wp:extent cx="5542915" cy="7831455"/>
            <wp:effectExtent l="0" t="0" r="635" b="17145"/>
            <wp:docPr id="54"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5"/>
                    <pic:cNvPicPr>
                      <a:picLocks noChangeAspect="1"/>
                    </pic:cNvPicPr>
                  </pic:nvPicPr>
                  <pic:blipFill>
                    <a:blip r:embed="rId60"/>
                    <a:stretch>
                      <a:fillRect/>
                    </a:stretch>
                  </pic:blipFill>
                  <pic:spPr>
                    <a:xfrm>
                      <a:off x="0" y="0"/>
                      <a:ext cx="5542915" cy="7831455"/>
                    </a:xfrm>
                    <a:prstGeom prst="rect">
                      <a:avLst/>
                    </a:prstGeom>
                    <a:noFill/>
                    <a:ln>
                      <a:noFill/>
                    </a:ln>
                  </pic:spPr>
                </pic:pic>
              </a:graphicData>
            </a:graphic>
          </wp:inline>
        </w:drawing>
      </w:r>
    </w:p>
    <w:p w14:paraId="3441BDF4">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9"/>
        <w:rPr>
          <w:rFonts w:hint="eastAsia" w:ascii="宋体" w:hAnsi="宋体" w:eastAsia="宋体" w:cs="宋体"/>
          <w:color w:val="auto"/>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highlight w:val="none"/>
        </w:rPr>
        <w:drawing>
          <wp:inline distT="0" distB="0" distL="114300" distR="114300">
            <wp:extent cx="5553075" cy="7844155"/>
            <wp:effectExtent l="0" t="0" r="9525" b="4445"/>
            <wp:docPr id="55"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39"/>
                    <pic:cNvPicPr>
                      <a:picLocks noChangeAspect="1"/>
                    </pic:cNvPicPr>
                  </pic:nvPicPr>
                  <pic:blipFill>
                    <a:blip r:embed="rId61"/>
                    <a:stretch>
                      <a:fillRect/>
                    </a:stretch>
                  </pic:blipFill>
                  <pic:spPr>
                    <a:xfrm>
                      <a:off x="0" y="0"/>
                      <a:ext cx="5553075" cy="784415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391150" cy="7615555"/>
            <wp:effectExtent l="0" t="0" r="0" b="4445"/>
            <wp:docPr id="56"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40"/>
                    <pic:cNvPicPr>
                      <a:picLocks noChangeAspect="1"/>
                    </pic:cNvPicPr>
                  </pic:nvPicPr>
                  <pic:blipFill>
                    <a:blip r:embed="rId62"/>
                    <a:stretch>
                      <a:fillRect/>
                    </a:stretch>
                  </pic:blipFill>
                  <pic:spPr>
                    <a:xfrm>
                      <a:off x="0" y="0"/>
                      <a:ext cx="5391150" cy="761555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566410" cy="7863205"/>
            <wp:effectExtent l="0" t="0" r="15240" b="4445"/>
            <wp:docPr id="57"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41"/>
                    <pic:cNvPicPr>
                      <a:picLocks noChangeAspect="1"/>
                    </pic:cNvPicPr>
                  </pic:nvPicPr>
                  <pic:blipFill>
                    <a:blip r:embed="rId63"/>
                    <a:stretch>
                      <a:fillRect/>
                    </a:stretch>
                  </pic:blipFill>
                  <pic:spPr>
                    <a:xfrm>
                      <a:off x="0" y="0"/>
                      <a:ext cx="5566410" cy="786320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452110" cy="7701915"/>
            <wp:effectExtent l="0" t="0" r="15240" b="13335"/>
            <wp:docPr id="58"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42"/>
                    <pic:cNvPicPr>
                      <a:picLocks noChangeAspect="1"/>
                    </pic:cNvPicPr>
                  </pic:nvPicPr>
                  <pic:blipFill>
                    <a:blip r:embed="rId64"/>
                    <a:stretch>
                      <a:fillRect/>
                    </a:stretch>
                  </pic:blipFill>
                  <pic:spPr>
                    <a:xfrm>
                      <a:off x="0" y="0"/>
                      <a:ext cx="5452110" cy="770191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535295" cy="7820025"/>
            <wp:effectExtent l="0" t="0" r="8255" b="9525"/>
            <wp:docPr id="59"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43"/>
                    <pic:cNvPicPr>
                      <a:picLocks noChangeAspect="1"/>
                    </pic:cNvPicPr>
                  </pic:nvPicPr>
                  <pic:blipFill>
                    <a:blip r:embed="rId65"/>
                    <a:stretch>
                      <a:fillRect/>
                    </a:stretch>
                  </pic:blipFill>
                  <pic:spPr>
                    <a:xfrm>
                      <a:off x="0" y="0"/>
                      <a:ext cx="5535295" cy="7820025"/>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532120" cy="7815580"/>
            <wp:effectExtent l="0" t="0" r="11430" b="13970"/>
            <wp:docPr id="60"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44"/>
                    <pic:cNvPicPr>
                      <a:picLocks noChangeAspect="1"/>
                    </pic:cNvPicPr>
                  </pic:nvPicPr>
                  <pic:blipFill>
                    <a:blip r:embed="rId66"/>
                    <a:stretch>
                      <a:fillRect/>
                    </a:stretch>
                  </pic:blipFill>
                  <pic:spPr>
                    <a:xfrm>
                      <a:off x="0" y="0"/>
                      <a:ext cx="5532120" cy="7815580"/>
                    </a:xfrm>
                    <a:prstGeom prst="rect">
                      <a:avLst/>
                    </a:prstGeom>
                    <a:noFill/>
                    <a:ln>
                      <a:noFill/>
                    </a:ln>
                  </pic:spPr>
                </pic:pic>
              </a:graphicData>
            </a:graphic>
          </wp:inline>
        </w:drawing>
      </w:r>
      <w:r>
        <w:rPr>
          <w:rFonts w:hint="eastAsia" w:ascii="宋体" w:hAnsi="宋体" w:eastAsia="宋体" w:cs="宋体"/>
          <w:color w:val="auto"/>
          <w:highlight w:val="none"/>
        </w:rPr>
        <w:drawing>
          <wp:inline distT="0" distB="0" distL="114300" distR="114300">
            <wp:extent cx="5441950" cy="7687945"/>
            <wp:effectExtent l="0" t="0" r="6350" b="8255"/>
            <wp:docPr id="61"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46"/>
                    <pic:cNvPicPr>
                      <a:picLocks noChangeAspect="1"/>
                    </pic:cNvPicPr>
                  </pic:nvPicPr>
                  <pic:blipFill>
                    <a:blip r:embed="rId67"/>
                    <a:stretch>
                      <a:fillRect/>
                    </a:stretch>
                  </pic:blipFill>
                  <pic:spPr>
                    <a:xfrm>
                      <a:off x="0" y="0"/>
                      <a:ext cx="5441950" cy="7687945"/>
                    </a:xfrm>
                    <a:prstGeom prst="rect">
                      <a:avLst/>
                    </a:prstGeom>
                    <a:noFill/>
                    <a:ln>
                      <a:noFill/>
                    </a:ln>
                  </pic:spPr>
                </pic:pic>
              </a:graphicData>
            </a:graphic>
          </wp:inline>
        </w:drawing>
      </w:r>
    </w:p>
    <w:p w14:paraId="24B2440F">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附件3 生态环境分区管控分析报告</w:t>
      </w:r>
    </w:p>
    <w:p w14:paraId="7976409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drawing>
          <wp:inline distT="0" distB="0" distL="114300" distR="114300">
            <wp:extent cx="7752080" cy="5481320"/>
            <wp:effectExtent l="0" t="0" r="1270" b="5080"/>
            <wp:docPr id="62" name="图片 463" descr="双鸭山至时代公路提质改造工程_2024年10月29日094002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63" descr="双鸭山至时代公路提质改造工程_2024年10月29日094002_分析报告_00"/>
                    <pic:cNvPicPr>
                      <a:picLocks noChangeAspect="1"/>
                    </pic:cNvPicPr>
                  </pic:nvPicPr>
                  <pic:blipFill>
                    <a:blip r:embed="rId68"/>
                    <a:stretch>
                      <a:fillRect/>
                    </a:stretch>
                  </pic:blipFill>
                  <pic:spPr>
                    <a:xfrm>
                      <a:off x="0" y="0"/>
                      <a:ext cx="7752080" cy="5481320"/>
                    </a:xfrm>
                    <a:prstGeom prst="rect">
                      <a:avLst/>
                    </a:prstGeom>
                    <a:noFill/>
                    <a:ln>
                      <a:noFill/>
                    </a:ln>
                  </pic:spPr>
                </pic:pic>
              </a:graphicData>
            </a:graphic>
          </wp:inline>
        </w:drawing>
      </w:r>
    </w:p>
    <w:p w14:paraId="496D6CD3">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b/>
          <w:bCs/>
          <w:color w:val="auto"/>
          <w:highlight w:val="none"/>
          <w:lang w:val="en-US" w:eastAsia="zh-CN"/>
        </w:rPr>
        <w:sectPr>
          <w:pgSz w:w="16838" w:h="11906" w:orient="landscape"/>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auto"/>
          <w:highlight w:val="none"/>
          <w:lang w:val="en-US" w:eastAsia="zh-CN"/>
        </w:rPr>
        <w:drawing>
          <wp:inline distT="0" distB="0" distL="114300" distR="114300">
            <wp:extent cx="7967980" cy="5634355"/>
            <wp:effectExtent l="0" t="0" r="13970" b="4445"/>
            <wp:docPr id="63" name="图片 458" descr="双鸭山至时代公路提质改造工程_2024年10月29日094002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58" descr="双鸭山至时代公路提质改造工程_2024年10月29日094002_分析报告_01"/>
                    <pic:cNvPicPr>
                      <a:picLocks noChangeAspect="1"/>
                    </pic:cNvPicPr>
                  </pic:nvPicPr>
                  <pic:blipFill>
                    <a:blip r:embed="rId69"/>
                    <a:stretch>
                      <a:fillRect/>
                    </a:stretch>
                  </pic:blipFill>
                  <pic:spPr>
                    <a:xfrm>
                      <a:off x="0" y="0"/>
                      <a:ext cx="7967980" cy="563435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8020685" cy="5671820"/>
            <wp:effectExtent l="0" t="0" r="18415" b="5080"/>
            <wp:docPr id="64" name="图片 457" descr="双鸭山至时代公路提质改造工程_2024年10月29日094002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57" descr="双鸭山至时代公路提质改造工程_2024年10月29日094002_分析报告_02"/>
                    <pic:cNvPicPr>
                      <a:picLocks noChangeAspect="1"/>
                    </pic:cNvPicPr>
                  </pic:nvPicPr>
                  <pic:blipFill>
                    <a:blip r:embed="rId70"/>
                    <a:stretch>
                      <a:fillRect/>
                    </a:stretch>
                  </pic:blipFill>
                  <pic:spPr>
                    <a:xfrm>
                      <a:off x="0" y="0"/>
                      <a:ext cx="8020685" cy="5671820"/>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80045" cy="5643245"/>
            <wp:effectExtent l="0" t="0" r="1905" b="14605"/>
            <wp:docPr id="65" name="图片 456" descr="双鸭山至时代公路提质改造工程_2024年10月29日094002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56" descr="双鸭山至时代公路提质改造工程_2024年10月29日094002_分析报告_03"/>
                    <pic:cNvPicPr>
                      <a:picLocks noChangeAspect="1"/>
                    </pic:cNvPicPr>
                  </pic:nvPicPr>
                  <pic:blipFill>
                    <a:blip r:embed="rId71"/>
                    <a:stretch>
                      <a:fillRect/>
                    </a:stretch>
                  </pic:blipFill>
                  <pic:spPr>
                    <a:xfrm>
                      <a:off x="0" y="0"/>
                      <a:ext cx="7980045" cy="56432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80045" cy="5643245"/>
            <wp:effectExtent l="0" t="0" r="1905" b="14605"/>
            <wp:docPr id="66" name="图片 464" descr="双鸭山至时代公路提质改造工程_2024年10月29日094002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64" descr="双鸭山至时代公路提质改造工程_2024年10月29日094002_分析报告_04"/>
                    <pic:cNvPicPr>
                      <a:picLocks noChangeAspect="1"/>
                    </pic:cNvPicPr>
                  </pic:nvPicPr>
                  <pic:blipFill>
                    <a:blip r:embed="rId72"/>
                    <a:stretch>
                      <a:fillRect/>
                    </a:stretch>
                  </pic:blipFill>
                  <pic:spPr>
                    <a:xfrm>
                      <a:off x="0" y="0"/>
                      <a:ext cx="7980045" cy="56432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80045" cy="5643245"/>
            <wp:effectExtent l="0" t="0" r="1905" b="14605"/>
            <wp:docPr id="67" name="图片 454" descr="双鸭山至时代公路提质改造工程_2024年10月29日094002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4" descr="双鸭山至时代公路提质改造工程_2024年10月29日094002_分析报告_05"/>
                    <pic:cNvPicPr>
                      <a:picLocks noChangeAspect="1"/>
                    </pic:cNvPicPr>
                  </pic:nvPicPr>
                  <pic:blipFill>
                    <a:blip r:embed="rId73"/>
                    <a:stretch>
                      <a:fillRect/>
                    </a:stretch>
                  </pic:blipFill>
                  <pic:spPr>
                    <a:xfrm>
                      <a:off x="0" y="0"/>
                      <a:ext cx="7980045" cy="56432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8034020" cy="5681345"/>
            <wp:effectExtent l="0" t="0" r="5080" b="14605"/>
            <wp:docPr id="68" name="图片 460" descr="双鸭山至时代公路提质改造工程_2024年10月29日094002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60" descr="双鸭山至时代公路提质改造工程_2024年10月29日094002_分析报告_06"/>
                    <pic:cNvPicPr>
                      <a:picLocks noChangeAspect="1"/>
                    </pic:cNvPicPr>
                  </pic:nvPicPr>
                  <pic:blipFill>
                    <a:blip r:embed="rId74"/>
                    <a:stretch>
                      <a:fillRect/>
                    </a:stretch>
                  </pic:blipFill>
                  <pic:spPr>
                    <a:xfrm>
                      <a:off x="0" y="0"/>
                      <a:ext cx="8034020" cy="56813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94650" cy="5653405"/>
            <wp:effectExtent l="0" t="0" r="6350" b="4445"/>
            <wp:docPr id="69" name="图片 452" descr="双鸭山至时代公路提质改造工程_2024年10月29日094002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52" descr="双鸭山至时代公路提质改造工程_2024年10月29日094002_分析报告_07"/>
                    <pic:cNvPicPr>
                      <a:picLocks noChangeAspect="1"/>
                    </pic:cNvPicPr>
                  </pic:nvPicPr>
                  <pic:blipFill>
                    <a:blip r:embed="rId75"/>
                    <a:stretch>
                      <a:fillRect/>
                    </a:stretch>
                  </pic:blipFill>
                  <pic:spPr>
                    <a:xfrm>
                      <a:off x="0" y="0"/>
                      <a:ext cx="7994650" cy="565340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26705" cy="5605145"/>
            <wp:effectExtent l="0" t="0" r="17145" b="14605"/>
            <wp:docPr id="70" name="图片 451" descr="双鸭山至时代公路提质改造工程_2024年10月29日094002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51" descr="双鸭山至时代公路提质改造工程_2024年10月29日094002_分析报告_08"/>
                    <pic:cNvPicPr>
                      <a:picLocks noChangeAspect="1"/>
                    </pic:cNvPicPr>
                  </pic:nvPicPr>
                  <pic:blipFill>
                    <a:blip r:embed="rId76"/>
                    <a:stretch>
                      <a:fillRect/>
                    </a:stretch>
                  </pic:blipFill>
                  <pic:spPr>
                    <a:xfrm>
                      <a:off x="0" y="0"/>
                      <a:ext cx="7926705" cy="56051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40040" cy="5614670"/>
            <wp:effectExtent l="0" t="0" r="3810" b="5080"/>
            <wp:docPr id="71" name="图片 450" descr="双鸭山至时代公路提质改造工程_2024年10月29日094002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0" descr="双鸭山至时代公路提质改造工程_2024年10月29日094002_分析报告_09"/>
                    <pic:cNvPicPr>
                      <a:picLocks noChangeAspect="1"/>
                    </pic:cNvPicPr>
                  </pic:nvPicPr>
                  <pic:blipFill>
                    <a:blip r:embed="rId77"/>
                    <a:stretch>
                      <a:fillRect/>
                    </a:stretch>
                  </pic:blipFill>
                  <pic:spPr>
                    <a:xfrm>
                      <a:off x="0" y="0"/>
                      <a:ext cx="7940040" cy="5614670"/>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94650" cy="5653405"/>
            <wp:effectExtent l="0" t="0" r="6350" b="4445"/>
            <wp:docPr id="72" name="图片 449" descr="双鸭山至时代公路提质改造工程_2024年10月29日094002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49" descr="双鸭山至时代公路提质改造工程_2024年10月29日094002_分析报告_10"/>
                    <pic:cNvPicPr>
                      <a:picLocks noChangeAspect="1"/>
                    </pic:cNvPicPr>
                  </pic:nvPicPr>
                  <pic:blipFill>
                    <a:blip r:embed="rId78"/>
                    <a:stretch>
                      <a:fillRect/>
                    </a:stretch>
                  </pic:blipFill>
                  <pic:spPr>
                    <a:xfrm>
                      <a:off x="0" y="0"/>
                      <a:ext cx="7994650" cy="565340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7980045" cy="5643245"/>
            <wp:effectExtent l="0" t="0" r="1905" b="14605"/>
            <wp:docPr id="73" name="图片 448" descr="双鸭山至时代公路提质改造工程_2024年10月29日094002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48" descr="双鸭山至时代公路提质改造工程_2024年10月29日094002_分析报告_11"/>
                    <pic:cNvPicPr>
                      <a:picLocks noChangeAspect="1"/>
                    </pic:cNvPicPr>
                  </pic:nvPicPr>
                  <pic:blipFill>
                    <a:blip r:embed="rId79"/>
                    <a:stretch>
                      <a:fillRect/>
                    </a:stretch>
                  </pic:blipFill>
                  <pic:spPr>
                    <a:xfrm>
                      <a:off x="0" y="0"/>
                      <a:ext cx="7980045" cy="5643245"/>
                    </a:xfrm>
                    <a:prstGeom prst="rect">
                      <a:avLst/>
                    </a:prstGeom>
                    <a:noFill/>
                    <a:ln>
                      <a:noFill/>
                    </a:ln>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8034020" cy="5681345"/>
            <wp:effectExtent l="0" t="0" r="5080" b="14605"/>
            <wp:docPr id="74" name="图片 461" descr="双鸭山至时代公路提质改造工程_2024年10月29日094002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61" descr="双鸭山至时代公路提质改造工程_2024年10月29日094002_分析报告_12"/>
                    <pic:cNvPicPr>
                      <a:picLocks noChangeAspect="1"/>
                    </pic:cNvPicPr>
                  </pic:nvPicPr>
                  <pic:blipFill>
                    <a:blip r:embed="rId80"/>
                    <a:stretch>
                      <a:fillRect/>
                    </a:stretch>
                  </pic:blipFill>
                  <pic:spPr>
                    <a:xfrm>
                      <a:off x="0" y="0"/>
                      <a:ext cx="8034020" cy="5681345"/>
                    </a:xfrm>
                    <a:prstGeom prst="rect">
                      <a:avLst/>
                    </a:prstGeom>
                    <a:noFill/>
                    <a:ln>
                      <a:noFill/>
                    </a:ln>
                  </pic:spPr>
                </pic:pic>
              </a:graphicData>
            </a:graphic>
          </wp:inline>
        </w:drawing>
      </w:r>
    </w:p>
    <w:p w14:paraId="30D1CD42">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附件4 选址意见书</w:t>
      </w:r>
    </w:p>
    <w:p w14:paraId="17CBC40C">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b/>
          <w:bCs/>
          <w:color w:val="auto"/>
          <w:highlight w:val="none"/>
          <w:lang w:val="en-US" w:eastAsia="zh-CN"/>
        </w:rPr>
        <w:sectPr>
          <w:pgSz w:w="16838" w:h="11906" w:orient="landscape"/>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auto"/>
          <w:highlight w:val="none"/>
          <w:lang w:val="en-US" w:eastAsia="zh-CN"/>
        </w:rPr>
        <w:drawing>
          <wp:inline distT="0" distB="0" distL="114300" distR="114300">
            <wp:extent cx="5336540" cy="7617460"/>
            <wp:effectExtent l="0" t="0" r="2540" b="16510"/>
            <wp:docPr id="75" name="图片 479" descr="64dd1fd402c724d3aeee756c87f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79" descr="64dd1fd402c724d3aeee756c87f0387"/>
                    <pic:cNvPicPr>
                      <a:picLocks noChangeAspect="1"/>
                    </pic:cNvPicPr>
                  </pic:nvPicPr>
                  <pic:blipFill>
                    <a:blip r:embed="rId81"/>
                    <a:stretch>
                      <a:fillRect/>
                    </a:stretch>
                  </pic:blipFill>
                  <pic:spPr>
                    <a:xfrm rot="-5400000">
                      <a:off x="0" y="0"/>
                      <a:ext cx="5336540" cy="7617460"/>
                    </a:xfrm>
                    <a:prstGeom prst="rect">
                      <a:avLst/>
                    </a:prstGeom>
                    <a:noFill/>
                    <a:ln>
                      <a:noFill/>
                    </a:ln>
                  </pic:spPr>
                </pic:pic>
              </a:graphicData>
            </a:graphic>
          </wp:inline>
        </w:drawing>
      </w:r>
    </w:p>
    <w:p w14:paraId="54764875">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0"/>
        <w:rPr>
          <w:rFonts w:hint="eastAsia" w:cs="宋体"/>
          <w:b/>
          <w:bCs/>
          <w:color w:val="auto"/>
          <w:highlight w:val="lightGray"/>
          <w:lang w:val="en-US" w:eastAsia="zh-CN"/>
        </w:rPr>
      </w:pPr>
      <w:r>
        <w:rPr>
          <w:rFonts w:hint="eastAsia" w:ascii="宋体" w:hAnsi="宋体" w:eastAsia="宋体" w:cs="宋体"/>
          <w:b/>
          <w:bCs/>
          <w:color w:val="auto"/>
          <w:highlight w:val="lightGray"/>
          <w:lang w:val="en-US" w:eastAsia="zh-CN"/>
        </w:rPr>
        <w:t>附件5 噪声</w:t>
      </w:r>
      <w:r>
        <w:rPr>
          <w:rFonts w:hint="eastAsia" w:cs="宋体"/>
          <w:b/>
          <w:bCs/>
          <w:color w:val="auto"/>
          <w:highlight w:val="lightGray"/>
          <w:lang w:val="en-US" w:eastAsia="zh-CN"/>
        </w:rPr>
        <w:t>检测报告</w:t>
      </w:r>
    </w:p>
    <w:p w14:paraId="54E11D6E">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9"/>
        <w:rPr>
          <w:rFonts w:hint="eastAsia" w:ascii="宋体" w:hAnsi="宋体" w:eastAsia="宋体" w:cs="宋体"/>
          <w:b/>
          <w:bCs/>
          <w:color w:val="auto"/>
          <w:highlight w:val="lightGray"/>
          <w:lang w:val="en-US" w:eastAsia="zh-CN"/>
        </w:rPr>
      </w:pPr>
      <w:r>
        <w:rPr>
          <w:rFonts w:hint="eastAsia" w:ascii="宋体" w:hAnsi="宋体" w:eastAsia="宋体" w:cs="宋体"/>
          <w:b/>
          <w:bCs/>
          <w:color w:val="auto"/>
          <w:highlight w:val="none"/>
          <w:lang w:val="en-US" w:eastAsia="zh-CN"/>
        </w:rPr>
        <w:drawing>
          <wp:inline distT="0" distB="0" distL="114300" distR="114300">
            <wp:extent cx="5723890" cy="8095615"/>
            <wp:effectExtent l="0" t="0" r="10160" b="635"/>
            <wp:docPr id="11" name="图片 11" descr="报告-双鸭山至时代公路提质改造工程(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报告-双鸭山至时代公路提质改造工程(2)_00"/>
                    <pic:cNvPicPr>
                      <a:picLocks noChangeAspect="1"/>
                    </pic:cNvPicPr>
                  </pic:nvPicPr>
                  <pic:blipFill>
                    <a:blip r:embed="rId82"/>
                    <a:stretch>
                      <a:fillRect/>
                    </a:stretch>
                  </pic:blipFill>
                  <pic:spPr>
                    <a:xfrm>
                      <a:off x="0" y="0"/>
                      <a:ext cx="5723890" cy="8095615"/>
                    </a:xfrm>
                    <a:prstGeom prst="rect">
                      <a:avLst/>
                    </a:prstGeom>
                  </pic:spPr>
                </pic:pic>
              </a:graphicData>
            </a:graphic>
          </wp:inline>
        </w:drawing>
      </w:r>
    </w:p>
    <w:p w14:paraId="75547821">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both"/>
        <w:textAlignment w:val="auto"/>
        <w:outlineLvl w:val="9"/>
        <w:rPr>
          <w:rFonts w:hint="eastAsia" w:ascii="宋体" w:hAnsi="宋体" w:eastAsia="宋体" w:cs="宋体"/>
          <w:b/>
          <w:bCs/>
          <w:color w:val="auto"/>
          <w:highlight w:val="no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auto"/>
          <w:highlight w:val="none"/>
          <w:lang w:val="en-US" w:eastAsia="zh-CN"/>
        </w:rPr>
        <w:drawing>
          <wp:inline distT="0" distB="0" distL="114300" distR="114300">
            <wp:extent cx="5723890" cy="8095615"/>
            <wp:effectExtent l="0" t="0" r="10160" b="635"/>
            <wp:docPr id="31" name="图片 31" descr="报告-双鸭山至时代公路提质改造工程(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报告-双鸭山至时代公路提质改造工程(2)_01"/>
                    <pic:cNvPicPr>
                      <a:picLocks noChangeAspect="1"/>
                    </pic:cNvPicPr>
                  </pic:nvPicPr>
                  <pic:blipFill>
                    <a:blip r:embed="rId83"/>
                    <a:stretch>
                      <a:fillRect/>
                    </a:stretch>
                  </pic:blipFill>
                  <pic:spPr>
                    <a:xfrm>
                      <a:off x="0" y="0"/>
                      <a:ext cx="5723890" cy="8095615"/>
                    </a:xfrm>
                    <a:prstGeom prst="rect">
                      <a:avLst/>
                    </a:prstGeom>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5723890" cy="8094980"/>
            <wp:effectExtent l="0" t="0" r="10160" b="1270"/>
            <wp:docPr id="32" name="图片 32" descr="报告-双鸭山至时代公路提质改造工程(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报告-双鸭山至时代公路提质改造工程(2)_02"/>
                    <pic:cNvPicPr>
                      <a:picLocks noChangeAspect="1"/>
                    </pic:cNvPicPr>
                  </pic:nvPicPr>
                  <pic:blipFill>
                    <a:blip r:embed="rId84"/>
                    <a:stretch>
                      <a:fillRect/>
                    </a:stretch>
                  </pic:blipFill>
                  <pic:spPr>
                    <a:xfrm>
                      <a:off x="0" y="0"/>
                      <a:ext cx="5723890" cy="8094980"/>
                    </a:xfrm>
                    <a:prstGeom prst="rect">
                      <a:avLst/>
                    </a:prstGeom>
                  </pic:spPr>
                </pic:pic>
              </a:graphicData>
            </a:graphic>
          </wp:inline>
        </w:drawing>
      </w:r>
      <w:r>
        <w:rPr>
          <w:rFonts w:hint="eastAsia" w:ascii="宋体" w:hAnsi="宋体" w:eastAsia="宋体" w:cs="宋体"/>
          <w:b/>
          <w:bCs/>
          <w:color w:val="auto"/>
          <w:highlight w:val="none"/>
          <w:lang w:val="en-US" w:eastAsia="zh-CN"/>
        </w:rPr>
        <w:drawing>
          <wp:inline distT="0" distB="0" distL="114300" distR="114300">
            <wp:extent cx="5723890" cy="8096885"/>
            <wp:effectExtent l="0" t="0" r="10160" b="18415"/>
            <wp:docPr id="35" name="图片 35" descr="报告-双鸭山至时代公路提质改造工程(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报告-双鸭山至时代公路提质改造工程(2)_03"/>
                    <pic:cNvPicPr>
                      <a:picLocks noChangeAspect="1"/>
                    </pic:cNvPicPr>
                  </pic:nvPicPr>
                  <pic:blipFill>
                    <a:blip r:embed="rId85"/>
                    <a:stretch>
                      <a:fillRect/>
                    </a:stretch>
                  </pic:blipFill>
                  <pic:spPr>
                    <a:xfrm>
                      <a:off x="0" y="0"/>
                      <a:ext cx="5723890" cy="8096885"/>
                    </a:xfrm>
                    <a:prstGeom prst="rect">
                      <a:avLst/>
                    </a:prstGeom>
                  </pic:spPr>
                </pic:pic>
              </a:graphicData>
            </a:graphic>
          </wp:inline>
        </w:drawing>
      </w:r>
    </w:p>
    <w:p w14:paraId="6C9E8B15">
      <w:pPr>
        <w:spacing w:before="163" w:beforeLines="50" w:after="163" w:afterLines="50"/>
        <w:ind w:firstLine="0" w:firstLineChars="0"/>
        <w:jc w:val="center"/>
        <w:outlineLvl w:val="9"/>
        <w:rPr>
          <w:rFonts w:hint="eastAsia" w:ascii="宋体" w:hAnsi="宋体" w:eastAsia="宋体" w:cs="宋体"/>
          <w:b/>
          <w:bCs/>
          <w:color w:val="auto"/>
          <w:sz w:val="44"/>
          <w:szCs w:val="44"/>
          <w:highlight w:val="none"/>
          <w:u w:val="none"/>
          <w:lang w:eastAsia="zh-CN"/>
        </w:rPr>
      </w:pPr>
    </w:p>
    <w:p w14:paraId="5DC76172">
      <w:pPr>
        <w:spacing w:before="163" w:beforeLines="50" w:after="163" w:afterLines="50"/>
        <w:ind w:firstLine="0" w:firstLineChars="0"/>
        <w:jc w:val="center"/>
        <w:outlineLvl w:val="9"/>
        <w:rPr>
          <w:rFonts w:hint="eastAsia" w:ascii="宋体" w:hAnsi="宋体" w:eastAsia="宋体" w:cs="宋体"/>
          <w:b/>
          <w:bCs/>
          <w:color w:val="auto"/>
          <w:sz w:val="44"/>
          <w:szCs w:val="44"/>
          <w:highlight w:val="none"/>
          <w:u w:val="none"/>
          <w:lang w:eastAsia="zh-CN"/>
        </w:rPr>
      </w:pPr>
      <w:r>
        <w:rPr>
          <w:rFonts w:hint="eastAsia" w:ascii="宋体" w:hAnsi="宋体" w:eastAsia="宋体" w:cs="宋体"/>
          <w:b/>
          <w:bCs/>
          <w:color w:val="auto"/>
          <w:sz w:val="44"/>
          <w:szCs w:val="44"/>
          <w:highlight w:val="none"/>
          <w:u w:val="none"/>
          <w:lang w:eastAsia="zh-CN"/>
        </w:rPr>
        <w:t>双鸭山至时代公路提质改造工程</w:t>
      </w:r>
    </w:p>
    <w:p w14:paraId="06B59740">
      <w:pPr>
        <w:spacing w:before="163" w:beforeLines="50" w:after="163" w:afterLines="50"/>
        <w:ind w:firstLine="0" w:firstLineChars="0"/>
        <w:jc w:val="center"/>
        <w:outlineLvl w:val="0"/>
        <w:rPr>
          <w:rFonts w:hint="eastAsia" w:ascii="宋体" w:hAnsi="宋体" w:eastAsia="宋体" w:cs="宋体"/>
          <w:b/>
          <w:bCs/>
          <w:color w:val="auto"/>
          <w:sz w:val="44"/>
          <w:szCs w:val="44"/>
          <w:highlight w:val="none"/>
          <w:u w:val="none"/>
          <w:lang w:eastAsia="zh-CN"/>
        </w:rPr>
      </w:pPr>
      <w:r>
        <w:rPr>
          <w:rFonts w:hint="eastAsia" w:ascii="宋体" w:hAnsi="宋体" w:eastAsia="宋体" w:cs="宋体"/>
          <w:b/>
          <w:bCs/>
          <w:color w:val="auto"/>
          <w:sz w:val="44"/>
          <w:szCs w:val="44"/>
          <w:highlight w:val="none"/>
          <w:u w:val="none"/>
          <w:lang w:eastAsia="zh-CN"/>
        </w:rPr>
        <w:t>生态环境影响专项评价</w:t>
      </w:r>
    </w:p>
    <w:p w14:paraId="2E22AAE3">
      <w:pPr>
        <w:spacing w:before="163" w:beforeLines="50" w:after="163" w:afterLines="50"/>
        <w:ind w:firstLine="0" w:firstLineChars="0"/>
        <w:jc w:val="center"/>
        <w:outlineLvl w:val="9"/>
        <w:rPr>
          <w:rFonts w:hint="eastAsia" w:ascii="宋体" w:hAnsi="宋体" w:eastAsia="宋体" w:cs="宋体"/>
          <w:b/>
          <w:bCs/>
          <w:color w:val="auto"/>
          <w:sz w:val="44"/>
          <w:szCs w:val="44"/>
          <w:highlight w:val="none"/>
          <w:u w:val="none"/>
          <w:lang w:eastAsia="zh-CN"/>
        </w:rPr>
      </w:pPr>
    </w:p>
    <w:p w14:paraId="1B89D514">
      <w:pPr>
        <w:pStyle w:val="2"/>
        <w:rPr>
          <w:rFonts w:hint="eastAsia" w:ascii="宋体" w:hAnsi="宋体" w:eastAsia="宋体" w:cs="宋体"/>
          <w:b/>
          <w:bCs/>
          <w:color w:val="auto"/>
          <w:sz w:val="44"/>
          <w:szCs w:val="44"/>
          <w:highlight w:val="none"/>
          <w:u w:val="none"/>
          <w:lang w:eastAsia="zh-CN"/>
        </w:rPr>
      </w:pPr>
    </w:p>
    <w:p w14:paraId="0D175E92">
      <w:pPr>
        <w:rPr>
          <w:rFonts w:hint="eastAsia" w:ascii="宋体" w:hAnsi="宋体" w:eastAsia="宋体" w:cs="宋体"/>
          <w:b/>
          <w:bCs/>
          <w:color w:val="auto"/>
          <w:sz w:val="44"/>
          <w:szCs w:val="44"/>
          <w:highlight w:val="none"/>
          <w:u w:val="none"/>
          <w:lang w:eastAsia="zh-CN"/>
        </w:rPr>
      </w:pPr>
    </w:p>
    <w:p w14:paraId="2B417DB2">
      <w:pPr>
        <w:pStyle w:val="2"/>
        <w:rPr>
          <w:rFonts w:hint="eastAsia" w:ascii="宋体" w:hAnsi="宋体" w:eastAsia="宋体" w:cs="宋体"/>
          <w:b/>
          <w:bCs/>
          <w:color w:val="auto"/>
          <w:sz w:val="44"/>
          <w:szCs w:val="44"/>
          <w:highlight w:val="none"/>
          <w:u w:val="none"/>
          <w:lang w:eastAsia="zh-CN"/>
        </w:rPr>
      </w:pPr>
    </w:p>
    <w:p w14:paraId="0670A049">
      <w:pPr>
        <w:rPr>
          <w:rFonts w:hint="eastAsia" w:ascii="宋体" w:hAnsi="宋体" w:eastAsia="宋体" w:cs="宋体"/>
          <w:b/>
          <w:bCs/>
          <w:color w:val="auto"/>
          <w:sz w:val="44"/>
          <w:szCs w:val="44"/>
          <w:highlight w:val="none"/>
          <w:u w:val="none"/>
          <w:lang w:eastAsia="zh-CN"/>
        </w:rPr>
      </w:pPr>
    </w:p>
    <w:p w14:paraId="29F06FD2">
      <w:pPr>
        <w:pStyle w:val="2"/>
        <w:rPr>
          <w:rFonts w:hint="eastAsia" w:ascii="宋体" w:hAnsi="宋体" w:eastAsia="宋体" w:cs="宋体"/>
          <w:b/>
          <w:bCs/>
          <w:color w:val="auto"/>
          <w:sz w:val="44"/>
          <w:szCs w:val="44"/>
          <w:highlight w:val="none"/>
          <w:u w:val="none"/>
          <w:lang w:eastAsia="zh-CN"/>
        </w:rPr>
      </w:pPr>
    </w:p>
    <w:p w14:paraId="316CC5F0">
      <w:pPr>
        <w:rPr>
          <w:rFonts w:hint="eastAsia" w:ascii="宋体" w:hAnsi="宋体" w:eastAsia="宋体" w:cs="宋体"/>
          <w:b/>
          <w:bCs/>
          <w:color w:val="auto"/>
          <w:sz w:val="44"/>
          <w:szCs w:val="44"/>
          <w:highlight w:val="none"/>
          <w:u w:val="none"/>
          <w:lang w:eastAsia="zh-CN"/>
        </w:rPr>
      </w:pPr>
    </w:p>
    <w:p w14:paraId="13DEF6D4">
      <w:pPr>
        <w:pStyle w:val="2"/>
        <w:rPr>
          <w:rFonts w:hint="eastAsia" w:ascii="宋体" w:hAnsi="宋体" w:eastAsia="宋体" w:cs="宋体"/>
          <w:b/>
          <w:bCs/>
          <w:color w:val="auto"/>
          <w:sz w:val="44"/>
          <w:szCs w:val="44"/>
          <w:highlight w:val="none"/>
          <w:u w:val="none"/>
          <w:lang w:eastAsia="zh-CN"/>
        </w:rPr>
      </w:pPr>
    </w:p>
    <w:p w14:paraId="620EE03F">
      <w:pPr>
        <w:rPr>
          <w:rFonts w:hint="eastAsia" w:ascii="宋体" w:hAnsi="宋体" w:eastAsia="宋体" w:cs="宋体"/>
          <w:b/>
          <w:bCs/>
          <w:color w:val="auto"/>
          <w:sz w:val="44"/>
          <w:szCs w:val="44"/>
          <w:highlight w:val="none"/>
          <w:u w:val="none"/>
          <w:lang w:eastAsia="zh-CN"/>
        </w:rPr>
      </w:pPr>
    </w:p>
    <w:p w14:paraId="02FB10A2">
      <w:pPr>
        <w:pStyle w:val="2"/>
        <w:rPr>
          <w:rFonts w:hint="eastAsia" w:ascii="宋体" w:hAnsi="宋体" w:eastAsia="宋体" w:cs="宋体"/>
          <w:b/>
          <w:bCs/>
          <w:color w:val="auto"/>
          <w:sz w:val="44"/>
          <w:szCs w:val="44"/>
          <w:highlight w:val="none"/>
          <w:u w:val="none"/>
          <w:lang w:eastAsia="zh-CN"/>
        </w:rPr>
      </w:pPr>
    </w:p>
    <w:p w14:paraId="227B933F">
      <w:pPr>
        <w:rPr>
          <w:rFonts w:hint="eastAsia" w:ascii="宋体" w:hAnsi="宋体" w:eastAsia="宋体" w:cs="宋体"/>
          <w:b/>
          <w:bCs/>
          <w:color w:val="auto"/>
          <w:sz w:val="44"/>
          <w:szCs w:val="44"/>
          <w:highlight w:val="none"/>
          <w:u w:val="none"/>
          <w:lang w:eastAsia="zh-CN"/>
        </w:rPr>
      </w:pPr>
    </w:p>
    <w:p w14:paraId="048C98C0">
      <w:pPr>
        <w:pStyle w:val="2"/>
        <w:rPr>
          <w:rFonts w:hint="eastAsia"/>
          <w:lang w:eastAsia="zh-CN"/>
        </w:rPr>
      </w:pPr>
    </w:p>
    <w:p w14:paraId="5FC2BC94">
      <w:pPr>
        <w:rPr>
          <w:rFonts w:hint="eastAsia" w:ascii="宋体" w:hAnsi="宋体" w:eastAsia="宋体" w:cs="宋体"/>
          <w:b/>
          <w:bCs/>
          <w:color w:val="auto"/>
          <w:sz w:val="44"/>
          <w:szCs w:val="44"/>
          <w:highlight w:val="none"/>
          <w:u w:val="none"/>
          <w:lang w:eastAsia="zh-CN"/>
        </w:rPr>
      </w:pPr>
    </w:p>
    <w:p w14:paraId="36925D1F">
      <w:pPr>
        <w:pStyle w:val="2"/>
        <w:rPr>
          <w:rFonts w:hint="eastAsia" w:ascii="宋体" w:hAnsi="宋体" w:eastAsia="宋体" w:cs="宋体"/>
          <w:b/>
          <w:bCs/>
          <w:color w:val="auto"/>
          <w:sz w:val="44"/>
          <w:szCs w:val="44"/>
          <w:highlight w:val="none"/>
          <w:u w:val="none"/>
          <w:lang w:eastAsia="zh-CN"/>
        </w:rPr>
      </w:pPr>
    </w:p>
    <w:p w14:paraId="17766969">
      <w:pPr>
        <w:rPr>
          <w:rFonts w:hint="eastAsia" w:ascii="宋体" w:hAnsi="宋体" w:eastAsia="宋体" w:cs="宋体"/>
          <w:b/>
          <w:bCs/>
          <w:color w:val="auto"/>
          <w:sz w:val="44"/>
          <w:szCs w:val="44"/>
          <w:highlight w:val="none"/>
          <w:u w:val="none"/>
          <w:lang w:eastAsia="zh-CN"/>
        </w:rPr>
      </w:pPr>
    </w:p>
    <w:p w14:paraId="542A233B">
      <w:pPr>
        <w:pStyle w:val="2"/>
        <w:rPr>
          <w:rFonts w:hint="eastAsia" w:ascii="宋体" w:hAnsi="宋体" w:eastAsia="宋体" w:cs="宋体"/>
          <w:b/>
          <w:bCs/>
          <w:color w:val="auto"/>
          <w:sz w:val="44"/>
          <w:szCs w:val="44"/>
          <w:highlight w:val="none"/>
          <w:u w:val="none"/>
          <w:lang w:eastAsia="zh-CN"/>
        </w:rPr>
      </w:pPr>
      <w:r>
        <w:rPr>
          <w:rFonts w:hint="eastAsia" w:ascii="宋体" w:hAnsi="宋体" w:eastAsia="宋体" w:cs="宋体"/>
          <w:b/>
          <w:bCs/>
          <w:color w:val="auto"/>
          <w:sz w:val="44"/>
          <w:szCs w:val="44"/>
          <w:highlight w:val="none"/>
          <w:u w:val="none"/>
        </w:rPr>
        <w:t>202</w:t>
      </w:r>
      <w:r>
        <w:rPr>
          <w:rFonts w:hint="eastAsia" w:ascii="宋体" w:hAnsi="宋体" w:eastAsia="宋体" w:cs="宋体"/>
          <w:b/>
          <w:bCs/>
          <w:color w:val="auto"/>
          <w:sz w:val="44"/>
          <w:szCs w:val="44"/>
          <w:highlight w:val="none"/>
          <w:u w:val="none"/>
          <w:lang w:val="en-US" w:eastAsia="zh-CN"/>
        </w:rPr>
        <w:t>5</w:t>
      </w:r>
      <w:r>
        <w:rPr>
          <w:rFonts w:hint="eastAsia" w:ascii="宋体" w:hAnsi="宋体" w:eastAsia="宋体" w:cs="宋体"/>
          <w:b/>
          <w:bCs/>
          <w:color w:val="auto"/>
          <w:sz w:val="44"/>
          <w:szCs w:val="44"/>
          <w:highlight w:val="none"/>
          <w:u w:val="none"/>
        </w:rPr>
        <w:t>年</w:t>
      </w:r>
      <w:r>
        <w:rPr>
          <w:rFonts w:hint="eastAsia" w:ascii="宋体" w:hAnsi="宋体" w:eastAsia="宋体" w:cs="宋体"/>
          <w:b/>
          <w:bCs/>
          <w:color w:val="auto"/>
          <w:sz w:val="44"/>
          <w:szCs w:val="44"/>
          <w:highlight w:val="none"/>
          <w:u w:val="none"/>
          <w:lang w:val="en-US" w:eastAsia="zh-CN"/>
        </w:rPr>
        <w:t>2</w:t>
      </w:r>
      <w:r>
        <w:rPr>
          <w:rFonts w:hint="eastAsia" w:ascii="宋体" w:hAnsi="宋体" w:eastAsia="宋体" w:cs="宋体"/>
          <w:b/>
          <w:bCs/>
          <w:color w:val="auto"/>
          <w:sz w:val="44"/>
          <w:szCs w:val="44"/>
          <w:highlight w:val="none"/>
          <w:u w:val="none"/>
        </w:rPr>
        <w:t>月</w:t>
      </w:r>
    </w:p>
    <w:p w14:paraId="6553EBAC">
      <w:pPr>
        <w:rPr>
          <w:rFonts w:hint="eastAsia" w:ascii="宋体" w:hAnsi="宋体" w:eastAsia="宋体" w:cs="宋体"/>
          <w:b/>
          <w:bCs/>
          <w:color w:val="auto"/>
          <w:sz w:val="44"/>
          <w:szCs w:val="44"/>
          <w:highlight w:val="none"/>
          <w:u w:val="none"/>
          <w:lang w:eastAsia="zh-CN"/>
        </w:rPr>
      </w:pPr>
    </w:p>
    <w:p w14:paraId="43D8B37E">
      <w:pPr>
        <w:ind w:left="0" w:leftChars="0" w:firstLine="0" w:firstLineChars="0"/>
        <w:rPr>
          <w:rFonts w:hint="eastAsia" w:ascii="宋体" w:hAnsi="宋体" w:eastAsia="宋体" w:cs="宋体"/>
          <w:b/>
          <w:bCs/>
          <w:color w:val="auto"/>
          <w:sz w:val="44"/>
          <w:szCs w:val="44"/>
          <w:highlight w:val="none"/>
          <w:u w:val="none"/>
          <w:lang w:eastAsia="zh-CN"/>
        </w:rPr>
      </w:pPr>
    </w:p>
    <w:p w14:paraId="6E6C3654">
      <w:pPr>
        <w:pStyle w:val="2"/>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850618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2"/>
          <w:highlight w:val="none"/>
          <w:lang w:val="en-US" w:eastAsia="zh-CN"/>
        </w:rPr>
      </w:pPr>
      <w:r>
        <w:rPr>
          <w:rFonts w:hint="eastAsia" w:ascii="宋体" w:hAnsi="宋体" w:eastAsia="宋体" w:cs="宋体"/>
          <w:b/>
          <w:bCs/>
          <w:sz w:val="28"/>
          <w:szCs w:val="22"/>
          <w:highlight w:val="none"/>
          <w:lang w:val="en-US" w:eastAsia="zh-CN"/>
        </w:rPr>
        <w:t>一、总论</w:t>
      </w:r>
    </w:p>
    <w:p w14:paraId="19C52FD1">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1.1项目基本情况</w:t>
      </w:r>
    </w:p>
    <w:p w14:paraId="6A6348D9">
      <w:pPr>
        <w:numPr>
          <w:ilvl w:val="0"/>
          <w:numId w:val="6"/>
        </w:numPr>
        <w:spacing w:line="360" w:lineRule="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项目名称：双鸭山至时代公路提质改造工程</w:t>
      </w:r>
    </w:p>
    <w:p w14:paraId="048003EB">
      <w:pPr>
        <w:numPr>
          <w:ilvl w:val="0"/>
          <w:numId w:val="6"/>
        </w:numPr>
        <w:spacing w:line="360" w:lineRule="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建设性质：改建</w:t>
      </w:r>
    </w:p>
    <w:p w14:paraId="72FB78D5">
      <w:pPr>
        <w:numPr>
          <w:ilvl w:val="0"/>
          <w:numId w:val="6"/>
        </w:numPr>
        <w:spacing w:line="360" w:lineRule="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建设单位：双鸭山市岭东区住房和城乡建设局</w:t>
      </w:r>
    </w:p>
    <w:p w14:paraId="3764745E">
      <w:pPr>
        <w:numPr>
          <w:ilvl w:val="0"/>
          <w:numId w:val="6"/>
        </w:numPr>
        <w:spacing w:line="360" w:lineRule="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建设地点：拟建于岭东区，工程起点为双鸭山至时代公路钢铁桥桥尾，终点与水泥厂水泥混凝土硬化路相接。工程起点坐标：东经131.070026°，北纬46.595474°，终点坐标东经131.048637°北纬46.59876450°呈东西走向。全长2125m。</w:t>
      </w:r>
    </w:p>
    <w:p w14:paraId="3171743D">
      <w:pPr>
        <w:pStyle w:val="73"/>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mallCaps w:val="0"/>
          <w:color w:val="auto"/>
          <w:sz w:val="24"/>
          <w:szCs w:val="24"/>
          <w:highlight w:val="none"/>
          <w:vertAlign w:val="baseline"/>
          <w:lang w:val="en-US" w:eastAsia="zh-CN"/>
        </w:rPr>
      </w:pPr>
      <w:r>
        <w:rPr>
          <w:rFonts w:hint="eastAsia" w:ascii="宋体" w:hAnsi="宋体" w:eastAsia="宋体" w:cs="宋体"/>
          <w:sz w:val="24"/>
          <w:szCs w:val="21"/>
          <w:highlight w:val="none"/>
          <w:lang w:val="en-US" w:eastAsia="zh-CN"/>
        </w:rPr>
        <w:t>占地面积：</w:t>
      </w:r>
      <w:r>
        <w:rPr>
          <w:rFonts w:hint="eastAsia" w:ascii="宋体" w:hAnsi="宋体" w:eastAsia="宋体" w:cs="宋体"/>
          <w:smallCaps w:val="0"/>
          <w:color w:val="auto"/>
          <w:sz w:val="24"/>
          <w:szCs w:val="24"/>
          <w:highlight w:val="yellow"/>
          <w:vertAlign w:val="baseline"/>
          <w:lang w:val="en-US" w:eastAsia="zh-CN"/>
        </w:rPr>
        <w:t>37864m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（永久占地32055.8m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，其中包括道路改造占地面积21250m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；弯道特殊路段加宽占地面积6565m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；边沟工程占地面积4197.6m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；路基永久防护墙占地面积43.2m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。临时占地5808.2m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，其中包括临时施工工场占地面积2131m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；临时弃渣场占地面积1897.2m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；临时表土堆场占地面积500m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；临时施工便道占地面积1280m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w:t>
      </w:r>
      <w:r>
        <w:rPr>
          <w:rFonts w:hint="eastAsia" w:ascii="宋体" w:hAnsi="宋体" w:eastAsia="宋体" w:cs="宋体"/>
          <w:sz w:val="24"/>
          <w:szCs w:val="21"/>
          <w:highlight w:val="none"/>
          <w:lang w:val="en-US" w:eastAsia="zh-CN"/>
        </w:rPr>
        <w:t>。</w:t>
      </w:r>
    </w:p>
    <w:p w14:paraId="3BF57197">
      <w:pPr>
        <w:pStyle w:val="73"/>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mallCaps w:val="0"/>
          <w:color w:val="auto"/>
          <w:sz w:val="24"/>
          <w:szCs w:val="24"/>
          <w:highlight w:val="none"/>
          <w:vertAlign w:val="baseline"/>
          <w:lang w:val="en-US" w:eastAsia="zh-CN"/>
        </w:rPr>
      </w:pPr>
      <w:r>
        <w:rPr>
          <w:rFonts w:hint="eastAsia" w:ascii="宋体" w:hAnsi="宋体" w:eastAsia="宋体" w:cs="宋体"/>
          <w:smallCaps w:val="0"/>
          <w:color w:val="auto"/>
          <w:sz w:val="24"/>
          <w:szCs w:val="24"/>
          <w:highlight w:val="none"/>
          <w:vertAlign w:val="baseline"/>
          <w:lang w:val="en-US" w:eastAsia="zh-CN"/>
        </w:rPr>
        <w:t>建设规模：本项目建设主体工程主要为道路工程，涵洞工程和边沟工程。道路工程总长度2125m。路面宽度9m，路肩宽度1m，为二级公路，道路改造路面面积21250m</w:t>
      </w:r>
      <w:r>
        <w:rPr>
          <w:rFonts w:hint="eastAsia" w:ascii="宋体" w:hAnsi="宋体" w:eastAsia="宋体" w:cs="宋体"/>
          <w:smallCaps w:val="0"/>
          <w:color w:val="auto"/>
          <w:sz w:val="24"/>
          <w:szCs w:val="24"/>
          <w:highlight w:val="none"/>
          <w:vertAlign w:val="superscript"/>
          <w:lang w:val="en-US" w:eastAsia="zh-CN"/>
        </w:rPr>
        <w:t>2</w:t>
      </w:r>
      <w:r>
        <w:rPr>
          <w:rFonts w:hint="eastAsia" w:ascii="宋体" w:hAnsi="宋体" w:eastAsia="宋体" w:cs="宋体"/>
          <w:smallCaps w:val="0"/>
          <w:color w:val="auto"/>
          <w:sz w:val="24"/>
          <w:szCs w:val="24"/>
          <w:highlight w:val="none"/>
          <w:vertAlign w:val="baseline"/>
          <w:lang w:val="en-US" w:eastAsia="zh-CN"/>
        </w:rPr>
        <w:t>。桥涵工程为改造现有道路涵洞，现有涵洞已不能满足泄洪能力，将K6+240、K6+757处波纹管涵改建为1-5.0x2.0m钢筋混凝土箱涵。在K6+760~K8+100路段右侧建设1340m排水边沟，在K7+775~K8+025左侧建设250m排水边沟。用于路基路面排水。</w:t>
      </w:r>
    </w:p>
    <w:p w14:paraId="67ECEBE2">
      <w:pPr>
        <w:pStyle w:val="82"/>
        <w:spacing w:line="240" w:lineRule="auto"/>
        <w:ind w:left="0" w:firstLine="0" w:firstLineChars="0"/>
        <w:rPr>
          <w:rFonts w:hint="eastAsia" w:ascii="宋体" w:hAnsi="宋体" w:eastAsia="宋体" w:cs="宋体"/>
          <w:b/>
          <w:bCs/>
          <w:smallCaps w:val="0"/>
          <w:color w:val="auto"/>
          <w:sz w:val="21"/>
          <w:szCs w:val="21"/>
          <w:highlight w:val="none"/>
        </w:rPr>
      </w:pPr>
      <w:r>
        <w:rPr>
          <w:rFonts w:hint="eastAsia" w:ascii="宋体" w:hAnsi="宋体" w:eastAsia="宋体" w:cs="宋体"/>
          <w:b/>
          <w:bCs/>
          <w:smallCaps w:val="0"/>
          <w:color w:val="auto"/>
          <w:sz w:val="21"/>
          <w:szCs w:val="21"/>
          <w:highlight w:val="none"/>
          <w:lang w:val="en-US" w:eastAsia="zh-CN"/>
        </w:rPr>
        <w:t xml:space="preserve">表1.1-1  </w:t>
      </w:r>
      <w:r>
        <w:rPr>
          <w:rFonts w:hint="eastAsia" w:ascii="宋体" w:hAnsi="宋体" w:eastAsia="宋体" w:cs="宋体"/>
          <w:b/>
          <w:bCs/>
          <w:smallCaps w:val="0"/>
          <w:color w:val="auto"/>
          <w:sz w:val="21"/>
          <w:szCs w:val="21"/>
          <w:highlight w:val="none"/>
        </w:rPr>
        <w:t>建设内容一览表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4"/>
        <w:gridCol w:w="439"/>
        <w:gridCol w:w="704"/>
        <w:gridCol w:w="542"/>
        <w:gridCol w:w="711"/>
        <w:gridCol w:w="853"/>
        <w:gridCol w:w="707"/>
        <w:gridCol w:w="646"/>
        <w:gridCol w:w="561"/>
        <w:gridCol w:w="879"/>
        <w:gridCol w:w="870"/>
        <w:gridCol w:w="826"/>
      </w:tblGrid>
      <w:tr w14:paraId="48567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noWrap w:val="0"/>
            <w:vAlign w:val="center"/>
          </w:tcPr>
          <w:p w14:paraId="7F4EE3C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项目</w:t>
            </w:r>
          </w:p>
        </w:tc>
        <w:tc>
          <w:tcPr>
            <w:tcW w:w="1060" w:type="dxa"/>
            <w:gridSpan w:val="2"/>
            <w:noWrap w:val="0"/>
            <w:vAlign w:val="center"/>
          </w:tcPr>
          <w:p w14:paraId="1903B56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工程内容</w:t>
            </w:r>
          </w:p>
        </w:tc>
        <w:tc>
          <w:tcPr>
            <w:tcW w:w="6115" w:type="dxa"/>
            <w:gridSpan w:val="9"/>
            <w:noWrap w:val="0"/>
            <w:vAlign w:val="center"/>
          </w:tcPr>
          <w:p w14:paraId="099DE3F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主要建设内容</w:t>
            </w:r>
          </w:p>
        </w:tc>
      </w:tr>
      <w:tr w14:paraId="7A2A4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2B20D80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r>
              <w:rPr>
                <w:rFonts w:hint="eastAsia" w:ascii="宋体" w:hAnsi="宋体" w:eastAsia="宋体" w:cs="宋体"/>
                <w:smallCaps w:val="0"/>
                <w:snapToGrid w:val="0"/>
                <w:color w:val="auto"/>
                <w:kern w:val="0"/>
                <w:sz w:val="21"/>
                <w:szCs w:val="21"/>
                <w:highlight w:val="none"/>
                <w:lang w:val="en-US"/>
              </w:rPr>
              <w:t>主体工程</w:t>
            </w:r>
          </w:p>
        </w:tc>
        <w:tc>
          <w:tcPr>
            <w:tcW w:w="1060" w:type="dxa"/>
            <w:gridSpan w:val="2"/>
            <w:vMerge w:val="restart"/>
            <w:noWrap w:val="0"/>
            <w:vAlign w:val="center"/>
          </w:tcPr>
          <w:p w14:paraId="088A1C8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道路工程</w:t>
            </w:r>
          </w:p>
        </w:tc>
        <w:tc>
          <w:tcPr>
            <w:tcW w:w="503" w:type="dxa"/>
            <w:vMerge w:val="restart"/>
            <w:noWrap w:val="0"/>
            <w:vAlign w:val="center"/>
          </w:tcPr>
          <w:p w14:paraId="7085E0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路面工程</w:t>
            </w:r>
          </w:p>
        </w:tc>
        <w:tc>
          <w:tcPr>
            <w:tcW w:w="659" w:type="dxa"/>
            <w:noWrap w:val="0"/>
            <w:vAlign w:val="center"/>
          </w:tcPr>
          <w:p w14:paraId="71CAC7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长度</w:t>
            </w:r>
          </w:p>
        </w:tc>
        <w:tc>
          <w:tcPr>
            <w:tcW w:w="791" w:type="dxa"/>
            <w:noWrap w:val="0"/>
            <w:vAlign w:val="center"/>
          </w:tcPr>
          <w:p w14:paraId="5FE067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宽度</w:t>
            </w:r>
          </w:p>
        </w:tc>
        <w:tc>
          <w:tcPr>
            <w:tcW w:w="656" w:type="dxa"/>
            <w:noWrap w:val="0"/>
            <w:vAlign w:val="center"/>
          </w:tcPr>
          <w:p w14:paraId="2F1FCF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设计车速</w:t>
            </w:r>
          </w:p>
        </w:tc>
        <w:tc>
          <w:tcPr>
            <w:tcW w:w="599" w:type="dxa"/>
            <w:noWrap w:val="0"/>
            <w:vAlign w:val="center"/>
          </w:tcPr>
          <w:p w14:paraId="2C714A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等级</w:t>
            </w:r>
          </w:p>
        </w:tc>
        <w:tc>
          <w:tcPr>
            <w:tcW w:w="520" w:type="dxa"/>
            <w:noWrap w:val="0"/>
            <w:vAlign w:val="center"/>
          </w:tcPr>
          <w:p w14:paraId="1504BD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车道</w:t>
            </w:r>
          </w:p>
        </w:tc>
        <w:tc>
          <w:tcPr>
            <w:tcW w:w="815" w:type="dxa"/>
            <w:noWrap w:val="0"/>
            <w:vAlign w:val="center"/>
          </w:tcPr>
          <w:p w14:paraId="50C96F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车流量比%</w:t>
            </w:r>
          </w:p>
        </w:tc>
        <w:tc>
          <w:tcPr>
            <w:tcW w:w="807" w:type="dxa"/>
            <w:noWrap w:val="0"/>
            <w:vAlign w:val="center"/>
          </w:tcPr>
          <w:p w14:paraId="45B9729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昼夜比</w:t>
            </w:r>
          </w:p>
        </w:tc>
        <w:tc>
          <w:tcPr>
            <w:tcW w:w="765" w:type="dxa"/>
            <w:noWrap w:val="0"/>
            <w:vAlign w:val="center"/>
          </w:tcPr>
          <w:p w14:paraId="07A907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备注</w:t>
            </w:r>
          </w:p>
        </w:tc>
      </w:tr>
      <w:tr w14:paraId="2CA62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0CAB6CD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p>
        </w:tc>
        <w:tc>
          <w:tcPr>
            <w:tcW w:w="1060" w:type="dxa"/>
            <w:gridSpan w:val="2"/>
            <w:vMerge w:val="continue"/>
            <w:noWrap w:val="0"/>
            <w:vAlign w:val="center"/>
          </w:tcPr>
          <w:p w14:paraId="31306F1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7DCA9D6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restart"/>
            <w:noWrap w:val="0"/>
            <w:vAlign w:val="center"/>
          </w:tcPr>
          <w:p w14:paraId="7ABA68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2125m</w:t>
            </w:r>
          </w:p>
        </w:tc>
        <w:tc>
          <w:tcPr>
            <w:tcW w:w="791" w:type="dxa"/>
            <w:vMerge w:val="restart"/>
            <w:noWrap w:val="0"/>
            <w:vAlign w:val="center"/>
          </w:tcPr>
          <w:p w14:paraId="6A2A3F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路面宽度9m，两侧路肩宽度1m</w:t>
            </w:r>
          </w:p>
        </w:tc>
        <w:tc>
          <w:tcPr>
            <w:tcW w:w="656" w:type="dxa"/>
            <w:vMerge w:val="restart"/>
            <w:noWrap w:val="0"/>
            <w:vAlign w:val="center"/>
          </w:tcPr>
          <w:p w14:paraId="27F9075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40km/h</w:t>
            </w:r>
          </w:p>
        </w:tc>
        <w:tc>
          <w:tcPr>
            <w:tcW w:w="599" w:type="dxa"/>
            <w:vMerge w:val="restart"/>
            <w:noWrap w:val="0"/>
            <w:vAlign w:val="center"/>
          </w:tcPr>
          <w:p w14:paraId="45E087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二级公路</w:t>
            </w:r>
          </w:p>
        </w:tc>
        <w:tc>
          <w:tcPr>
            <w:tcW w:w="520" w:type="dxa"/>
            <w:vMerge w:val="restart"/>
            <w:noWrap w:val="0"/>
            <w:vAlign w:val="center"/>
          </w:tcPr>
          <w:p w14:paraId="1A8EB88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对向双车道</w:t>
            </w:r>
          </w:p>
        </w:tc>
        <w:tc>
          <w:tcPr>
            <w:tcW w:w="815" w:type="dxa"/>
            <w:noWrap w:val="0"/>
            <w:vAlign w:val="center"/>
          </w:tcPr>
          <w:p w14:paraId="503FADA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小型车55</w:t>
            </w:r>
          </w:p>
        </w:tc>
        <w:tc>
          <w:tcPr>
            <w:tcW w:w="807" w:type="dxa"/>
            <w:vMerge w:val="restart"/>
            <w:noWrap w:val="0"/>
            <w:vAlign w:val="center"/>
          </w:tcPr>
          <w:p w14:paraId="559EEB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昼夜比为8</w:t>
            </w:r>
            <w:r>
              <w:rPr>
                <w:rFonts w:hint="eastAsia" w:ascii="宋体" w:hAnsi="宋体" w:eastAsia="宋体" w:cs="宋体"/>
                <w:b/>
                <w:bCs/>
                <w:smallCaps w:val="0"/>
                <w:color w:val="auto"/>
                <w:sz w:val="21"/>
                <w:szCs w:val="21"/>
                <w:highlight w:val="none"/>
                <w:lang w:val="en-US" w:eastAsia="zh-CN"/>
              </w:rPr>
              <w:t>:</w:t>
            </w:r>
            <w:r>
              <w:rPr>
                <w:rFonts w:hint="eastAsia" w:ascii="宋体" w:hAnsi="宋体" w:eastAsia="宋体" w:cs="宋体"/>
                <w:smallCaps w:val="0"/>
                <w:color w:val="auto"/>
                <w:sz w:val="21"/>
                <w:szCs w:val="21"/>
                <w:highlight w:val="none"/>
                <w:lang w:val="en-US" w:eastAsia="zh-CN"/>
              </w:rPr>
              <w:t>2</w:t>
            </w:r>
          </w:p>
        </w:tc>
        <w:tc>
          <w:tcPr>
            <w:tcW w:w="765" w:type="dxa"/>
            <w:vMerge w:val="restart"/>
            <w:noWrap w:val="0"/>
            <w:vAlign w:val="center"/>
          </w:tcPr>
          <w:p w14:paraId="3CCAB02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道路改造路面面积21250m</w:t>
            </w:r>
            <w:r>
              <w:rPr>
                <w:rFonts w:hint="eastAsia" w:ascii="宋体" w:hAnsi="宋体" w:eastAsia="宋体" w:cs="宋体"/>
                <w:smallCaps w:val="0"/>
                <w:color w:val="auto"/>
                <w:sz w:val="21"/>
                <w:szCs w:val="21"/>
                <w:highlight w:val="none"/>
                <w:vertAlign w:val="superscript"/>
                <w:lang w:val="en-US" w:eastAsia="zh-CN"/>
              </w:rPr>
              <w:t>2</w:t>
            </w:r>
          </w:p>
        </w:tc>
      </w:tr>
      <w:tr w14:paraId="5CCD9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6A497B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1060" w:type="dxa"/>
            <w:gridSpan w:val="2"/>
            <w:vMerge w:val="continue"/>
            <w:noWrap w:val="0"/>
            <w:vAlign w:val="center"/>
          </w:tcPr>
          <w:p w14:paraId="781928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03" w:type="dxa"/>
            <w:vMerge w:val="continue"/>
            <w:noWrap w:val="0"/>
            <w:vAlign w:val="center"/>
          </w:tcPr>
          <w:p w14:paraId="5B8C26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659" w:type="dxa"/>
            <w:vMerge w:val="continue"/>
            <w:noWrap w:val="0"/>
            <w:vAlign w:val="center"/>
          </w:tcPr>
          <w:p w14:paraId="34E002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791" w:type="dxa"/>
            <w:vMerge w:val="continue"/>
            <w:noWrap w:val="0"/>
            <w:vAlign w:val="center"/>
          </w:tcPr>
          <w:p w14:paraId="7DA592C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656" w:type="dxa"/>
            <w:vMerge w:val="continue"/>
            <w:noWrap w:val="0"/>
            <w:vAlign w:val="center"/>
          </w:tcPr>
          <w:p w14:paraId="587F2B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99" w:type="dxa"/>
            <w:vMerge w:val="continue"/>
            <w:noWrap w:val="0"/>
            <w:vAlign w:val="center"/>
          </w:tcPr>
          <w:p w14:paraId="172883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20" w:type="dxa"/>
            <w:vMerge w:val="continue"/>
            <w:noWrap w:val="0"/>
            <w:vAlign w:val="center"/>
          </w:tcPr>
          <w:p w14:paraId="4F9001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815" w:type="dxa"/>
            <w:noWrap w:val="0"/>
            <w:vAlign w:val="center"/>
          </w:tcPr>
          <w:p w14:paraId="5E5BFD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中型车15</w:t>
            </w:r>
          </w:p>
        </w:tc>
        <w:tc>
          <w:tcPr>
            <w:tcW w:w="807" w:type="dxa"/>
            <w:vMerge w:val="continue"/>
            <w:noWrap w:val="0"/>
            <w:vAlign w:val="center"/>
          </w:tcPr>
          <w:p w14:paraId="6451D8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65" w:type="dxa"/>
            <w:vMerge w:val="continue"/>
            <w:noWrap w:val="0"/>
            <w:vAlign w:val="center"/>
          </w:tcPr>
          <w:p w14:paraId="042452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2B21B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5191A9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1060" w:type="dxa"/>
            <w:gridSpan w:val="2"/>
            <w:vMerge w:val="continue"/>
            <w:noWrap w:val="0"/>
            <w:vAlign w:val="center"/>
          </w:tcPr>
          <w:p w14:paraId="315FD2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5761521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continue"/>
            <w:noWrap w:val="0"/>
            <w:vAlign w:val="center"/>
          </w:tcPr>
          <w:p w14:paraId="5E8AAD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91" w:type="dxa"/>
            <w:vMerge w:val="continue"/>
            <w:noWrap w:val="0"/>
            <w:vAlign w:val="center"/>
          </w:tcPr>
          <w:p w14:paraId="68B919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6" w:type="dxa"/>
            <w:vMerge w:val="continue"/>
            <w:noWrap w:val="0"/>
            <w:vAlign w:val="center"/>
          </w:tcPr>
          <w:p w14:paraId="14514A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99" w:type="dxa"/>
            <w:vMerge w:val="continue"/>
            <w:noWrap w:val="0"/>
            <w:vAlign w:val="center"/>
          </w:tcPr>
          <w:p w14:paraId="247664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20" w:type="dxa"/>
            <w:vMerge w:val="continue"/>
            <w:noWrap w:val="0"/>
            <w:vAlign w:val="center"/>
          </w:tcPr>
          <w:p w14:paraId="6A78EF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815" w:type="dxa"/>
            <w:noWrap w:val="0"/>
            <w:vAlign w:val="center"/>
          </w:tcPr>
          <w:p w14:paraId="0B0167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大型车30</w:t>
            </w:r>
          </w:p>
        </w:tc>
        <w:tc>
          <w:tcPr>
            <w:tcW w:w="807" w:type="dxa"/>
            <w:vMerge w:val="continue"/>
            <w:noWrap w:val="0"/>
            <w:vAlign w:val="center"/>
          </w:tcPr>
          <w:p w14:paraId="50227D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65" w:type="dxa"/>
            <w:vMerge w:val="continue"/>
            <w:noWrap w:val="0"/>
            <w:vAlign w:val="center"/>
          </w:tcPr>
          <w:p w14:paraId="37ADB9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1F74F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0" w:hRule="atLeast"/>
          <w:jc w:val="center"/>
        </w:trPr>
        <w:tc>
          <w:tcPr>
            <w:tcW w:w="727" w:type="dxa"/>
            <w:vMerge w:val="continue"/>
            <w:noWrap w:val="0"/>
            <w:vAlign w:val="center"/>
          </w:tcPr>
          <w:p w14:paraId="530626E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vMerge w:val="continue"/>
            <w:noWrap w:val="0"/>
            <w:vAlign w:val="center"/>
          </w:tcPr>
          <w:p w14:paraId="786247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noWrap w:val="0"/>
            <w:vAlign w:val="center"/>
          </w:tcPr>
          <w:p w14:paraId="3CFB66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路基工程</w:t>
            </w:r>
          </w:p>
        </w:tc>
        <w:tc>
          <w:tcPr>
            <w:tcW w:w="5612" w:type="dxa"/>
            <w:gridSpan w:val="8"/>
            <w:noWrap w:val="0"/>
            <w:vAlign w:val="center"/>
          </w:tcPr>
          <w:p w14:paraId="5FF0807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主体道路路基利用现有道路路基，现有旧路基可满足《公路技术状况评定标准》及《公路养护技术规范》要求，可以利用。对现有旧路基进行找平碾压，路基宽度10m，路基填筑采用级配较好的砂性土、砂类土等粗粒土作为填料，最大粒径应小于100mm。</w:t>
            </w:r>
          </w:p>
          <w:p w14:paraId="1452B852">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弯道处为特殊路段，需对内侧弯道进行路基加宽处理，防止车辆行驶时减少因内侧弯道路基宽度不足导致行驶空间不足。增加转弯半径，本项目路段多为大型货车行驶，转弯半径较大，需增加路基宽度保证更大空间来完成车辆转弯。也能保证在转弯会车时提高通行能力，较少交通拥堵。弯道处路基加宽也能延长道路使用寿命。增加防护墙，增加道路的整体稳定性。特殊路段路基占地面积</w:t>
            </w:r>
            <w:r>
              <w:rPr>
                <w:rFonts w:hint="eastAsia" w:ascii="宋体" w:hAnsi="宋体" w:eastAsia="宋体" w:cs="宋体"/>
                <w:smallCaps w:val="0"/>
                <w:color w:val="auto"/>
                <w:kern w:val="0"/>
                <w:sz w:val="21"/>
                <w:szCs w:val="21"/>
                <w:highlight w:val="none"/>
                <w:lang w:val="en-US" w:eastAsia="zh-CN"/>
              </w:rPr>
              <w:t>6565m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；路基防护墙永久占地面积43.2m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sz w:val="21"/>
                <w:szCs w:val="21"/>
                <w:highlight w:val="none"/>
                <w:lang w:val="en-US" w:eastAsia="zh-CN"/>
              </w:rPr>
              <w:t>。</w:t>
            </w:r>
          </w:p>
        </w:tc>
      </w:tr>
      <w:tr w14:paraId="441DE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6A2B4C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4362A1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桥涵工程</w:t>
            </w:r>
          </w:p>
        </w:tc>
        <w:tc>
          <w:tcPr>
            <w:tcW w:w="6115" w:type="dxa"/>
            <w:gridSpan w:val="9"/>
            <w:noWrap w:val="0"/>
            <w:vAlign w:val="center"/>
          </w:tcPr>
          <w:p w14:paraId="0AB1FF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改造现有道路涵洞，现有涵洞已不能满足泄洪能力，将K6+240、K6+757处波纹管涵改建为1-5.0x2.0m钢筋混凝土箱涵。</w:t>
            </w:r>
          </w:p>
        </w:tc>
      </w:tr>
      <w:tr w14:paraId="63FD5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27" w:type="dxa"/>
            <w:vMerge w:val="continue"/>
            <w:noWrap w:val="0"/>
            <w:vAlign w:val="center"/>
          </w:tcPr>
          <w:p w14:paraId="73BCEA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05DEF1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边沟工程</w:t>
            </w:r>
          </w:p>
        </w:tc>
        <w:tc>
          <w:tcPr>
            <w:tcW w:w="6115" w:type="dxa"/>
            <w:gridSpan w:val="9"/>
            <w:noWrap w:val="0"/>
            <w:vAlign w:val="center"/>
          </w:tcPr>
          <w:p w14:paraId="597C4E7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在K6+760~K8+100路段右侧建设1340m排水边沟，在K7+775~K8+025左侧建设250m排水边沟。用于路基路面排水。边沟工程永久占地面积4197.6m</w:t>
            </w:r>
            <w:r>
              <w:rPr>
                <w:rFonts w:hint="eastAsia" w:ascii="宋体" w:hAnsi="宋体" w:eastAsia="宋体" w:cs="宋体"/>
                <w:smallCaps w:val="0"/>
                <w:color w:val="auto"/>
                <w:sz w:val="21"/>
                <w:szCs w:val="21"/>
                <w:highlight w:val="none"/>
                <w:vertAlign w:val="superscript"/>
                <w:lang w:val="en-US" w:eastAsia="zh-CN"/>
              </w:rPr>
              <w:t>2</w:t>
            </w:r>
          </w:p>
        </w:tc>
      </w:tr>
      <w:tr w14:paraId="088E8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13F8109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征地拆迁</w:t>
            </w:r>
          </w:p>
        </w:tc>
        <w:tc>
          <w:tcPr>
            <w:tcW w:w="1060" w:type="dxa"/>
            <w:gridSpan w:val="2"/>
            <w:noWrap w:val="0"/>
            <w:vAlign w:val="center"/>
          </w:tcPr>
          <w:p w14:paraId="4D10EDE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w:t>
            </w:r>
          </w:p>
        </w:tc>
        <w:tc>
          <w:tcPr>
            <w:tcW w:w="6115" w:type="dxa"/>
            <w:gridSpan w:val="9"/>
            <w:noWrap w:val="0"/>
            <w:vAlign w:val="center"/>
          </w:tcPr>
          <w:p w14:paraId="41A7AB0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用地总规模3.7864公顷，其中公路用地3.2012公顷、耕地0.3903公顷、建设用地0.0618公顷、未利用地0.1331公顷。已取得双鸭山市自然资源局出具的黑龙江省双鸭山至时代公路提质改造工程建设项目用地预审与选址意见书（双自然资用字第230503202300001号）。本项目占用耕地为闲置耕地，不占用水田，不占用永久基本农田。永久占地32055.8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，其中包括道路永久占地面积21250m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，边沟永久占地面积4197.6m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，特殊路段为弯道处路段，弯道处需进行路基加宽方式处理，加宽方式见附图11。特殊路段路基占地面积6565m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；路基防护墙永久占地面积43.2m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。临时占地5808.2m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，临时施工工场占地面积2131m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；临时弃渣场占地1897.2m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。临时表土堆场占地面积500m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。桥涵施工临时便道面积1280m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57AEA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3028A33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1060" w:type="dxa"/>
            <w:gridSpan w:val="2"/>
            <w:noWrap w:val="0"/>
            <w:vAlign w:val="center"/>
          </w:tcPr>
          <w:p w14:paraId="3FC765C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拆迁</w:t>
            </w:r>
          </w:p>
        </w:tc>
        <w:tc>
          <w:tcPr>
            <w:tcW w:w="6115" w:type="dxa"/>
            <w:gridSpan w:val="9"/>
            <w:noWrap w:val="0"/>
            <w:vAlign w:val="center"/>
          </w:tcPr>
          <w:p w14:paraId="02CD144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本项目不涉及拆迁、砍伐。</w:t>
            </w:r>
          </w:p>
        </w:tc>
      </w:tr>
      <w:tr w14:paraId="2126F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6F9E4E2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临时工程</w:t>
            </w:r>
          </w:p>
        </w:tc>
        <w:tc>
          <w:tcPr>
            <w:tcW w:w="1060" w:type="dxa"/>
            <w:gridSpan w:val="2"/>
            <w:noWrap w:val="0"/>
            <w:vAlign w:val="center"/>
          </w:tcPr>
          <w:p w14:paraId="657A539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施工工场</w:t>
            </w:r>
          </w:p>
        </w:tc>
        <w:tc>
          <w:tcPr>
            <w:tcW w:w="6115" w:type="dxa"/>
            <w:gridSpan w:val="9"/>
            <w:noWrap w:val="0"/>
            <w:vAlign w:val="center"/>
          </w:tcPr>
          <w:p w14:paraId="0CC4EEC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位于项目南侧，设置施工工场用于暂存施工材料与施工器械，占地面积2131m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48293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1" w:hRule="atLeast"/>
          <w:jc w:val="center"/>
        </w:trPr>
        <w:tc>
          <w:tcPr>
            <w:tcW w:w="727" w:type="dxa"/>
            <w:vMerge w:val="continue"/>
            <w:noWrap w:val="0"/>
            <w:vAlign w:val="center"/>
          </w:tcPr>
          <w:p w14:paraId="42A3443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0A5FDB2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施工便道</w:t>
            </w:r>
          </w:p>
        </w:tc>
        <w:tc>
          <w:tcPr>
            <w:tcW w:w="6115" w:type="dxa"/>
            <w:gridSpan w:val="9"/>
            <w:noWrap w:val="0"/>
            <w:vAlign w:val="center"/>
          </w:tcPr>
          <w:p w14:paraId="36678F85">
            <w:pPr>
              <w:pStyle w:val="73"/>
              <w:keepNext w:val="0"/>
              <w:keepLines w:val="0"/>
              <w:pageBreakBefore w:val="0"/>
              <w:kinsoku/>
              <w:wordWrap/>
              <w:overflowPunct/>
              <w:topLinePunct w:val="0"/>
              <w:autoSpaceDE/>
              <w:autoSpaceDN/>
              <w:bidi w:val="0"/>
              <w:adjustRightInd/>
              <w:snapToGrid/>
              <w:jc w:val="both"/>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主体工程不设施工便道，本项目为对向2车道，单向车道进行施工，保留道路作为施工便道。本项目利用旧路建设，不对原有路面破坏，在施工准备期间已完成挖方工程，因此弃渣运输利用现有道路，不设施工便道。本项目新设2处施工便道，位于桩号K6+240、K6+757。K6+240处便道长度80m，K6+757处便道长度80m。宽度8m。施工便道总占地面积1280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。此处为涵洞处施工地，设立临时便道用于涵洞施工期间的材料以及弃渣运输。</w:t>
            </w:r>
          </w:p>
        </w:tc>
      </w:tr>
      <w:tr w14:paraId="71157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74F059E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6B7CE3A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施工营地</w:t>
            </w:r>
          </w:p>
        </w:tc>
        <w:tc>
          <w:tcPr>
            <w:tcW w:w="6115" w:type="dxa"/>
            <w:gridSpan w:val="9"/>
            <w:noWrap w:val="0"/>
            <w:vAlign w:val="center"/>
          </w:tcPr>
          <w:p w14:paraId="5BA1725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本项目不设置施工营地。</w:t>
            </w:r>
          </w:p>
        </w:tc>
      </w:tr>
      <w:tr w14:paraId="44F99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68963DA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033AB10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料场</w:t>
            </w:r>
          </w:p>
        </w:tc>
        <w:tc>
          <w:tcPr>
            <w:tcW w:w="6115" w:type="dxa"/>
            <w:gridSpan w:val="9"/>
            <w:noWrap w:val="0"/>
            <w:vAlign w:val="center"/>
          </w:tcPr>
          <w:p w14:paraId="7AE18EF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本工程所需筑路材料片石、碎石由合鑫采石场购进，运距5km；所选用的中粗砂有富锦砂场购进。</w:t>
            </w:r>
          </w:p>
        </w:tc>
      </w:tr>
      <w:tr w14:paraId="75095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6E61126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3E526BF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弃渣场</w:t>
            </w:r>
          </w:p>
        </w:tc>
        <w:tc>
          <w:tcPr>
            <w:tcW w:w="6115" w:type="dxa"/>
            <w:gridSpan w:val="9"/>
            <w:noWrap w:val="0"/>
            <w:vAlign w:val="center"/>
          </w:tcPr>
          <w:p w14:paraId="042218C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施工期废渣土，废砂石及时清理，设置临时弃渣场，占地面积1897.2m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，弃渣定期转运。不设永久废弃渣场。临时表土堆场占地面积500m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41F62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05359A6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环保工程</w:t>
            </w:r>
          </w:p>
        </w:tc>
        <w:tc>
          <w:tcPr>
            <w:tcW w:w="407" w:type="dxa"/>
            <w:vMerge w:val="restart"/>
            <w:noWrap w:val="0"/>
            <w:vAlign w:val="center"/>
          </w:tcPr>
          <w:p w14:paraId="259D79C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施工期</w:t>
            </w:r>
          </w:p>
        </w:tc>
        <w:tc>
          <w:tcPr>
            <w:tcW w:w="653" w:type="dxa"/>
            <w:noWrap w:val="0"/>
            <w:vAlign w:val="center"/>
          </w:tcPr>
          <w:p w14:paraId="49D306B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废气处理</w:t>
            </w:r>
          </w:p>
        </w:tc>
        <w:tc>
          <w:tcPr>
            <w:tcW w:w="6115" w:type="dxa"/>
            <w:gridSpan w:val="9"/>
            <w:noWrap w:val="0"/>
            <w:vAlign w:val="center"/>
          </w:tcPr>
          <w:p w14:paraId="51DDE61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施工点周围应当设置连续、密闭的围挡，围挡高度不得低于</w:t>
            </w:r>
            <w:r>
              <w:rPr>
                <w:rFonts w:hint="eastAsia" w:ascii="宋体" w:hAnsi="宋体" w:eastAsia="宋体" w:cs="宋体"/>
                <w:smallCaps w:val="0"/>
                <w:color w:val="auto"/>
                <w:sz w:val="21"/>
                <w:szCs w:val="21"/>
                <w:highlight w:val="none"/>
                <w:lang w:val="en-US" w:eastAsia="zh-CN"/>
              </w:rPr>
              <w:t>2</w:t>
            </w:r>
            <w:r>
              <w:rPr>
                <w:rFonts w:hint="eastAsia" w:ascii="宋体" w:hAnsi="宋体" w:eastAsia="宋体" w:cs="宋体"/>
                <w:smallCaps w:val="0"/>
                <w:color w:val="auto"/>
                <w:sz w:val="21"/>
                <w:szCs w:val="21"/>
                <w:highlight w:val="none"/>
                <w:lang w:val="en-US"/>
              </w:rPr>
              <w:t>米；施工道路定期洒水降尘；运输车辆采用苫布遮盖；加强施工管理，降低扬尘影响</w:t>
            </w:r>
            <w:r>
              <w:rPr>
                <w:rFonts w:hint="eastAsia" w:ascii="宋体" w:hAnsi="宋体" w:eastAsia="宋体" w:cs="宋体"/>
                <w:smallCaps w:val="0"/>
                <w:color w:val="auto"/>
                <w:sz w:val="21"/>
                <w:szCs w:val="21"/>
                <w:highlight w:val="none"/>
                <w:lang w:val="en-US" w:eastAsia="zh-CN"/>
              </w:rPr>
              <w:t>。</w:t>
            </w:r>
          </w:p>
        </w:tc>
      </w:tr>
      <w:tr w14:paraId="74A8D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26F4887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69400CB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5413E372">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废水处理</w:t>
            </w:r>
          </w:p>
        </w:tc>
        <w:tc>
          <w:tcPr>
            <w:tcW w:w="6115" w:type="dxa"/>
            <w:gridSpan w:val="9"/>
            <w:noWrap w:val="0"/>
            <w:vAlign w:val="center"/>
          </w:tcPr>
          <w:p w14:paraId="3016B6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施工人员生活污水：</w:t>
            </w:r>
            <w:r>
              <w:rPr>
                <w:rFonts w:hint="eastAsia" w:ascii="宋体" w:hAnsi="宋体" w:eastAsia="宋体" w:cs="宋体"/>
                <w:smallCaps w:val="0"/>
                <w:color w:val="auto"/>
                <w:sz w:val="21"/>
                <w:szCs w:val="21"/>
                <w:highlight w:val="none"/>
                <w:lang w:val="en-US" w:eastAsia="zh-CN"/>
              </w:rPr>
              <w:t>施工人员如厕依托南侧平房居民防渗旱厕，盥洗水经沉淀池沉淀处理，处理后回用车辆冲洗</w:t>
            </w:r>
            <w:r>
              <w:rPr>
                <w:rFonts w:hint="eastAsia" w:ascii="宋体" w:hAnsi="宋体" w:eastAsia="宋体" w:cs="宋体"/>
                <w:smallCaps w:val="0"/>
                <w:color w:val="auto"/>
                <w:sz w:val="21"/>
                <w:szCs w:val="21"/>
                <w:highlight w:val="none"/>
              </w:rPr>
              <w:t>。</w:t>
            </w:r>
          </w:p>
          <w:p w14:paraId="36F1B0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napToGrid w:val="0"/>
                <w:color w:val="auto"/>
                <w:kern w:val="0"/>
                <w:sz w:val="21"/>
                <w:szCs w:val="21"/>
                <w:highlight w:val="none"/>
                <w:lang w:val="en-US" w:eastAsia="zh-CN"/>
              </w:rPr>
            </w:pPr>
            <w:r>
              <w:rPr>
                <w:rFonts w:hint="eastAsia" w:ascii="宋体" w:hAnsi="宋体" w:eastAsia="宋体" w:cs="宋体"/>
                <w:smallCaps w:val="0"/>
                <w:color w:val="auto"/>
                <w:sz w:val="21"/>
                <w:szCs w:val="21"/>
                <w:highlight w:val="none"/>
              </w:rPr>
              <w:t>施工过程中，冲洗废水沉淀池沉淀后回用，不外排；</w:t>
            </w:r>
            <w:r>
              <w:rPr>
                <w:rFonts w:hint="eastAsia" w:ascii="宋体" w:hAnsi="宋体" w:eastAsia="宋体" w:cs="宋体"/>
                <w:smallCaps w:val="0"/>
                <w:color w:val="auto"/>
                <w:sz w:val="21"/>
                <w:szCs w:val="21"/>
                <w:highlight w:val="none"/>
                <w:lang w:val="en-US" w:eastAsia="zh-CN"/>
              </w:rPr>
              <w:t>车辆维修产生</w:t>
            </w:r>
            <w:r>
              <w:rPr>
                <w:rFonts w:hint="eastAsia" w:ascii="宋体" w:hAnsi="宋体" w:eastAsia="宋体" w:cs="宋体"/>
                <w:smallCaps w:val="0"/>
                <w:color w:val="auto"/>
                <w:sz w:val="21"/>
                <w:szCs w:val="21"/>
                <w:highlight w:val="none"/>
              </w:rPr>
              <w:t>含油废水</w:t>
            </w:r>
            <w:r>
              <w:rPr>
                <w:rFonts w:hint="eastAsia" w:ascii="宋体" w:hAnsi="宋体" w:eastAsia="宋体" w:cs="宋体"/>
                <w:smallCaps w:val="0"/>
                <w:color w:val="auto"/>
                <w:sz w:val="21"/>
                <w:szCs w:val="21"/>
                <w:highlight w:val="none"/>
                <w:lang w:val="en-US" w:eastAsia="zh-CN"/>
              </w:rPr>
              <w:t>集中收集交有资质单位，施工工场不暂存。沉淀池设于施工工场处，沉淀池规格为6m×3m×2m。沉淀池上方为沥水板，车辆冲洗后冲洗水进入沉淀池沉淀，冲洗水经沉底后回用，不外排。施工结束后拆除沉淀池，恢复原有地貌。</w:t>
            </w:r>
          </w:p>
        </w:tc>
      </w:tr>
      <w:tr w14:paraId="2D30D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15E74E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5773282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4315B45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噪声处理</w:t>
            </w:r>
          </w:p>
        </w:tc>
        <w:tc>
          <w:tcPr>
            <w:tcW w:w="6115" w:type="dxa"/>
            <w:gridSpan w:val="9"/>
            <w:noWrap w:val="0"/>
            <w:vAlign w:val="center"/>
          </w:tcPr>
          <w:p w14:paraId="2B48B17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合理安排施工时间，</w:t>
            </w:r>
            <w:r>
              <w:rPr>
                <w:rFonts w:hint="eastAsia" w:ascii="宋体" w:hAnsi="宋体" w:eastAsia="宋体" w:cs="宋体"/>
                <w:smallCaps w:val="0"/>
                <w:color w:val="auto"/>
                <w:sz w:val="21"/>
                <w:szCs w:val="21"/>
                <w:highlight w:val="none"/>
                <w:lang w:val="en-US" w:eastAsia="zh-CN"/>
              </w:rPr>
              <w:t>夜间、午休期间禁止施工</w:t>
            </w:r>
            <w:r>
              <w:rPr>
                <w:rFonts w:hint="eastAsia" w:ascii="宋体" w:hAnsi="宋体" w:eastAsia="宋体" w:cs="宋体"/>
                <w:smallCaps w:val="0"/>
                <w:color w:val="auto"/>
                <w:sz w:val="21"/>
                <w:szCs w:val="21"/>
                <w:highlight w:val="none"/>
                <w:lang w:val="en-US"/>
              </w:rPr>
              <w:t>，加强施工管理，尽量使用低噪音设备，</w:t>
            </w:r>
            <w:r>
              <w:rPr>
                <w:rFonts w:hint="eastAsia" w:ascii="宋体" w:hAnsi="宋体" w:eastAsia="宋体" w:cs="宋体"/>
                <w:smallCaps w:val="0"/>
                <w:color w:val="auto"/>
                <w:sz w:val="21"/>
                <w:szCs w:val="21"/>
                <w:highlight w:val="none"/>
                <w:lang w:val="en-US" w:eastAsia="zh-CN"/>
              </w:rPr>
              <w:t>施工期加装隔音屏障。</w:t>
            </w:r>
          </w:p>
        </w:tc>
      </w:tr>
      <w:tr w14:paraId="79DC5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1A68100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3B2710A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1C0010D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固体废物</w:t>
            </w:r>
          </w:p>
        </w:tc>
        <w:tc>
          <w:tcPr>
            <w:tcW w:w="6115" w:type="dxa"/>
            <w:gridSpan w:val="9"/>
            <w:noWrap w:val="0"/>
            <w:vAlign w:val="center"/>
          </w:tcPr>
          <w:p w14:paraId="5553B25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rPr>
            </w:pPr>
            <w:r>
              <w:rPr>
                <w:rFonts w:hint="eastAsia" w:ascii="宋体" w:hAnsi="宋体" w:eastAsia="宋体" w:cs="宋体"/>
                <w:smallCaps w:val="0"/>
                <w:color w:val="auto"/>
                <w:sz w:val="21"/>
                <w:szCs w:val="21"/>
                <w:highlight w:val="none"/>
                <w:lang w:val="en-US"/>
              </w:rPr>
              <w:t>施工人员生活垃圾、固体废物统一收集，委托环卫部门处置。建筑垃圾</w:t>
            </w:r>
            <w:r>
              <w:rPr>
                <w:rFonts w:hint="eastAsia" w:ascii="宋体" w:hAnsi="宋体" w:eastAsia="宋体" w:cs="宋体"/>
                <w:smallCaps w:val="0"/>
                <w:color w:val="auto"/>
                <w:sz w:val="21"/>
                <w:szCs w:val="21"/>
                <w:highlight w:val="none"/>
                <w:lang w:val="en-US" w:eastAsia="zh-CN"/>
              </w:rPr>
              <w:t>、弃土、弃渣拉运至双鸭山市建筑垃圾处置消纳场。建筑垃圾处置消纳场位于尖山区窑地路中段，运距12km，途径双西路、南环路、窑地路；汽车维修产生的油水混合物经</w:t>
            </w:r>
            <w:r>
              <w:rPr>
                <w:rFonts w:hint="eastAsia" w:ascii="宋体" w:hAnsi="宋体" w:eastAsia="宋体" w:cs="宋体"/>
                <w:smallCaps w:val="0"/>
                <w:color w:val="auto"/>
                <w:sz w:val="21"/>
                <w:szCs w:val="21"/>
                <w:highlight w:val="none"/>
                <w:lang w:val="en-US"/>
              </w:rPr>
              <w:t>收集后交有资质单位处置，本项目不建设危废</w:t>
            </w:r>
            <w:r>
              <w:rPr>
                <w:rFonts w:hint="eastAsia" w:ascii="宋体" w:hAnsi="宋体" w:eastAsia="宋体" w:cs="宋体"/>
                <w:smallCaps w:val="0"/>
                <w:color w:val="auto"/>
                <w:sz w:val="21"/>
                <w:szCs w:val="21"/>
                <w:highlight w:val="none"/>
                <w:lang w:val="en-US" w:eastAsia="zh-CN"/>
              </w:rPr>
              <w:t>贮存点</w:t>
            </w:r>
            <w:r>
              <w:rPr>
                <w:rFonts w:hint="eastAsia" w:ascii="宋体" w:hAnsi="宋体" w:eastAsia="宋体" w:cs="宋体"/>
                <w:smallCaps w:val="0"/>
                <w:color w:val="auto"/>
                <w:sz w:val="21"/>
                <w:szCs w:val="21"/>
                <w:highlight w:val="none"/>
                <w:lang w:val="en-US"/>
              </w:rPr>
              <w:t>，危险废物</w:t>
            </w:r>
            <w:r>
              <w:rPr>
                <w:rFonts w:hint="eastAsia" w:ascii="宋体" w:hAnsi="宋体" w:eastAsia="宋体" w:cs="宋体"/>
                <w:smallCaps w:val="0"/>
                <w:color w:val="auto"/>
                <w:sz w:val="21"/>
                <w:szCs w:val="21"/>
                <w:highlight w:val="none"/>
                <w:lang w:val="en-US" w:eastAsia="zh-CN"/>
              </w:rPr>
              <w:t>由施工单位</w:t>
            </w:r>
            <w:r>
              <w:rPr>
                <w:rFonts w:hint="eastAsia" w:ascii="宋体" w:hAnsi="宋体" w:eastAsia="宋体" w:cs="宋体"/>
                <w:smallCaps w:val="0"/>
                <w:color w:val="auto"/>
                <w:sz w:val="21"/>
                <w:szCs w:val="21"/>
                <w:highlight w:val="none"/>
                <w:lang w:val="en-US"/>
              </w:rPr>
              <w:t>统一收集后委托有资质单位处置。</w:t>
            </w:r>
          </w:p>
        </w:tc>
      </w:tr>
      <w:tr w14:paraId="20063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27" w:type="dxa"/>
            <w:vMerge w:val="continue"/>
            <w:noWrap w:val="0"/>
            <w:vAlign w:val="center"/>
          </w:tcPr>
          <w:p w14:paraId="38B80FB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74E155F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059219F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生态环境</w:t>
            </w:r>
          </w:p>
        </w:tc>
        <w:tc>
          <w:tcPr>
            <w:tcW w:w="6115" w:type="dxa"/>
            <w:gridSpan w:val="9"/>
            <w:noWrap w:val="0"/>
            <w:vAlign w:val="center"/>
          </w:tcPr>
          <w:p w14:paraId="06E0F984">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施工期生态保护措施</w:t>
            </w:r>
          </w:p>
          <w:p w14:paraId="113F50E8">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植被保护：严格依据设计文件明确施工范围，禁止施工人员与车辆进入非施工区域，避免破坏周边植被。优化施工方案，加快施工进度，减少对植被影响时长，同时避开雨天施工。严格控制路基开挖作业面，减少水土流失。定期检查维护施工机械、车辆，防止油污污染土壤。及时处理各类固体废物，杜绝超范围用地。施工结束后，清理施工痕迹，恢复地表原貌。若施工中发现重点保护野生植物，应立即报告相关部门并实施保护、移栽。</w:t>
            </w:r>
          </w:p>
          <w:p w14:paraId="2B793970">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动物保护：加强施工人员教育，使其遵守野生动物保护法，严禁在施工区及周边捕猎野生动物，发现保护动物及时上报。明确施工用地范围并标桩划界，禁止施工人员和机械进入非施工区，减少对野生动物干扰。合理安排施工时间，避开野生动物繁殖期，选用低噪声机械，减少噪声惊扰。设立环保监督机构和专职人员，加强监管和教育，依法处置违法行为。</w:t>
            </w:r>
          </w:p>
          <w:p w14:paraId="59EF1A2F">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占地恢复：施工单位严格按设计施工，减少占地面积。施工监理按标准和设计文件监督施工。施工前剥离表土并集中堆存、覆盖，用于后期绿化。临时占地需依法办理手续，施工结束后恢复土地功能和原有地貌。项目在投资估算中考虑占地补偿及耕地复垦费用，按规定缴纳相关费用，弥补耕地损失。</w:t>
            </w:r>
          </w:p>
          <w:p w14:paraId="69E7D610">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smallCaps w:val="0"/>
                <w:color w:val="auto"/>
                <w:kern w:val="0"/>
                <w:sz w:val="21"/>
                <w:szCs w:val="21"/>
                <w:highlight w:val="none"/>
                <w:lang w:val="en-US" w:eastAsia="zh-CN"/>
              </w:rPr>
              <w:t>水土保持：合理安排工期，避免雨季开挖路基，减少土石方堆放。完善排水工程，确保排水通畅。路基工程区两侧设边沟排水，施工后进行边坡防护；挖方弃渣临时堆放并做好防护。表土暂存场区施工结束后进行植被恢复，临时堆土做好拦挡、苫盖及排水、沉砂措施。施工工场施工前剥离表土，结束后用于植被恢复，临时堆土防护，周边设排水沟和沉砂池。</w:t>
            </w:r>
          </w:p>
        </w:tc>
      </w:tr>
      <w:tr w14:paraId="57B96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13ADD3B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restart"/>
            <w:noWrap w:val="0"/>
            <w:vAlign w:val="center"/>
          </w:tcPr>
          <w:p w14:paraId="4865DA3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运营期</w:t>
            </w:r>
          </w:p>
        </w:tc>
        <w:tc>
          <w:tcPr>
            <w:tcW w:w="653" w:type="dxa"/>
            <w:noWrap w:val="0"/>
            <w:vAlign w:val="center"/>
          </w:tcPr>
          <w:p w14:paraId="12B4375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废水</w:t>
            </w:r>
          </w:p>
        </w:tc>
        <w:tc>
          <w:tcPr>
            <w:tcW w:w="6115" w:type="dxa"/>
            <w:gridSpan w:val="9"/>
            <w:noWrap w:val="0"/>
            <w:vAlign w:val="center"/>
          </w:tcPr>
          <w:p w14:paraId="01A15298">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加强路面洁净度，定期委托环卫工人清理路面，减少因汽车漏油造成地面污染，减少因降雨导致地表径流经雨水排放口排放至马蹄河造成污染。</w:t>
            </w:r>
          </w:p>
        </w:tc>
      </w:tr>
      <w:tr w14:paraId="4ADEE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49BAB72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72D02FD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61A1B5F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废气</w:t>
            </w:r>
          </w:p>
        </w:tc>
        <w:tc>
          <w:tcPr>
            <w:tcW w:w="6115" w:type="dxa"/>
            <w:gridSpan w:val="9"/>
            <w:noWrap w:val="0"/>
            <w:vAlign w:val="center"/>
          </w:tcPr>
          <w:p w14:paraId="3E77D423">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定期路面养护，市政部门定期安排洒水车等洒水降尘。控制车速，减少车辆行驶起尘。控制车辆速度，车轮携带大量泥沙禁止上路上桥。</w:t>
            </w:r>
          </w:p>
        </w:tc>
      </w:tr>
      <w:tr w14:paraId="2DBA6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64CD050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798E96A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60795E3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噪声</w:t>
            </w:r>
          </w:p>
        </w:tc>
        <w:tc>
          <w:tcPr>
            <w:tcW w:w="6115" w:type="dxa"/>
            <w:gridSpan w:val="9"/>
            <w:noWrap w:val="0"/>
            <w:vAlign w:val="center"/>
          </w:tcPr>
          <w:p w14:paraId="415D00B8">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控制车速，道路沿线禁止鸣笛，种植绿植，降低噪声对环境影响。</w:t>
            </w:r>
          </w:p>
        </w:tc>
      </w:tr>
      <w:tr w14:paraId="73AD9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382F9DB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53B9106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5C372BD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lang w:val="en-US"/>
              </w:rPr>
              <w:t>固废</w:t>
            </w:r>
          </w:p>
        </w:tc>
        <w:tc>
          <w:tcPr>
            <w:tcW w:w="6115" w:type="dxa"/>
            <w:gridSpan w:val="9"/>
            <w:noWrap w:val="0"/>
            <w:vAlign w:val="center"/>
          </w:tcPr>
          <w:p w14:paraId="3CCD906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道路沿线设置垃圾桶，定期清掏外运至垃圾填埋场。委托环卫工人清扫，减少垃圾对环境的污染。</w:t>
            </w:r>
          </w:p>
        </w:tc>
      </w:tr>
      <w:tr w14:paraId="781A4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75B09A6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41A8D9B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431BFFC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生态环境</w:t>
            </w:r>
          </w:p>
        </w:tc>
        <w:tc>
          <w:tcPr>
            <w:tcW w:w="6115" w:type="dxa"/>
            <w:gridSpan w:val="9"/>
            <w:noWrap w:val="0"/>
            <w:vAlign w:val="center"/>
          </w:tcPr>
          <w:p w14:paraId="5AD7C314">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运营期生态保护措施</w:t>
            </w:r>
          </w:p>
          <w:p w14:paraId="0CF5E207">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道路维护与生态保护：加强道路维护，确保排水工程和涵洞正常运行，防止植被受淹，保障水路畅通。</w:t>
            </w:r>
          </w:p>
          <w:p w14:paraId="6C86D0BA">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运输管理与生态防护：强化运输车辆管理，防止车辆对自然生态造成破坏，预防林火和树木病虫害发生。</w:t>
            </w:r>
          </w:p>
          <w:p w14:paraId="5FA7B986">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防止侵占与植被恢复：在道路沿线设置标识牌，禁止在林地内非法开垦、放牧、砍伐。加强道路巡查，及时发现和制止侵占林地、破坏植被行为。对因道路建设或运营造成的植被破坏，及时选用与周边相似的植物进行恢复种植，保障生态连贯性。</w:t>
            </w:r>
          </w:p>
        </w:tc>
      </w:tr>
    </w:tbl>
    <w:p w14:paraId="50094C2B">
      <w:pPr>
        <w:pStyle w:val="73"/>
        <w:numPr>
          <w:ilvl w:val="0"/>
          <w:numId w:val="0"/>
        </w:numPr>
        <w:spacing w:line="240" w:lineRule="auto"/>
        <w:ind w:leftChars="0"/>
        <w:jc w:val="both"/>
        <w:rPr>
          <w:rFonts w:hint="eastAsia" w:ascii="宋体" w:hAnsi="宋体" w:eastAsia="宋体" w:cs="宋体"/>
          <w:sz w:val="21"/>
          <w:szCs w:val="21"/>
          <w:highlight w:val="none"/>
        </w:rPr>
      </w:pPr>
      <w:r>
        <w:rPr>
          <w:rFonts w:hint="eastAsia" w:ascii="宋体" w:hAnsi="宋体" w:eastAsia="宋体" w:cs="宋体"/>
          <w:sz w:val="21"/>
          <w:szCs w:val="21"/>
        </w:rPr>
        <mc:AlternateContent>
          <mc:Choice Requires="wps">
            <w:drawing>
              <wp:anchor distT="0" distB="0" distL="114300" distR="114300" simplePos="0" relativeHeight="251709440" behindDoc="0" locked="0" layoutInCell="1" allowOverlap="1">
                <wp:simplePos x="0" y="0"/>
                <wp:positionH relativeFrom="column">
                  <wp:posOffset>90805</wp:posOffset>
                </wp:positionH>
                <wp:positionV relativeFrom="paragraph">
                  <wp:posOffset>3613150</wp:posOffset>
                </wp:positionV>
                <wp:extent cx="257175" cy="114300"/>
                <wp:effectExtent l="12700" t="12700" r="15875" b="25400"/>
                <wp:wrapNone/>
                <wp:docPr id="115" name="矩形 115"/>
                <wp:cNvGraphicFramePr/>
                <a:graphic xmlns:a="http://schemas.openxmlformats.org/drawingml/2006/main">
                  <a:graphicData uri="http://schemas.microsoft.com/office/word/2010/wordprocessingShape">
                    <wps:wsp>
                      <wps:cNvSpPr/>
                      <wps:spPr>
                        <a:xfrm>
                          <a:off x="1233805" y="8836660"/>
                          <a:ext cx="257175" cy="114300"/>
                        </a:xfrm>
                        <a:prstGeom prst="rect">
                          <a:avLst/>
                        </a:prstGeom>
                        <a:solidFill>
                          <a:srgbClr val="0000FF"/>
                        </a:solid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5pt;margin-top:284.5pt;height:9pt;width:20.25pt;z-index:251709440;v-text-anchor:middle;mso-width-relative:page;mso-height-relative:page;" fillcolor="#0000FF" filled="t" stroked="t" coordsize="21600,21600" o:gfxdata="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JIBPt2AAAAAkBAAAPAAAAAAAAAAEAIAAAACIAAABkcnMvZG93bnJldi54&#10;bWxQSwECFAAUAAAACACHTuJAzJatEGwCAADsBAAADgAAAAAAAAABACAAAAAnAQAAZHJzL2Uyb0Rv&#10;Yy54bWxQSwUGAAAAAAYABgBZAQAABQYAAAAA&#10;">
                <v:fill on="t" focussize="0,0"/>
                <v:stroke weight="2pt" color="#0000FF [2404]" joinstyle="round"/>
                <v:imagedata o:title=""/>
                <o:lock v:ext="edit" aspectratio="f"/>
              </v:rect>
            </w:pict>
          </mc:Fallback>
        </mc:AlternateContent>
      </w:r>
      <w:r>
        <w:rPr>
          <w:rFonts w:hint="eastAsia" w:ascii="宋体" w:hAnsi="宋体" w:eastAsia="宋体" w:cs="宋体"/>
          <w:sz w:val="21"/>
          <w:szCs w:val="21"/>
        </w:rPr>
        <mc:AlternateContent>
          <mc:Choice Requires="wps">
            <w:drawing>
              <wp:anchor distT="0" distB="0" distL="114300" distR="114300" simplePos="0" relativeHeight="251708416" behindDoc="0" locked="0" layoutInCell="1" allowOverlap="1">
                <wp:simplePos x="0" y="0"/>
                <wp:positionH relativeFrom="column">
                  <wp:posOffset>-13970</wp:posOffset>
                </wp:positionH>
                <wp:positionV relativeFrom="paragraph">
                  <wp:posOffset>3460115</wp:posOffset>
                </wp:positionV>
                <wp:extent cx="1161415" cy="391160"/>
                <wp:effectExtent l="4445" t="4445" r="15240" b="23495"/>
                <wp:wrapNone/>
                <wp:docPr id="106" name="文本框 106"/>
                <wp:cNvGraphicFramePr/>
                <a:graphic xmlns:a="http://schemas.openxmlformats.org/drawingml/2006/main">
                  <a:graphicData uri="http://schemas.microsoft.com/office/word/2010/wordprocessingShape">
                    <wps:wsp>
                      <wps:cNvSpPr txBox="1"/>
                      <wps:spPr>
                        <a:xfrm>
                          <a:off x="1176655" y="8484235"/>
                          <a:ext cx="1161415" cy="3911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FEAE730">
                            <w:pPr>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272.45pt;height:30.8pt;width:91.45pt;z-index:251708416;mso-width-relative:page;mso-height-relative:page;" fillcolor="#FFFFFF [3201]" filled="t" stroked="t" coordsize="21600,21600" o:gfxdata="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Gkuu9gAAAAKAQAADwAAAAAAAAABACAAAAAiAAAAZHJzL2Rvd25yZXYueG1sUEsB&#10;AhQAFAAAAAgAh07iQGUyxylnAgAAxwQAAA4AAAAAAAAAAQAgAAAAJwEAAGRycy9lMm9Eb2MueG1s&#10;UEsFBgAAAAAGAAYAWQEAAAAGAAAAAA==&#10;">
                <v:fill on="t" focussize="0,0"/>
                <v:stroke weight="0.5pt" color="#000000 [3204]" joinstyle="round"/>
                <v:imagedata o:title=""/>
                <o:lock v:ext="edit" aspectratio="f"/>
                <v:textbox>
                  <w:txbxContent>
                    <w:p w14:paraId="5FEAE730">
                      <w:pPr>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sz w:val="21"/>
          <w:szCs w:val="21"/>
          <w:highlight w:val="none"/>
        </w:rPr>
        <w:pict>
          <v:shape id="_x0000_s2271" o:spid="_x0000_s2271" o:spt="75" type="#_x0000_t75" style="position:absolute;left:0pt;margin-left:303.7pt;margin-top:263.4pt;height:47.25pt;width:110.25pt;z-index:251710464;mso-width-relative:page;mso-height-relative:page;" o:ole="t" filled="f" o:preferrelative="t" stroked="f" coordsize="21600,21600">
            <v:path/>
            <v:fill on="f" focussize="0,0"/>
            <v:stroke on="f"/>
            <v:imagedata r:id="rId87" o:title=""/>
            <o:lock v:ext="edit" aspectratio="f"/>
          </v:shape>
          <o:OLEObject Type="Embed" ProgID="Visio.Drawing.15" ShapeID="_x0000_s2271" DrawAspect="Content" ObjectID="_1468075731" r:id="rId86">
            <o:LockedField>false</o:LockedField>
          </o:OLEObject>
        </w:pict>
      </w:r>
      <w:r>
        <w:rPr>
          <w:rFonts w:hint="eastAsia" w:ascii="宋体" w:hAnsi="宋体" w:eastAsia="宋体" w:cs="宋体"/>
          <w:b/>
          <w:bCs/>
          <w:sz w:val="21"/>
          <w:szCs w:val="21"/>
          <w:highlight w:val="none"/>
          <w:lang w:val="en-US" w:eastAsia="zh-CN"/>
        </w:rPr>
        <w:drawing>
          <wp:anchor distT="0" distB="0" distL="114300" distR="114300" simplePos="0" relativeHeight="251707392" behindDoc="0" locked="0" layoutInCell="1" allowOverlap="1">
            <wp:simplePos x="0" y="0"/>
            <wp:positionH relativeFrom="column">
              <wp:posOffset>4408805</wp:posOffset>
            </wp:positionH>
            <wp:positionV relativeFrom="paragraph">
              <wp:posOffset>104775</wp:posOffset>
            </wp:positionV>
            <wp:extent cx="857250" cy="809625"/>
            <wp:effectExtent l="0" t="0" r="0" b="9525"/>
            <wp:wrapNone/>
            <wp:docPr id="89" name="图片 89" descr="双鸭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双鸭山风玫瑰"/>
                    <pic:cNvPicPr>
                      <a:picLocks noChangeAspect="1"/>
                    </pic:cNvPicPr>
                  </pic:nvPicPr>
                  <pic:blipFill>
                    <a:blip r:embed="rId29"/>
                    <a:stretch>
                      <a:fillRect/>
                    </a:stretch>
                  </pic:blipFill>
                  <pic:spPr>
                    <a:xfrm>
                      <a:off x="0" y="0"/>
                      <a:ext cx="857250" cy="809625"/>
                    </a:xfrm>
                    <a:prstGeom prst="rect">
                      <a:avLst/>
                    </a:prstGeom>
                  </pic:spPr>
                </pic:pic>
              </a:graphicData>
            </a:graphic>
          </wp:anchor>
        </w:drawing>
      </w:r>
      <w:r>
        <w:rPr>
          <w:rFonts w:hint="eastAsia" w:ascii="宋体" w:hAnsi="宋体" w:eastAsia="宋体" w:cs="宋体"/>
          <w:sz w:val="21"/>
          <w:szCs w:val="21"/>
          <w:highlight w:val="none"/>
        </w:rPr>
        <w:drawing>
          <wp:inline distT="0" distB="0" distL="114300" distR="114300">
            <wp:extent cx="5267325" cy="3775710"/>
            <wp:effectExtent l="0" t="0" r="9525" b="1524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88"/>
                    <a:stretch>
                      <a:fillRect/>
                    </a:stretch>
                  </pic:blipFill>
                  <pic:spPr>
                    <a:xfrm>
                      <a:off x="0" y="0"/>
                      <a:ext cx="5267325" cy="3775710"/>
                    </a:xfrm>
                    <a:prstGeom prst="rect">
                      <a:avLst/>
                    </a:prstGeom>
                    <a:noFill/>
                    <a:ln>
                      <a:noFill/>
                    </a:ln>
                  </pic:spPr>
                </pic:pic>
              </a:graphicData>
            </a:graphic>
          </wp:inline>
        </w:drawing>
      </w:r>
    </w:p>
    <w:p w14:paraId="756B60E6">
      <w:pPr>
        <w:pStyle w:val="73"/>
        <w:numPr>
          <w:ilvl w:val="0"/>
          <w:numId w:val="0"/>
        </w:numPr>
        <w:spacing w:line="240" w:lineRule="auto"/>
        <w:ind w:leftChars="0"/>
        <w:jc w:val="center"/>
        <w:rPr>
          <w:rFonts w:hint="eastAsia" w:ascii="宋体" w:hAnsi="宋体" w:eastAsia="宋体" w:cs="宋体"/>
          <w:b/>
          <w:bCs/>
          <w:sz w:val="21"/>
          <w:szCs w:val="21"/>
          <w:highlight w:val="none"/>
          <w:lang w:val="en-US" w:eastAsia="zh-CN"/>
        </w:rPr>
      </w:pPr>
      <w:r>
        <w:rPr>
          <w:rFonts w:hint="eastAsia" w:ascii="宋体" w:hAnsi="宋体" w:eastAsia="宋体" w:cs="宋体"/>
          <w:b/>
          <w:bCs/>
          <w:sz w:val="21"/>
          <w:szCs w:val="21"/>
          <w:highlight w:val="none"/>
          <w:lang w:val="en-US" w:eastAsia="zh-CN"/>
        </w:rPr>
        <w:t>图1.1-1 路线起点、终点位置图</w:t>
      </w:r>
    </w:p>
    <w:p w14:paraId="235FF8A4">
      <w:pPr>
        <w:pStyle w:val="73"/>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28"/>
          <w:highlight w:val="none"/>
          <w:lang w:val="en-US" w:eastAsia="zh-CN"/>
        </w:rPr>
      </w:pPr>
      <w:r>
        <w:rPr>
          <w:rFonts w:hint="eastAsia" w:ascii="宋体" w:hAnsi="宋体" w:eastAsia="宋体" w:cs="宋体"/>
          <w:sz w:val="24"/>
          <w:szCs w:val="28"/>
          <w:highlight w:val="none"/>
          <w:lang w:val="en-US" w:eastAsia="zh-CN"/>
        </w:rPr>
        <w:t>涵洞工程：本路段现有涵洞2道，其中1-1.5m流纹管涵1道，2-1.5m流纹管涵1道。近年来，由于车流量的增加，波纹管涵洞破损严重，荷载等级及泄洪能力已不能满足要求。拟将K6+240、K6+757处波纹管涵改建为1-5.0x2.0m 钢筋混凝土箱涵。</w:t>
      </w:r>
    </w:p>
    <w:p w14:paraId="03697B93">
      <w:pPr>
        <w:pStyle w:val="73"/>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28"/>
          <w:highlight w:val="none"/>
          <w:lang w:val="en-US" w:eastAsia="zh-CN"/>
        </w:rPr>
      </w:pPr>
      <w:r>
        <w:rPr>
          <w:rFonts w:hint="eastAsia" w:ascii="宋体" w:hAnsi="宋体" w:eastAsia="宋体" w:cs="宋体"/>
          <w:sz w:val="24"/>
          <w:szCs w:val="28"/>
          <w:highlight w:val="none"/>
          <w:lang w:val="en-US" w:eastAsia="zh-CN"/>
        </w:rPr>
        <w:t>工程占地：</w:t>
      </w:r>
      <w:r>
        <w:rPr>
          <w:rFonts w:hint="eastAsia" w:ascii="宋体" w:hAnsi="宋体" w:eastAsia="宋体" w:cs="宋体"/>
          <w:smallCaps w:val="0"/>
          <w:color w:val="auto"/>
          <w:kern w:val="2"/>
          <w:sz w:val="24"/>
          <w:szCs w:val="24"/>
          <w:highlight w:val="none"/>
          <w:lang w:val="en-US" w:eastAsia="zh-CN" w:bidi="ar-SA"/>
        </w:rPr>
        <w:t>根据双鸭山市自然资源局出具的黑龙江省双鸭山至时代公路提质改造工程建设项目用地预审与选址意见书（</w:t>
      </w:r>
      <w:r>
        <w:rPr>
          <w:rFonts w:hint="eastAsia" w:ascii="宋体" w:hAnsi="宋体" w:eastAsia="宋体" w:cs="宋体"/>
          <w:smallCaps w:val="0"/>
          <w:color w:val="auto"/>
          <w:kern w:val="2"/>
          <w:sz w:val="24"/>
          <w:szCs w:val="24"/>
          <w:highlight w:val="none"/>
          <w:shd w:val="clear" w:color="auto" w:fill="auto"/>
          <w:lang w:val="en-US" w:eastAsia="zh-CN" w:bidi="ar-SA"/>
        </w:rPr>
        <w:t>双自然资用字第230503202300001号</w:t>
      </w:r>
      <w:r>
        <w:rPr>
          <w:rFonts w:hint="eastAsia" w:ascii="宋体" w:hAnsi="宋体" w:eastAsia="宋体" w:cs="宋体"/>
          <w:smallCaps w:val="0"/>
          <w:color w:val="auto"/>
          <w:kern w:val="2"/>
          <w:sz w:val="24"/>
          <w:szCs w:val="24"/>
          <w:highlight w:val="none"/>
          <w:lang w:val="en-US" w:eastAsia="zh-CN" w:bidi="ar-SA"/>
        </w:rPr>
        <w:t>），用地总规模3.7864公顷，其中公路用地3.2012公顷、耕地0.3903公顷、建设用地0.0618公顷、未利用地0.1331公顷。</w:t>
      </w:r>
      <w:r>
        <w:rPr>
          <w:rFonts w:hint="eastAsia" w:ascii="宋体" w:hAnsi="宋体" w:eastAsia="宋体" w:cs="宋体"/>
          <w:smallCaps w:val="0"/>
          <w:color w:val="auto"/>
          <w:kern w:val="0"/>
          <w:sz w:val="24"/>
          <w:szCs w:val="28"/>
          <w:highlight w:val="none"/>
          <w:lang w:val="en-US" w:eastAsia="zh-CN"/>
        </w:rPr>
        <w:t>其中永久占地32055.8m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，其中道路永久占地面积21250m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，边沟永久占地面积4197.6m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，特殊路段路基占地面积6565m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；路基防护墙永久占地面积43.2m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。临时占地5808.2m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，其中临时施工工场占地面积2131m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；临时弃渣场占地1897.2m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。临时表土堆场占地面积500m</w:t>
      </w:r>
      <w:r>
        <w:rPr>
          <w:rFonts w:hint="eastAsia" w:ascii="宋体" w:hAnsi="宋体" w:eastAsia="宋体" w:cs="宋体"/>
          <w:smallCaps w:val="0"/>
          <w:color w:val="auto"/>
          <w:kern w:val="0"/>
          <w:sz w:val="24"/>
          <w:szCs w:val="28"/>
          <w:highlight w:val="none"/>
          <w:vertAlign w:val="superscript"/>
          <w:lang w:val="en-US" w:eastAsia="zh-CN"/>
        </w:rPr>
        <w:t>2</w:t>
      </w:r>
      <w:r>
        <w:rPr>
          <w:rFonts w:hint="eastAsia" w:ascii="宋体" w:hAnsi="宋体" w:eastAsia="宋体" w:cs="宋体"/>
          <w:smallCaps w:val="0"/>
          <w:color w:val="auto"/>
          <w:kern w:val="0"/>
          <w:sz w:val="24"/>
          <w:szCs w:val="28"/>
          <w:highlight w:val="none"/>
          <w:lang w:val="en-US" w:eastAsia="zh-CN"/>
        </w:rPr>
        <w:t>。</w:t>
      </w:r>
    </w:p>
    <w:p w14:paraId="18EA428B">
      <w:pPr>
        <w:pStyle w:val="73"/>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mallCaps w:val="0"/>
          <w:color w:val="auto"/>
          <w:kern w:val="0"/>
          <w:sz w:val="24"/>
          <w:szCs w:val="28"/>
          <w:highlight w:val="none"/>
          <w:lang w:val="en-US" w:eastAsia="zh-CN"/>
        </w:rPr>
      </w:pPr>
      <w:r>
        <w:rPr>
          <w:rFonts w:hint="eastAsia" w:ascii="宋体" w:hAnsi="宋体" w:eastAsia="宋体" w:cs="宋体"/>
          <w:smallCaps w:val="0"/>
          <w:color w:val="auto"/>
          <w:kern w:val="0"/>
          <w:sz w:val="24"/>
          <w:szCs w:val="28"/>
          <w:highlight w:val="none"/>
          <w:lang w:val="en-US" w:eastAsia="zh-CN"/>
        </w:rPr>
        <w:t>拆迁：本工程不涉及拆迁。</w:t>
      </w:r>
    </w:p>
    <w:p w14:paraId="4C7D0EE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none"/>
          <w:lang w:val="en-US" w:eastAsia="zh-CN"/>
        </w:rPr>
      </w:pPr>
      <w:r>
        <w:rPr>
          <w:rFonts w:hint="eastAsia" w:ascii="宋体" w:hAnsi="宋体" w:eastAsia="宋体" w:cs="宋体"/>
          <w:sz w:val="24"/>
          <w:szCs w:val="28"/>
          <w:highlight w:val="none"/>
          <w:lang w:val="en-US" w:eastAsia="zh-CN"/>
        </w:rPr>
        <w:t>（10）砍伐：本项目未砍伐树木。</w:t>
      </w:r>
    </w:p>
    <w:p w14:paraId="2514336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none"/>
          <w:lang w:val="en-US" w:eastAsia="zh-CN"/>
        </w:rPr>
      </w:pPr>
      <w:r>
        <w:rPr>
          <w:rFonts w:hint="eastAsia" w:ascii="宋体" w:hAnsi="宋体" w:eastAsia="宋体" w:cs="宋体"/>
          <w:sz w:val="24"/>
          <w:szCs w:val="28"/>
          <w:highlight w:val="none"/>
          <w:lang w:val="en-US" w:eastAsia="zh-CN"/>
        </w:rPr>
        <w:t>（11）土石方平衡</w:t>
      </w:r>
      <w:r>
        <w:rPr>
          <w:rFonts w:hint="eastAsia" w:ascii="宋体" w:hAnsi="宋体" w:eastAsia="宋体" w:cs="宋体"/>
          <w:smallCaps w:val="0"/>
          <w:color w:val="auto"/>
          <w:kern w:val="0"/>
          <w:sz w:val="24"/>
          <w:szCs w:val="24"/>
          <w:highlight w:val="none"/>
          <w:lang w:val="en-US" w:eastAsia="zh-CN"/>
        </w:rPr>
        <w:t>本项目挖方总量为11531.9m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，表土方挖方量2263.28m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，产生弃方量10101.9m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，产生弃方拉运至建筑垃圾处置消纳场，表土转运用于植被恢复</w:t>
      </w:r>
    </w:p>
    <w:p w14:paraId="0FA5880C">
      <w:pPr>
        <w:pStyle w:val="66"/>
        <w:spacing w:line="240" w:lineRule="auto"/>
        <w:rPr>
          <w:rFonts w:hint="eastAsia" w:ascii="宋体" w:hAnsi="宋体" w:eastAsia="宋体" w:cs="宋体"/>
          <w:b/>
          <w:smallCaps w:val="0"/>
          <w:color w:val="auto"/>
          <w:kern w:val="0"/>
          <w:sz w:val="21"/>
          <w:szCs w:val="21"/>
          <w:highlight w:val="none"/>
          <w:lang w:val="en-US" w:eastAsia="zh-CN" w:bidi="ar-SA"/>
        </w:rPr>
      </w:pPr>
      <w:r>
        <w:rPr>
          <w:rFonts w:hint="eastAsia" w:ascii="宋体" w:hAnsi="宋体" w:eastAsia="宋体" w:cs="宋体"/>
          <w:b/>
          <w:smallCaps w:val="0"/>
          <w:color w:val="auto"/>
          <w:kern w:val="0"/>
          <w:sz w:val="21"/>
          <w:szCs w:val="21"/>
          <w:highlight w:val="none"/>
          <w:lang w:val="en-US" w:eastAsia="zh-CN" w:bidi="ar-SA"/>
        </w:rPr>
        <w:t>表1.1-2  本项目整体土石方平衡</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976"/>
        <w:gridCol w:w="1266"/>
        <w:gridCol w:w="1018"/>
        <w:gridCol w:w="887"/>
        <w:gridCol w:w="983"/>
        <w:gridCol w:w="1273"/>
        <w:gridCol w:w="1139"/>
      </w:tblGrid>
      <w:tr w14:paraId="652FC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75" w:type="pct"/>
            <w:noWrap w:val="0"/>
            <w:vAlign w:val="center"/>
          </w:tcPr>
          <w:p w14:paraId="273F8446">
            <w:pPr>
              <w:pStyle w:val="73"/>
              <w:spacing w:line="240" w:lineRule="auto"/>
              <w:rPr>
                <w:rFonts w:hint="eastAsia" w:ascii="宋体" w:hAnsi="宋体" w:eastAsia="宋体" w:cs="宋体"/>
                <w:b/>
                <w:bCs/>
                <w:smallCaps w:val="0"/>
                <w:color w:val="auto"/>
                <w:kern w:val="0"/>
                <w:sz w:val="21"/>
                <w:szCs w:val="21"/>
                <w:highlight w:val="none"/>
              </w:rPr>
            </w:pPr>
            <w:r>
              <w:rPr>
                <w:rFonts w:hint="eastAsia" w:ascii="宋体" w:hAnsi="宋体" w:eastAsia="宋体" w:cs="宋体"/>
                <w:b/>
                <w:bCs/>
                <w:smallCaps w:val="0"/>
                <w:color w:val="auto"/>
                <w:kern w:val="0"/>
                <w:sz w:val="21"/>
                <w:szCs w:val="21"/>
                <w:highlight w:val="none"/>
                <w:lang w:val="en-US" w:eastAsia="zh-CN"/>
              </w:rPr>
              <w:t>挖方量</w:t>
            </w:r>
            <w:r>
              <w:rPr>
                <w:rFonts w:hint="eastAsia" w:ascii="宋体" w:hAnsi="宋体" w:eastAsia="宋体" w:cs="宋体"/>
                <w:b/>
                <w:bCs/>
                <w:smallCaps w:val="0"/>
                <w:color w:val="auto"/>
                <w:kern w:val="0"/>
                <w:sz w:val="21"/>
                <w:szCs w:val="21"/>
                <w:highlight w:val="none"/>
              </w:rPr>
              <w:t>m</w:t>
            </w:r>
            <w:r>
              <w:rPr>
                <w:rFonts w:hint="eastAsia" w:ascii="宋体" w:hAnsi="宋体" w:eastAsia="宋体" w:cs="宋体"/>
                <w:b/>
                <w:bCs/>
                <w:smallCaps w:val="0"/>
                <w:color w:val="auto"/>
                <w:kern w:val="0"/>
                <w:sz w:val="21"/>
                <w:szCs w:val="21"/>
                <w:highlight w:val="none"/>
                <w:vertAlign w:val="superscript"/>
              </w:rPr>
              <w:t>3</w:t>
            </w:r>
          </w:p>
        </w:tc>
        <w:tc>
          <w:tcPr>
            <w:tcW w:w="572" w:type="pct"/>
            <w:noWrap w:val="0"/>
            <w:vAlign w:val="center"/>
          </w:tcPr>
          <w:p w14:paraId="287BE55C">
            <w:pPr>
              <w:pStyle w:val="73"/>
              <w:spacing w:line="240" w:lineRule="auto"/>
              <w:rPr>
                <w:rFonts w:hint="eastAsia" w:ascii="宋体" w:hAnsi="宋体" w:eastAsia="宋体" w:cs="宋体"/>
                <w:b/>
                <w:bCs/>
                <w:smallCaps w:val="0"/>
                <w:color w:val="auto"/>
                <w:kern w:val="0"/>
                <w:sz w:val="21"/>
                <w:szCs w:val="21"/>
                <w:highlight w:val="none"/>
                <w:lang w:val="en-US" w:eastAsia="zh-CN"/>
              </w:rPr>
            </w:pPr>
            <w:r>
              <w:rPr>
                <w:rFonts w:hint="eastAsia" w:ascii="宋体" w:hAnsi="宋体" w:eastAsia="宋体" w:cs="宋体"/>
                <w:b/>
                <w:bCs/>
                <w:smallCaps w:val="0"/>
                <w:color w:val="auto"/>
                <w:kern w:val="0"/>
                <w:sz w:val="21"/>
                <w:szCs w:val="21"/>
                <w:highlight w:val="none"/>
                <w:lang w:val="en-US" w:eastAsia="zh-CN"/>
              </w:rPr>
              <w:t>表土方</w:t>
            </w:r>
            <w:r>
              <w:rPr>
                <w:rFonts w:hint="eastAsia" w:ascii="宋体" w:hAnsi="宋体" w:eastAsia="宋体" w:cs="宋体"/>
                <w:b/>
                <w:bCs/>
                <w:smallCaps w:val="0"/>
                <w:color w:val="auto"/>
                <w:kern w:val="0"/>
                <w:sz w:val="21"/>
                <w:szCs w:val="21"/>
                <w:highlight w:val="none"/>
              </w:rPr>
              <w:t>m</w:t>
            </w:r>
            <w:r>
              <w:rPr>
                <w:rFonts w:hint="eastAsia" w:ascii="宋体" w:hAnsi="宋体" w:eastAsia="宋体" w:cs="宋体"/>
                <w:b/>
                <w:bCs/>
                <w:smallCaps w:val="0"/>
                <w:color w:val="auto"/>
                <w:kern w:val="0"/>
                <w:sz w:val="21"/>
                <w:szCs w:val="21"/>
                <w:highlight w:val="none"/>
                <w:vertAlign w:val="superscript"/>
              </w:rPr>
              <w:t>3</w:t>
            </w:r>
          </w:p>
        </w:tc>
        <w:tc>
          <w:tcPr>
            <w:tcW w:w="742" w:type="pct"/>
            <w:noWrap w:val="0"/>
            <w:vAlign w:val="center"/>
          </w:tcPr>
          <w:p w14:paraId="294FD667">
            <w:pPr>
              <w:pStyle w:val="73"/>
              <w:spacing w:line="240" w:lineRule="auto"/>
              <w:rPr>
                <w:rFonts w:hint="eastAsia" w:ascii="宋体" w:hAnsi="宋体" w:eastAsia="宋体" w:cs="宋体"/>
                <w:b/>
                <w:bCs/>
                <w:smallCaps w:val="0"/>
                <w:color w:val="auto"/>
                <w:kern w:val="0"/>
                <w:sz w:val="21"/>
                <w:szCs w:val="21"/>
                <w:highlight w:val="none"/>
                <w:lang w:val="en-US" w:eastAsia="zh-CN"/>
              </w:rPr>
            </w:pPr>
            <w:r>
              <w:rPr>
                <w:rFonts w:hint="eastAsia" w:ascii="宋体" w:hAnsi="宋体" w:eastAsia="宋体" w:cs="宋体"/>
                <w:b/>
                <w:bCs/>
                <w:smallCaps w:val="0"/>
                <w:color w:val="auto"/>
                <w:kern w:val="0"/>
                <w:sz w:val="21"/>
                <w:szCs w:val="21"/>
                <w:highlight w:val="none"/>
                <w:lang w:val="en-US" w:eastAsia="zh-CN"/>
              </w:rPr>
              <w:t>填</w:t>
            </w:r>
            <w:r>
              <w:rPr>
                <w:rFonts w:hint="eastAsia" w:ascii="宋体" w:hAnsi="宋体" w:eastAsia="宋体" w:cs="宋体"/>
                <w:b/>
                <w:bCs/>
                <w:smallCaps w:val="0"/>
                <w:color w:val="auto"/>
                <w:kern w:val="0"/>
                <w:sz w:val="21"/>
                <w:szCs w:val="21"/>
                <w:highlight w:val="none"/>
              </w:rPr>
              <w:t>方</w:t>
            </w:r>
            <w:r>
              <w:rPr>
                <w:rFonts w:hint="eastAsia" w:ascii="宋体" w:hAnsi="宋体" w:eastAsia="宋体" w:cs="宋体"/>
                <w:b/>
                <w:bCs/>
                <w:smallCaps w:val="0"/>
                <w:color w:val="auto"/>
                <w:kern w:val="0"/>
                <w:sz w:val="21"/>
                <w:szCs w:val="21"/>
                <w:highlight w:val="none"/>
                <w:lang w:val="en-US" w:eastAsia="zh-CN"/>
              </w:rPr>
              <w:t>量</w:t>
            </w:r>
            <w:r>
              <w:rPr>
                <w:rFonts w:hint="eastAsia" w:ascii="宋体" w:hAnsi="宋体" w:eastAsia="宋体" w:cs="宋体"/>
                <w:b/>
                <w:bCs/>
                <w:smallCaps w:val="0"/>
                <w:color w:val="auto"/>
                <w:kern w:val="0"/>
                <w:sz w:val="21"/>
                <w:szCs w:val="21"/>
                <w:highlight w:val="none"/>
              </w:rPr>
              <w:t>m</w:t>
            </w:r>
            <w:r>
              <w:rPr>
                <w:rFonts w:hint="eastAsia" w:ascii="宋体" w:hAnsi="宋体" w:eastAsia="宋体" w:cs="宋体"/>
                <w:b/>
                <w:bCs/>
                <w:smallCaps w:val="0"/>
                <w:color w:val="auto"/>
                <w:kern w:val="0"/>
                <w:sz w:val="21"/>
                <w:szCs w:val="21"/>
                <w:highlight w:val="none"/>
                <w:vertAlign w:val="superscript"/>
              </w:rPr>
              <w:t>3</w:t>
            </w:r>
            <w:r>
              <w:rPr>
                <w:rFonts w:hint="eastAsia" w:ascii="宋体" w:hAnsi="宋体" w:eastAsia="宋体" w:cs="宋体"/>
                <w:b/>
                <w:bCs/>
                <w:smallCaps w:val="0"/>
                <w:color w:val="auto"/>
                <w:kern w:val="0"/>
                <w:sz w:val="21"/>
                <w:szCs w:val="21"/>
                <w:highlight w:val="none"/>
                <w:vertAlign w:val="baseline"/>
                <w:lang w:eastAsia="zh-CN"/>
              </w:rPr>
              <w:t>（</w:t>
            </w:r>
            <w:r>
              <w:rPr>
                <w:rFonts w:hint="eastAsia" w:ascii="宋体" w:hAnsi="宋体" w:eastAsia="宋体" w:cs="宋体"/>
                <w:b/>
                <w:bCs/>
                <w:smallCaps w:val="0"/>
                <w:color w:val="auto"/>
                <w:kern w:val="0"/>
                <w:sz w:val="21"/>
                <w:szCs w:val="21"/>
                <w:highlight w:val="none"/>
                <w:vertAlign w:val="baseline"/>
                <w:lang w:val="en-US" w:eastAsia="zh-CN"/>
              </w:rPr>
              <w:t>成品方</w:t>
            </w:r>
            <w:r>
              <w:rPr>
                <w:rFonts w:hint="eastAsia" w:ascii="宋体" w:hAnsi="宋体" w:eastAsia="宋体" w:cs="宋体"/>
                <w:b/>
                <w:bCs/>
                <w:smallCaps w:val="0"/>
                <w:color w:val="auto"/>
                <w:kern w:val="0"/>
                <w:sz w:val="21"/>
                <w:szCs w:val="21"/>
                <w:highlight w:val="none"/>
                <w:vertAlign w:val="baseline"/>
                <w:lang w:eastAsia="zh-CN"/>
              </w:rPr>
              <w:t>）</w:t>
            </w:r>
          </w:p>
        </w:tc>
        <w:tc>
          <w:tcPr>
            <w:tcW w:w="597" w:type="pct"/>
            <w:noWrap w:val="0"/>
            <w:vAlign w:val="center"/>
          </w:tcPr>
          <w:p w14:paraId="2AFC902C">
            <w:pPr>
              <w:pStyle w:val="73"/>
              <w:spacing w:line="240" w:lineRule="auto"/>
              <w:rPr>
                <w:rFonts w:hint="eastAsia" w:ascii="宋体" w:hAnsi="宋体" w:eastAsia="宋体" w:cs="宋体"/>
                <w:b/>
                <w:bCs/>
                <w:smallCaps w:val="0"/>
                <w:color w:val="auto"/>
                <w:kern w:val="0"/>
                <w:sz w:val="21"/>
                <w:szCs w:val="21"/>
                <w:highlight w:val="none"/>
              </w:rPr>
            </w:pPr>
            <w:r>
              <w:rPr>
                <w:rFonts w:hint="eastAsia" w:ascii="宋体" w:hAnsi="宋体" w:eastAsia="宋体" w:cs="宋体"/>
                <w:b/>
                <w:bCs/>
                <w:smallCaps w:val="0"/>
                <w:color w:val="auto"/>
                <w:kern w:val="0"/>
                <w:sz w:val="21"/>
                <w:szCs w:val="21"/>
                <w:highlight w:val="none"/>
                <w:lang w:val="en-US" w:eastAsia="zh-CN"/>
              </w:rPr>
              <w:t>利用方</w:t>
            </w:r>
            <w:r>
              <w:rPr>
                <w:rFonts w:hint="eastAsia" w:ascii="宋体" w:hAnsi="宋体" w:eastAsia="宋体" w:cs="宋体"/>
                <w:b/>
                <w:bCs/>
                <w:smallCaps w:val="0"/>
                <w:color w:val="auto"/>
                <w:kern w:val="0"/>
                <w:sz w:val="21"/>
                <w:szCs w:val="21"/>
                <w:highlight w:val="none"/>
              </w:rPr>
              <w:t>m</w:t>
            </w:r>
            <w:r>
              <w:rPr>
                <w:rFonts w:hint="eastAsia" w:ascii="宋体" w:hAnsi="宋体" w:eastAsia="宋体" w:cs="宋体"/>
                <w:b/>
                <w:bCs/>
                <w:smallCaps w:val="0"/>
                <w:color w:val="auto"/>
                <w:kern w:val="0"/>
                <w:sz w:val="21"/>
                <w:szCs w:val="21"/>
                <w:highlight w:val="none"/>
                <w:vertAlign w:val="superscript"/>
              </w:rPr>
              <w:t>3</w:t>
            </w:r>
          </w:p>
        </w:tc>
        <w:tc>
          <w:tcPr>
            <w:tcW w:w="520" w:type="pct"/>
            <w:noWrap w:val="0"/>
            <w:vAlign w:val="center"/>
          </w:tcPr>
          <w:p w14:paraId="5B7F47DD">
            <w:pPr>
              <w:pStyle w:val="73"/>
              <w:spacing w:line="240" w:lineRule="auto"/>
              <w:rPr>
                <w:rFonts w:hint="eastAsia" w:ascii="宋体" w:hAnsi="宋体" w:eastAsia="宋体" w:cs="宋体"/>
                <w:b/>
                <w:bCs/>
                <w:smallCaps w:val="0"/>
                <w:color w:val="auto"/>
                <w:kern w:val="0"/>
                <w:sz w:val="21"/>
                <w:szCs w:val="21"/>
                <w:highlight w:val="none"/>
                <w:lang w:val="en-US" w:eastAsia="zh-CN"/>
              </w:rPr>
            </w:pPr>
            <w:r>
              <w:rPr>
                <w:rFonts w:hint="eastAsia" w:ascii="宋体" w:hAnsi="宋体" w:eastAsia="宋体" w:cs="宋体"/>
                <w:b/>
                <w:bCs/>
                <w:smallCaps w:val="0"/>
                <w:color w:val="auto"/>
                <w:kern w:val="0"/>
                <w:sz w:val="21"/>
                <w:szCs w:val="21"/>
                <w:highlight w:val="none"/>
                <w:lang w:val="en-US" w:eastAsia="zh-CN"/>
              </w:rPr>
              <w:t>借方m</w:t>
            </w:r>
            <w:r>
              <w:rPr>
                <w:rFonts w:hint="eastAsia" w:ascii="宋体" w:hAnsi="宋体" w:eastAsia="宋体" w:cs="宋体"/>
                <w:b/>
                <w:bCs/>
                <w:smallCaps w:val="0"/>
                <w:color w:val="auto"/>
                <w:kern w:val="0"/>
                <w:sz w:val="21"/>
                <w:szCs w:val="21"/>
                <w:highlight w:val="none"/>
                <w:vertAlign w:val="superscript"/>
                <w:lang w:val="en-US" w:eastAsia="zh-CN"/>
              </w:rPr>
              <w:t>3</w:t>
            </w:r>
          </w:p>
        </w:tc>
        <w:tc>
          <w:tcPr>
            <w:tcW w:w="576" w:type="pct"/>
            <w:noWrap w:val="0"/>
            <w:vAlign w:val="center"/>
          </w:tcPr>
          <w:p w14:paraId="0BABECD6">
            <w:pPr>
              <w:pStyle w:val="73"/>
              <w:spacing w:line="240" w:lineRule="auto"/>
              <w:rPr>
                <w:rFonts w:hint="eastAsia" w:ascii="宋体" w:hAnsi="宋体" w:eastAsia="宋体" w:cs="宋体"/>
                <w:b/>
                <w:bCs/>
                <w:smallCaps w:val="0"/>
                <w:color w:val="auto"/>
                <w:kern w:val="0"/>
                <w:sz w:val="21"/>
                <w:szCs w:val="21"/>
                <w:highlight w:val="none"/>
                <w:lang w:val="en-US" w:eastAsia="zh-CN"/>
              </w:rPr>
            </w:pPr>
            <w:r>
              <w:rPr>
                <w:rFonts w:hint="eastAsia" w:ascii="宋体" w:hAnsi="宋体" w:eastAsia="宋体" w:cs="宋体"/>
                <w:b/>
                <w:bCs/>
                <w:smallCaps w:val="0"/>
                <w:color w:val="auto"/>
                <w:kern w:val="0"/>
                <w:sz w:val="21"/>
                <w:szCs w:val="21"/>
                <w:highlight w:val="none"/>
                <w:lang w:val="en-US" w:eastAsia="zh-CN"/>
              </w:rPr>
              <w:t>弃方量m</w:t>
            </w:r>
            <w:r>
              <w:rPr>
                <w:rFonts w:hint="eastAsia" w:ascii="宋体" w:hAnsi="宋体" w:eastAsia="宋体" w:cs="宋体"/>
                <w:b/>
                <w:bCs/>
                <w:smallCaps w:val="0"/>
                <w:color w:val="auto"/>
                <w:kern w:val="0"/>
                <w:sz w:val="21"/>
                <w:szCs w:val="21"/>
                <w:highlight w:val="none"/>
                <w:vertAlign w:val="superscript"/>
                <w:lang w:val="en-US" w:eastAsia="zh-CN"/>
              </w:rPr>
              <w:t>3</w:t>
            </w:r>
          </w:p>
        </w:tc>
        <w:tc>
          <w:tcPr>
            <w:tcW w:w="746" w:type="pct"/>
            <w:noWrap w:val="0"/>
            <w:vAlign w:val="center"/>
          </w:tcPr>
          <w:p w14:paraId="712D66F4">
            <w:pPr>
              <w:pStyle w:val="73"/>
              <w:spacing w:line="240" w:lineRule="auto"/>
              <w:rPr>
                <w:rFonts w:hint="eastAsia" w:ascii="宋体" w:hAnsi="宋体" w:eastAsia="宋体" w:cs="宋体"/>
                <w:b/>
                <w:bCs/>
                <w:smallCaps w:val="0"/>
                <w:color w:val="auto"/>
                <w:kern w:val="0"/>
                <w:sz w:val="21"/>
                <w:szCs w:val="21"/>
                <w:highlight w:val="none"/>
              </w:rPr>
            </w:pPr>
            <w:r>
              <w:rPr>
                <w:rFonts w:hint="eastAsia" w:ascii="宋体" w:hAnsi="宋体" w:eastAsia="宋体" w:cs="宋体"/>
                <w:b/>
                <w:bCs/>
                <w:smallCaps w:val="0"/>
                <w:color w:val="auto"/>
                <w:kern w:val="0"/>
                <w:sz w:val="21"/>
                <w:szCs w:val="21"/>
                <w:highlight w:val="none"/>
              </w:rPr>
              <w:t>弃方去向</w:t>
            </w:r>
          </w:p>
        </w:tc>
        <w:tc>
          <w:tcPr>
            <w:tcW w:w="668" w:type="pct"/>
            <w:noWrap w:val="0"/>
            <w:vAlign w:val="center"/>
          </w:tcPr>
          <w:p w14:paraId="3C6177F2">
            <w:pPr>
              <w:pStyle w:val="73"/>
              <w:spacing w:line="240" w:lineRule="auto"/>
              <w:rPr>
                <w:rFonts w:hint="eastAsia" w:ascii="宋体" w:hAnsi="宋体" w:eastAsia="宋体" w:cs="宋体"/>
                <w:b/>
                <w:bCs/>
                <w:smallCaps w:val="0"/>
                <w:color w:val="auto"/>
                <w:kern w:val="0"/>
                <w:sz w:val="21"/>
                <w:szCs w:val="21"/>
                <w:highlight w:val="none"/>
                <w:lang w:val="en-US" w:eastAsia="zh-CN"/>
              </w:rPr>
            </w:pPr>
            <w:r>
              <w:rPr>
                <w:rFonts w:hint="eastAsia" w:ascii="宋体" w:hAnsi="宋体" w:eastAsia="宋体" w:cs="宋体"/>
                <w:b/>
                <w:bCs/>
                <w:smallCaps w:val="0"/>
                <w:color w:val="auto"/>
                <w:kern w:val="0"/>
                <w:sz w:val="21"/>
                <w:szCs w:val="21"/>
                <w:highlight w:val="none"/>
                <w:lang w:val="en-US" w:eastAsia="zh-CN"/>
              </w:rPr>
              <w:t>表土去向</w:t>
            </w:r>
          </w:p>
        </w:tc>
      </w:tr>
      <w:tr w14:paraId="35272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pct"/>
            <w:noWrap w:val="0"/>
            <w:vAlign w:val="center"/>
          </w:tcPr>
          <w:p w14:paraId="10CBAD72">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11531.9</w:t>
            </w:r>
          </w:p>
        </w:tc>
        <w:tc>
          <w:tcPr>
            <w:tcW w:w="572" w:type="pct"/>
            <w:noWrap w:val="0"/>
            <w:vAlign w:val="center"/>
          </w:tcPr>
          <w:p w14:paraId="6769436E">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2263.28</w:t>
            </w:r>
          </w:p>
        </w:tc>
        <w:tc>
          <w:tcPr>
            <w:tcW w:w="742" w:type="pct"/>
            <w:noWrap w:val="0"/>
            <w:vAlign w:val="center"/>
          </w:tcPr>
          <w:p w14:paraId="761B3D6D">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13394.8</w:t>
            </w:r>
          </w:p>
        </w:tc>
        <w:tc>
          <w:tcPr>
            <w:tcW w:w="597" w:type="pct"/>
            <w:noWrap w:val="0"/>
            <w:vAlign w:val="center"/>
          </w:tcPr>
          <w:p w14:paraId="0C3473C7">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1430</w:t>
            </w:r>
          </w:p>
        </w:tc>
        <w:tc>
          <w:tcPr>
            <w:tcW w:w="520" w:type="pct"/>
            <w:noWrap w:val="0"/>
            <w:vAlign w:val="center"/>
          </w:tcPr>
          <w:p w14:paraId="4B77223B">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5288</w:t>
            </w:r>
          </w:p>
        </w:tc>
        <w:tc>
          <w:tcPr>
            <w:tcW w:w="576" w:type="pct"/>
            <w:noWrap w:val="0"/>
            <w:vAlign w:val="center"/>
          </w:tcPr>
          <w:p w14:paraId="387B7E36">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10101.9</w:t>
            </w:r>
          </w:p>
        </w:tc>
        <w:tc>
          <w:tcPr>
            <w:tcW w:w="746" w:type="pct"/>
            <w:noWrap w:val="0"/>
            <w:vAlign w:val="center"/>
          </w:tcPr>
          <w:p w14:paraId="01B69D47">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拉运至建筑垃圾处置消纳场处理</w:t>
            </w:r>
          </w:p>
        </w:tc>
        <w:tc>
          <w:tcPr>
            <w:tcW w:w="668" w:type="pct"/>
            <w:noWrap w:val="0"/>
            <w:vAlign w:val="center"/>
          </w:tcPr>
          <w:p w14:paraId="2F8E3B13">
            <w:pPr>
              <w:pStyle w:val="73"/>
              <w:spacing w:line="240" w:lineRule="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转运用于植被恢复</w:t>
            </w:r>
          </w:p>
        </w:tc>
      </w:tr>
    </w:tbl>
    <w:p w14:paraId="1F808A24">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 xml:space="preserve">1.2 编制依据 </w:t>
      </w:r>
    </w:p>
    <w:p w14:paraId="53402E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mallCaps w:val="0"/>
          <w:sz w:val="24"/>
          <w:szCs w:val="24"/>
          <w:highlight w:val="none"/>
        </w:rPr>
      </w:pPr>
      <w:r>
        <w:rPr>
          <w:rFonts w:hint="eastAsia" w:ascii="宋体" w:hAnsi="宋体" w:eastAsia="宋体" w:cs="宋体"/>
          <w:smallCaps w:val="0"/>
          <w:sz w:val="24"/>
          <w:szCs w:val="24"/>
          <w:highlight w:val="none"/>
          <w:lang w:val="en-US" w:eastAsia="zh-CN"/>
        </w:rPr>
        <w:t>1、</w:t>
      </w:r>
      <w:r>
        <w:rPr>
          <w:rFonts w:hint="eastAsia" w:ascii="宋体" w:hAnsi="宋体" w:eastAsia="宋体" w:cs="宋体"/>
          <w:smallCaps w:val="0"/>
          <w:sz w:val="24"/>
          <w:szCs w:val="24"/>
          <w:highlight w:val="none"/>
        </w:rPr>
        <w:t>《中华人民共和国环境保护法》，2015年1月1日；</w:t>
      </w:r>
    </w:p>
    <w:p w14:paraId="32A55CC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highlight w:val="none"/>
        </w:rPr>
      </w:pPr>
      <w:r>
        <w:rPr>
          <w:rFonts w:hint="eastAsia" w:ascii="宋体" w:hAnsi="宋体" w:eastAsia="宋体" w:cs="宋体"/>
          <w:smallCaps w:val="0"/>
          <w:sz w:val="24"/>
          <w:szCs w:val="24"/>
          <w:highlight w:val="none"/>
          <w:lang w:val="en-US" w:eastAsia="zh-CN"/>
        </w:rPr>
        <w:t>2、</w:t>
      </w:r>
      <w:r>
        <w:rPr>
          <w:rFonts w:hint="eastAsia" w:ascii="宋体" w:hAnsi="宋体" w:eastAsia="宋体" w:cs="宋体"/>
          <w:smallCaps w:val="0"/>
          <w:sz w:val="24"/>
          <w:szCs w:val="24"/>
          <w:highlight w:val="none"/>
        </w:rPr>
        <w:t>《中华人民共和国环境影响评价法》，</w:t>
      </w:r>
      <w:r>
        <w:rPr>
          <w:rFonts w:hint="eastAsia" w:ascii="宋体" w:hAnsi="宋体" w:eastAsia="宋体" w:cs="宋体"/>
          <w:smallCaps w:val="0"/>
          <w:sz w:val="24"/>
          <w:szCs w:val="24"/>
          <w:highlight w:val="none"/>
          <w:lang w:val="en-US" w:eastAsia="zh-CN"/>
        </w:rPr>
        <w:t>2003年9月1日起施行；2018年12月29日修订；</w:t>
      </w:r>
    </w:p>
    <w:p w14:paraId="12586B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mallCaps w:val="0"/>
          <w:sz w:val="24"/>
          <w:szCs w:val="24"/>
          <w:highlight w:val="none"/>
        </w:rPr>
      </w:pPr>
      <w:r>
        <w:rPr>
          <w:rFonts w:hint="eastAsia" w:ascii="宋体" w:hAnsi="宋体" w:eastAsia="宋体" w:cs="宋体"/>
          <w:smallCaps w:val="0"/>
          <w:sz w:val="24"/>
          <w:szCs w:val="24"/>
          <w:highlight w:val="none"/>
          <w:lang w:val="en-US" w:eastAsia="zh-CN"/>
        </w:rPr>
        <w:t>3、</w:t>
      </w:r>
      <w:r>
        <w:rPr>
          <w:rFonts w:hint="eastAsia" w:ascii="宋体" w:hAnsi="宋体" w:eastAsia="宋体" w:cs="宋体"/>
          <w:smallCaps w:val="0"/>
          <w:sz w:val="24"/>
          <w:szCs w:val="24"/>
          <w:highlight w:val="none"/>
        </w:rPr>
        <w:t>《中华人民共和国水土保持法实施条例》，1993年8月1日</w:t>
      </w:r>
      <w:r>
        <w:rPr>
          <w:rFonts w:hint="eastAsia" w:ascii="宋体" w:hAnsi="宋体" w:eastAsia="宋体" w:cs="宋体"/>
          <w:smallCaps w:val="0"/>
          <w:sz w:val="24"/>
          <w:szCs w:val="24"/>
          <w:highlight w:val="none"/>
          <w:lang w:val="en-US" w:eastAsia="zh-CN"/>
        </w:rPr>
        <w:t>发布，2011年1月8日修订</w:t>
      </w:r>
      <w:r>
        <w:rPr>
          <w:rFonts w:hint="eastAsia" w:ascii="宋体" w:hAnsi="宋体" w:eastAsia="宋体" w:cs="宋体"/>
          <w:smallCaps w:val="0"/>
          <w:sz w:val="24"/>
          <w:szCs w:val="24"/>
          <w:highlight w:val="none"/>
        </w:rPr>
        <w:t>；</w:t>
      </w:r>
    </w:p>
    <w:p w14:paraId="1681F8F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mallCaps w:val="0"/>
          <w:sz w:val="24"/>
          <w:szCs w:val="24"/>
          <w:highlight w:val="none"/>
        </w:rPr>
      </w:pPr>
      <w:r>
        <w:rPr>
          <w:rFonts w:hint="eastAsia" w:ascii="宋体" w:hAnsi="宋体" w:eastAsia="宋体" w:cs="宋体"/>
          <w:smallCaps w:val="0"/>
          <w:sz w:val="24"/>
          <w:szCs w:val="24"/>
          <w:highlight w:val="none"/>
          <w:lang w:val="en-US" w:eastAsia="zh-CN"/>
        </w:rPr>
        <w:t>4、</w:t>
      </w:r>
      <w:r>
        <w:rPr>
          <w:rFonts w:hint="eastAsia" w:ascii="宋体" w:hAnsi="宋体" w:eastAsia="宋体" w:cs="宋体"/>
          <w:smallCaps w:val="0"/>
          <w:sz w:val="24"/>
          <w:szCs w:val="24"/>
          <w:highlight w:val="none"/>
        </w:rPr>
        <w:t>《中华人民共和国水土保持法》，</w:t>
      </w:r>
      <w:r>
        <w:rPr>
          <w:rFonts w:hint="eastAsia" w:ascii="宋体" w:hAnsi="宋体" w:eastAsia="宋体" w:cs="宋体"/>
          <w:smallCaps w:val="0"/>
          <w:sz w:val="24"/>
          <w:szCs w:val="24"/>
          <w:highlight w:val="none"/>
          <w:lang w:val="en-US" w:eastAsia="zh-CN"/>
        </w:rPr>
        <w:t>1991</w:t>
      </w:r>
      <w:r>
        <w:rPr>
          <w:rFonts w:hint="eastAsia" w:ascii="宋体" w:hAnsi="宋体" w:eastAsia="宋体" w:cs="宋体"/>
          <w:smallCaps w:val="0"/>
          <w:sz w:val="24"/>
          <w:szCs w:val="24"/>
          <w:highlight w:val="none"/>
        </w:rPr>
        <w:t>年</w:t>
      </w:r>
      <w:r>
        <w:rPr>
          <w:rFonts w:hint="eastAsia" w:ascii="宋体" w:hAnsi="宋体" w:eastAsia="宋体" w:cs="宋体"/>
          <w:smallCaps w:val="0"/>
          <w:sz w:val="24"/>
          <w:szCs w:val="24"/>
          <w:highlight w:val="none"/>
          <w:lang w:val="en-US" w:eastAsia="zh-CN"/>
        </w:rPr>
        <w:t>6</w:t>
      </w:r>
      <w:r>
        <w:rPr>
          <w:rFonts w:hint="eastAsia" w:ascii="宋体" w:hAnsi="宋体" w:eastAsia="宋体" w:cs="宋体"/>
          <w:smallCaps w:val="0"/>
          <w:sz w:val="24"/>
          <w:szCs w:val="24"/>
          <w:highlight w:val="none"/>
        </w:rPr>
        <w:t>月</w:t>
      </w:r>
      <w:r>
        <w:rPr>
          <w:rFonts w:hint="eastAsia" w:ascii="宋体" w:hAnsi="宋体" w:eastAsia="宋体" w:cs="宋体"/>
          <w:smallCaps w:val="0"/>
          <w:sz w:val="24"/>
          <w:szCs w:val="24"/>
          <w:highlight w:val="none"/>
          <w:lang w:val="en-US" w:eastAsia="zh-CN"/>
        </w:rPr>
        <w:t>29</w:t>
      </w:r>
      <w:r>
        <w:rPr>
          <w:rFonts w:hint="eastAsia" w:ascii="宋体" w:hAnsi="宋体" w:eastAsia="宋体" w:cs="宋体"/>
          <w:smallCaps w:val="0"/>
          <w:sz w:val="24"/>
          <w:szCs w:val="24"/>
          <w:highlight w:val="none"/>
        </w:rPr>
        <w:t>日发布并施行</w:t>
      </w:r>
      <w:r>
        <w:rPr>
          <w:rFonts w:hint="eastAsia" w:ascii="宋体" w:hAnsi="宋体" w:eastAsia="宋体" w:cs="宋体"/>
          <w:smallCaps w:val="0"/>
          <w:sz w:val="24"/>
          <w:szCs w:val="24"/>
          <w:highlight w:val="none"/>
          <w:lang w:eastAsia="zh-CN"/>
        </w:rPr>
        <w:t>，</w:t>
      </w:r>
      <w:r>
        <w:rPr>
          <w:rFonts w:hint="eastAsia" w:ascii="宋体" w:hAnsi="宋体" w:eastAsia="宋体" w:cs="宋体"/>
          <w:smallCaps w:val="0"/>
          <w:sz w:val="24"/>
          <w:szCs w:val="24"/>
          <w:highlight w:val="none"/>
        </w:rPr>
        <w:t>2010年12月25日修订；</w:t>
      </w:r>
    </w:p>
    <w:p w14:paraId="216C3F37">
      <w:pPr>
        <w:keepNext w:val="0"/>
        <w:keepLines w:val="0"/>
        <w:widowControl/>
        <w:suppressLineNumbers w:val="0"/>
        <w:spacing w:line="360" w:lineRule="auto"/>
        <w:jc w:val="left"/>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mallCaps w:val="0"/>
          <w:sz w:val="24"/>
          <w:szCs w:val="24"/>
          <w:highlight w:val="none"/>
          <w:lang w:val="en-US" w:eastAsia="zh-CN"/>
        </w:rPr>
        <w:t>5、</w:t>
      </w:r>
      <w:r>
        <w:rPr>
          <w:rFonts w:hint="eastAsia" w:ascii="宋体" w:hAnsi="宋体" w:eastAsia="宋体" w:cs="宋体"/>
          <w:smallCaps w:val="0"/>
          <w:sz w:val="24"/>
          <w:szCs w:val="24"/>
          <w:highlight w:val="none"/>
        </w:rPr>
        <w:t>《建设项目环境保护管理条例》，2017年10月1日；</w:t>
      </w:r>
    </w:p>
    <w:p w14:paraId="35080F08">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6、《建设项目环境影响评价技术导则总纲》（HJ 2.1-2016）；</w:t>
      </w:r>
    </w:p>
    <w:p w14:paraId="11F97013">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7、《环境影响评价技术导则--生态影响》（HJ19-2022）；</w:t>
      </w:r>
    </w:p>
    <w:p w14:paraId="24E23F6F">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8、《中华人民共和国野生动物保护法》（2017年1月1日修正）；</w:t>
      </w:r>
    </w:p>
    <w:p w14:paraId="09368550">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9、《中华人民共和国森林法》（2009年8月27日修正）；</w:t>
      </w:r>
    </w:p>
    <w:p w14:paraId="76F3F1E0">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10、《黑龙江省主体功能区规划》；</w:t>
      </w:r>
    </w:p>
    <w:p w14:paraId="33F8EEA7">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11、《黑龙江省生态功能区划》；</w:t>
      </w:r>
    </w:p>
    <w:p w14:paraId="69215714">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12、《公路工程技术标准》（JTGB01-2014）；</w:t>
      </w:r>
    </w:p>
    <w:p w14:paraId="006CC9F9">
      <w:pPr>
        <w:keepNext w:val="0"/>
        <w:keepLines w:val="0"/>
        <w:widowControl/>
        <w:suppressLineNumbers w:val="0"/>
        <w:spacing w:line="360" w:lineRule="auto"/>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en-US" w:eastAsia="zh-CN" w:bidi="ar"/>
        </w:rPr>
        <w:t>13、《公路环境保护设计规范》（JTGB04-2010）；</w:t>
      </w:r>
    </w:p>
    <w:p w14:paraId="03FCD7DA">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 xml:space="preserve">1.3 评价工作等级和评价范围 </w:t>
      </w:r>
    </w:p>
    <w:p w14:paraId="0421C84E">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1.3.1 评价工作等级划分方法</w:t>
      </w:r>
    </w:p>
    <w:p w14:paraId="6F330814">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cs="宋体"/>
          <w:sz w:val="24"/>
          <w:szCs w:val="28"/>
          <w:highlight w:val="lightGray"/>
          <w:lang w:val="en-US" w:eastAsia="zh-CN"/>
        </w:rPr>
      </w:pPr>
      <w:r>
        <w:rPr>
          <w:rFonts w:hint="eastAsia" w:ascii="宋体" w:hAnsi="宋体" w:eastAsia="宋体" w:cs="宋体"/>
          <w:sz w:val="24"/>
          <w:szCs w:val="28"/>
          <w:highlight w:val="lightGray"/>
          <w:lang w:val="en-US" w:eastAsia="zh-CN"/>
        </w:rPr>
        <w:t>根据《环境影响评价技术导则—公路建设项目》（HJ1358—2024）</w:t>
      </w:r>
      <w:r>
        <w:rPr>
          <w:rFonts w:hint="eastAsia" w:ascii="宋体" w:hAnsi="宋体" w:cs="宋体"/>
          <w:sz w:val="24"/>
          <w:szCs w:val="28"/>
          <w:highlight w:val="lightGray"/>
          <w:lang w:val="en-US" w:eastAsia="zh-CN"/>
        </w:rPr>
        <w:t>7.1.1生态影响评价宜根据沿线敏感程度分段确定评价等级，评价等级按HJ 19判定：</w:t>
      </w:r>
    </w:p>
    <w:p w14:paraId="734599DB">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a）涉及国家公园、自然保护区、世界自然遗产、重要生境的路段，评价等级为一级；</w:t>
      </w:r>
    </w:p>
    <w:p w14:paraId="20B12DA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b）涉及自然公园的路段，评价等级为二级；</w:t>
      </w:r>
    </w:p>
    <w:p w14:paraId="5500271B">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c）涉及生态保护红线或占地规模大于20 km</w:t>
      </w:r>
      <w:r>
        <w:rPr>
          <w:rFonts w:hint="eastAsia" w:ascii="宋体" w:hAnsi="宋体" w:eastAsia="宋体" w:cs="宋体"/>
          <w:sz w:val="24"/>
          <w:szCs w:val="28"/>
          <w:highlight w:val="lightGray"/>
          <w:vertAlign w:val="superscript"/>
          <w:lang w:val="en-US" w:eastAsia="zh-CN"/>
        </w:rPr>
        <w:t>2</w:t>
      </w:r>
      <w:r>
        <w:rPr>
          <w:rFonts w:hint="eastAsia" w:ascii="宋体" w:hAnsi="宋体" w:eastAsia="宋体" w:cs="宋体"/>
          <w:sz w:val="24"/>
          <w:szCs w:val="28"/>
          <w:highlight w:val="lightGray"/>
          <w:lang w:val="en-US" w:eastAsia="zh-CN"/>
        </w:rPr>
        <w:t>的路段（包括永久和临时占用陆域和水域）或根据HJ 610、HJ 964判断地下水水位或土壤影响范围内分布有天然林、公益林、湿地等生态保护目标的路段，评价等级不低于二级；改扩建公路建设项目的占地范围以新增占地（包括陆域和水域）确定；</w:t>
      </w:r>
    </w:p>
    <w:p w14:paraId="4FB1CDC1">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d）除本条a）、b）、c）以外的路段，评价等级为三级；</w:t>
      </w:r>
    </w:p>
    <w:p w14:paraId="50A596B6">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e）当同一路段评价等级判定同时符合上述多种情况时，采用其中最高的评价等级；</w:t>
      </w:r>
    </w:p>
    <w:p w14:paraId="28D8817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lightGray"/>
          <w:lang w:val="en-US" w:eastAsia="zh-CN"/>
        </w:rPr>
      </w:pPr>
      <w:r>
        <w:rPr>
          <w:rFonts w:hint="eastAsia" w:ascii="宋体" w:hAnsi="宋体" w:eastAsia="宋体" w:cs="宋体"/>
          <w:sz w:val="24"/>
          <w:szCs w:val="28"/>
          <w:highlight w:val="lightGray"/>
          <w:lang w:val="en-US" w:eastAsia="zh-CN"/>
        </w:rPr>
        <w:t>f）地下穿越或地表跨越生态敏感区，在生态敏感区范围内无永久占地、临时用地的，评价等级可下调一级。</w:t>
      </w:r>
    </w:p>
    <w:p w14:paraId="08F5D66B">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sz w:val="24"/>
          <w:szCs w:val="28"/>
          <w:highlight w:val="yellow"/>
          <w:lang w:val="en-US" w:eastAsia="zh-CN"/>
        </w:rPr>
        <w:t>本项目为公路提升改造项目，根据《建设项目环境影响评价分类管理名录》（2021版）本项目为</w:t>
      </w:r>
      <w:r>
        <w:rPr>
          <w:rFonts w:hint="eastAsia" w:ascii="宋体" w:hAnsi="宋体" w:eastAsia="宋体" w:cs="宋体"/>
          <w:smallCaps w:val="0"/>
          <w:color w:val="auto"/>
          <w:sz w:val="24"/>
          <w:szCs w:val="24"/>
          <w:highlight w:val="yellow"/>
          <w:lang w:val="en-US"/>
        </w:rPr>
        <w:t>五十二、交通运输业、管道运输业</w:t>
      </w:r>
      <w:r>
        <w:rPr>
          <w:rFonts w:hint="eastAsia" w:ascii="宋体" w:hAnsi="宋体" w:eastAsia="宋体" w:cs="宋体"/>
          <w:smallCaps w:val="0"/>
          <w:color w:val="auto"/>
          <w:sz w:val="24"/>
          <w:szCs w:val="24"/>
          <w:highlight w:val="yellow"/>
          <w:lang w:val="en-US" w:eastAsia="zh-CN"/>
        </w:rPr>
        <w:t>-130</w:t>
      </w:r>
      <w:r>
        <w:rPr>
          <w:rFonts w:hint="eastAsia" w:ascii="宋体" w:hAnsi="宋体" w:eastAsia="宋体" w:cs="宋体"/>
          <w:smallCaps w:val="0"/>
          <w:color w:val="auto"/>
          <w:sz w:val="24"/>
          <w:szCs w:val="24"/>
          <w:highlight w:val="yellow"/>
          <w:lang w:val="en-US"/>
        </w:rPr>
        <w:t>等级公路</w:t>
      </w:r>
      <w:r>
        <w:rPr>
          <w:rFonts w:hint="eastAsia" w:ascii="宋体" w:hAnsi="宋体" w:eastAsia="宋体" w:cs="宋体"/>
          <w:smallCaps w:val="0"/>
          <w:color w:val="auto"/>
          <w:sz w:val="24"/>
          <w:szCs w:val="24"/>
          <w:highlight w:val="yellow"/>
          <w:lang w:val="en-US" w:eastAsia="zh-CN"/>
        </w:rPr>
        <w:t>（</w:t>
      </w:r>
      <w:r>
        <w:rPr>
          <w:rFonts w:hint="eastAsia" w:ascii="宋体" w:hAnsi="宋体" w:eastAsia="宋体" w:cs="宋体"/>
          <w:smallCaps w:val="0"/>
          <w:color w:val="auto"/>
          <w:sz w:val="24"/>
          <w:szCs w:val="24"/>
          <w:highlight w:val="yellow"/>
          <w:lang w:val="en-US"/>
        </w:rPr>
        <w:t>不含维护</w:t>
      </w:r>
      <w:r>
        <w:rPr>
          <w:rFonts w:hint="eastAsia" w:ascii="宋体" w:hAnsi="宋体" w:eastAsia="宋体" w:cs="宋体"/>
          <w:smallCaps w:val="0"/>
          <w:color w:val="auto"/>
          <w:sz w:val="24"/>
          <w:szCs w:val="24"/>
          <w:highlight w:val="yellow"/>
          <w:lang w:val="en-US" w:eastAsia="zh-CN"/>
        </w:rPr>
        <w:t>：</w:t>
      </w:r>
      <w:r>
        <w:rPr>
          <w:rFonts w:hint="eastAsia" w:ascii="宋体" w:hAnsi="宋体" w:eastAsia="宋体" w:cs="宋体"/>
          <w:smallCaps w:val="0"/>
          <w:color w:val="auto"/>
          <w:sz w:val="24"/>
          <w:szCs w:val="24"/>
          <w:highlight w:val="yellow"/>
          <w:lang w:val="en-US"/>
        </w:rPr>
        <w:t>不含生命救援、应急保通工程以及国防交通保障项目</w:t>
      </w:r>
      <w:r>
        <w:rPr>
          <w:rFonts w:hint="eastAsia" w:ascii="宋体" w:hAnsi="宋体" w:eastAsia="宋体" w:cs="宋体"/>
          <w:smallCaps w:val="0"/>
          <w:color w:val="auto"/>
          <w:sz w:val="24"/>
          <w:szCs w:val="24"/>
          <w:highlight w:val="yellow"/>
          <w:lang w:val="en-US" w:eastAsia="zh-CN"/>
        </w:rPr>
        <w:t>；</w:t>
      </w:r>
      <w:r>
        <w:rPr>
          <w:rFonts w:hint="eastAsia" w:ascii="宋体" w:hAnsi="宋体" w:eastAsia="宋体" w:cs="宋体"/>
          <w:smallCaps w:val="0"/>
          <w:color w:val="auto"/>
          <w:sz w:val="24"/>
          <w:szCs w:val="24"/>
          <w:highlight w:val="yellow"/>
          <w:lang w:val="en-US"/>
        </w:rPr>
        <w:t>不含改扩建四级公路)</w:t>
      </w:r>
      <w:r>
        <w:rPr>
          <w:rFonts w:hint="eastAsia" w:ascii="宋体" w:hAnsi="宋体" w:eastAsia="宋体" w:cs="宋体"/>
          <w:smallCaps w:val="0"/>
          <w:color w:val="auto"/>
          <w:sz w:val="24"/>
          <w:szCs w:val="24"/>
          <w:highlight w:val="yellow"/>
          <w:lang w:val="en-US" w:eastAsia="zh-CN"/>
        </w:rPr>
        <w:t>-其他。根据《</w:t>
      </w:r>
      <w:r>
        <w:rPr>
          <w:rFonts w:hint="eastAsia" w:ascii="宋体" w:hAnsi="宋体" w:eastAsia="宋体" w:cs="宋体"/>
          <w:sz w:val="24"/>
          <w:szCs w:val="24"/>
          <w:highlight w:val="yellow"/>
        </w:rPr>
        <w:t>环境影响评价技术导则 地下水环境</w:t>
      </w:r>
      <w:r>
        <w:rPr>
          <w:rFonts w:hint="eastAsia" w:ascii="宋体" w:hAnsi="宋体" w:eastAsia="宋体" w:cs="宋体"/>
          <w:smallCaps w:val="0"/>
          <w:color w:val="auto"/>
          <w:sz w:val="24"/>
          <w:szCs w:val="24"/>
          <w:highlight w:val="yellow"/>
          <w:lang w:val="en-US" w:eastAsia="zh-CN"/>
        </w:rPr>
        <w:t>》（</w:t>
      </w:r>
      <w:r>
        <w:rPr>
          <w:rFonts w:hint="eastAsia" w:ascii="宋体" w:hAnsi="宋体" w:eastAsia="宋体" w:cs="宋体"/>
          <w:sz w:val="24"/>
          <w:szCs w:val="24"/>
          <w:highlight w:val="yellow"/>
        </w:rPr>
        <w:t>HJ 610—2016</w:t>
      </w:r>
      <w:r>
        <w:rPr>
          <w:rFonts w:hint="eastAsia" w:ascii="宋体" w:hAnsi="宋体" w:eastAsia="宋体" w:cs="宋体"/>
          <w:smallCaps w:val="0"/>
          <w:color w:val="auto"/>
          <w:sz w:val="24"/>
          <w:szCs w:val="24"/>
          <w:highlight w:val="yellow"/>
          <w:lang w:val="en-US" w:eastAsia="zh-CN"/>
        </w:rPr>
        <w:t>），本项目为</w:t>
      </w:r>
      <w:r>
        <w:rPr>
          <w:rFonts w:hint="eastAsia" w:ascii="宋体" w:hAnsi="宋体" w:eastAsia="宋体" w:cs="宋体"/>
          <w:sz w:val="24"/>
          <w:szCs w:val="24"/>
          <w:highlight w:val="yellow"/>
        </w:rPr>
        <w:t>Ⅳ类</w:t>
      </w:r>
      <w:r>
        <w:rPr>
          <w:rFonts w:hint="eastAsia" w:ascii="宋体" w:hAnsi="宋体" w:eastAsia="宋体" w:cs="宋体"/>
          <w:sz w:val="24"/>
          <w:szCs w:val="24"/>
          <w:highlight w:val="yellow"/>
          <w:lang w:val="en-US" w:eastAsia="zh-CN"/>
        </w:rPr>
        <w:t>项目，项目的建设不会影响地下水水位，不进行地下水评价，不设置评价范围；根据《环境影响评价技术导则 土壤环境（试行)》（HJ 964-2018），本项目属</w:t>
      </w:r>
      <w:r>
        <w:rPr>
          <w:rFonts w:hint="eastAsia" w:ascii="宋体" w:hAnsi="宋体" w:eastAsia="宋体" w:cs="宋体"/>
          <w:sz w:val="24"/>
          <w:szCs w:val="24"/>
          <w:highlight w:val="yellow"/>
        </w:rPr>
        <w:t>Ⅳ类</w:t>
      </w:r>
      <w:r>
        <w:rPr>
          <w:rFonts w:hint="eastAsia" w:ascii="宋体" w:hAnsi="宋体" w:eastAsia="宋体" w:cs="宋体"/>
          <w:sz w:val="24"/>
          <w:szCs w:val="24"/>
          <w:highlight w:val="yellow"/>
          <w:lang w:val="en-US" w:eastAsia="zh-CN"/>
        </w:rPr>
        <w:t>项目，不开展土壤评价工作，不设置评价范围。其次，本项目北侧的岭西林场属于人工林，不属于天然林、公益林。</w:t>
      </w:r>
    </w:p>
    <w:p w14:paraId="5A9CF24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8"/>
          <w:highlight w:val="none"/>
          <w:lang w:val="en-US" w:eastAsia="zh-CN"/>
        </w:rPr>
      </w:pPr>
      <w:r>
        <w:rPr>
          <w:rFonts w:hint="eastAsia" w:ascii="宋体" w:hAnsi="宋体" w:eastAsia="宋体" w:cs="宋体"/>
          <w:sz w:val="24"/>
          <w:szCs w:val="28"/>
          <w:highlight w:val="none"/>
          <w:lang w:val="en-US" w:eastAsia="zh-CN"/>
        </w:rPr>
        <w:t>根据上述判定依据，本项目属于a、b、c、以外的情况，评价等级为三级。</w:t>
      </w:r>
    </w:p>
    <w:p w14:paraId="0A25E69C">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1.3.2评价范围</w:t>
      </w:r>
    </w:p>
    <w:p w14:paraId="4C73E001">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宋体" w:hAnsi="宋体" w:eastAsia="宋体" w:cs="宋体"/>
          <w:b w:val="0"/>
          <w:bCs w:val="0"/>
          <w:sz w:val="24"/>
          <w:szCs w:val="24"/>
          <w:highlight w:val="lightGray"/>
          <w:lang w:val="en-US" w:eastAsia="zh-CN"/>
        </w:rPr>
      </w:pPr>
      <w:r>
        <w:rPr>
          <w:rFonts w:hint="eastAsia" w:ascii="宋体" w:hAnsi="宋体" w:eastAsia="宋体" w:cs="宋体"/>
          <w:sz w:val="24"/>
          <w:szCs w:val="28"/>
          <w:highlight w:val="lightGray"/>
          <w:lang w:val="en-US" w:eastAsia="zh-CN"/>
        </w:rPr>
        <w:t>根据《环境影响评价技术导则—</w:t>
      </w:r>
      <w:r>
        <w:rPr>
          <w:rFonts w:hint="eastAsia" w:ascii="宋体" w:hAnsi="宋体" w:cs="宋体"/>
          <w:b w:val="0"/>
          <w:bCs w:val="0"/>
          <w:sz w:val="24"/>
          <w:szCs w:val="24"/>
          <w:highlight w:val="lightGray"/>
          <w:lang w:val="en-US" w:eastAsia="zh-CN"/>
        </w:rPr>
        <w:t>公路建设项目》（HJ 1358—2024）</w:t>
      </w:r>
      <w:r>
        <w:rPr>
          <w:rFonts w:hint="eastAsia" w:ascii="宋体" w:hAnsi="宋体" w:eastAsia="宋体" w:cs="宋体"/>
          <w:sz w:val="24"/>
          <w:szCs w:val="28"/>
          <w:highlight w:val="lightGray"/>
          <w:lang w:val="en-US" w:eastAsia="zh-CN"/>
        </w:rPr>
        <w:t>7.2.1.2不涉及生态敏感区的一般路段，以路中心线向两侧各外延300 m为参考评价范围。7.2.1.3</w:t>
      </w:r>
      <w:r>
        <w:rPr>
          <w:rFonts w:hint="eastAsia" w:ascii="宋体" w:hAnsi="宋体" w:cs="宋体"/>
          <w:b w:val="0"/>
          <w:bCs w:val="0"/>
          <w:sz w:val="24"/>
          <w:szCs w:val="24"/>
          <w:highlight w:val="lightGray"/>
          <w:lang w:val="en-US" w:eastAsia="zh-CN"/>
        </w:rPr>
        <w:t>临时用地，以用地边界外扩200 m为参考评价范围。临时用地不涉及生态敏感区。</w:t>
      </w:r>
    </w:p>
    <w:p w14:paraId="3675B9FC">
      <w:pPr>
        <w:pStyle w:val="73"/>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Chars="0" w:firstLine="0" w:firstLineChars="0"/>
        <w:jc w:val="center"/>
        <w:textAlignment w:val="auto"/>
        <w:rPr>
          <w:rFonts w:hint="eastAsia" w:ascii="宋体" w:hAnsi="宋体" w:eastAsia="宋体" w:cs="宋体"/>
          <w:b w:val="0"/>
          <w:bCs w:val="0"/>
          <w:sz w:val="21"/>
          <w:szCs w:val="21"/>
          <w:highlight w:val="none"/>
          <w:lang w:val="en-US" w:eastAsia="zh-CN"/>
        </w:rPr>
      </w:pPr>
      <w:r>
        <w:rPr>
          <w:rFonts w:hint="eastAsia" w:ascii="宋体" w:hAnsi="宋体" w:eastAsia="宋体" w:cs="宋体"/>
          <w:sz w:val="21"/>
          <w:szCs w:val="21"/>
          <w:highlight w:val="none"/>
          <w:lang w:val="en-US" w:eastAsia="zh-CN"/>
        </w:rPr>
        <w:drawing>
          <wp:anchor distT="0" distB="0" distL="114300" distR="114300" simplePos="0" relativeHeight="251680768" behindDoc="0" locked="0" layoutInCell="1" allowOverlap="1">
            <wp:simplePos x="0" y="0"/>
            <wp:positionH relativeFrom="column">
              <wp:posOffset>4417060</wp:posOffset>
            </wp:positionH>
            <wp:positionV relativeFrom="paragraph">
              <wp:posOffset>3810</wp:posOffset>
            </wp:positionV>
            <wp:extent cx="857250" cy="809625"/>
            <wp:effectExtent l="0" t="0" r="0" b="9525"/>
            <wp:wrapNone/>
            <wp:docPr id="24" name="图片 20" descr="双鸭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descr="双鸭山风玫瑰"/>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color w:val="auto"/>
          <w:sz w:val="21"/>
          <w:szCs w:val="21"/>
          <w:highlight w:val="none"/>
        </w:rPr>
        <w:pict>
          <v:shape id="_x0000_s2267" o:spid="_x0000_s2267" o:spt="75" type="#_x0000_t75" style="position:absolute;left:0pt;margin-left:307.65pt;margin-top:229.95pt;height:47.25pt;width:110.25pt;z-index:251681792;mso-width-relative:page;mso-height-relative:page;" o:ole="t" filled="f" o:preferrelative="t" stroked="f" coordsize="21600,21600">
            <v:path/>
            <v:fill on="f" focussize="0,0"/>
            <v:stroke on="f"/>
            <v:imagedata r:id="rId90" o:title=""/>
            <o:lock v:ext="edit" aspectratio="f"/>
          </v:shape>
          <o:OLEObject Type="Embed" ProgID="Visio.Drawing.15" ShapeID="_x0000_s2267" DrawAspect="Content" ObjectID="_1468075732" r:id="rId89">
            <o:LockedField>false</o:LockedField>
          </o:OLEObject>
        </w:pict>
      </w:r>
      <w:r>
        <w:rPr>
          <w:sz w:val="21"/>
          <w:szCs w:val="21"/>
        </w:rPr>
        <mc:AlternateContent>
          <mc:Choice Requires="wpg">
            <w:drawing>
              <wp:anchor distT="0" distB="0" distL="114300" distR="114300" simplePos="0" relativeHeight="251714560" behindDoc="0" locked="0" layoutInCell="1" allowOverlap="1">
                <wp:simplePos x="0" y="0"/>
                <wp:positionH relativeFrom="column">
                  <wp:posOffset>55880</wp:posOffset>
                </wp:positionH>
                <wp:positionV relativeFrom="paragraph">
                  <wp:posOffset>2680970</wp:posOffset>
                </wp:positionV>
                <wp:extent cx="273685" cy="522605"/>
                <wp:effectExtent l="4445" t="5080" r="7620" b="5715"/>
                <wp:wrapNone/>
                <wp:docPr id="147" name="组合 147"/>
                <wp:cNvGraphicFramePr/>
                <a:graphic xmlns:a="http://schemas.openxmlformats.org/drawingml/2006/main">
                  <a:graphicData uri="http://schemas.microsoft.com/office/word/2010/wordprocessingGroup">
                    <wpg:wgp>
                      <wpg:cNvGrpSpPr/>
                      <wpg:grpSpPr>
                        <a:xfrm>
                          <a:off x="0" y="0"/>
                          <a:ext cx="273685" cy="522605"/>
                          <a:chOff x="6462" y="1463350"/>
                          <a:chExt cx="431" cy="823"/>
                        </a:xfrm>
                      </wpg:grpSpPr>
                      <wps:wsp>
                        <wps:cNvPr id="22" name="矩形 216"/>
                        <wps:cNvSpPr/>
                        <wps:spPr>
                          <a:xfrm>
                            <a:off x="6473" y="1463350"/>
                            <a:ext cx="420" cy="195"/>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wps:wsp>
                        <wps:cNvPr id="23" name="矩形 217"/>
                        <wps:cNvSpPr/>
                        <wps:spPr>
                          <a:xfrm>
                            <a:off x="6465" y="1463645"/>
                            <a:ext cx="420" cy="195"/>
                          </a:xfrm>
                          <a:prstGeom prst="rect">
                            <a:avLst/>
                          </a:prstGeom>
                          <a:solidFill>
                            <a:srgbClr val="13D4D2"/>
                          </a:solidFill>
                          <a:ln w="9525" cap="flat" cmpd="sng">
                            <a:solidFill>
                              <a:srgbClr val="000000"/>
                            </a:solidFill>
                            <a:prstDash val="solid"/>
                            <a:miter/>
                            <a:headEnd type="none" w="med" len="med"/>
                            <a:tailEnd type="none" w="med" len="med"/>
                          </a:ln>
                        </wps:spPr>
                        <wps:bodyPr vert="horz" wrap="square" anchor="t" anchorCtr="0" upright="1"/>
                      </wps:wsp>
                      <wps:wsp>
                        <wps:cNvPr id="146" name="矩形 217"/>
                        <wps:cNvSpPr/>
                        <wps:spPr>
                          <a:xfrm>
                            <a:off x="6462" y="1463979"/>
                            <a:ext cx="420" cy="195"/>
                          </a:xfrm>
                          <a:prstGeom prst="rect">
                            <a:avLst/>
                          </a:prstGeom>
                          <a:solidFill>
                            <a:srgbClr val="02F704"/>
                          </a:solidFill>
                          <a:ln w="9525" cap="flat" cmpd="sng">
                            <a:solidFill>
                              <a:srgbClr val="000000"/>
                            </a:solidFill>
                            <a:prstDash val="solid"/>
                            <a:miter/>
                            <a:headEnd type="none" w="med" len="med"/>
                            <a:tailEnd type="none" w="med" len="med"/>
                          </a:ln>
                        </wps:spPr>
                        <wps:bodyPr vert="horz" wrap="square" anchor="t" anchorCtr="0" upright="1"/>
                      </wps:wsp>
                    </wpg:wgp>
                  </a:graphicData>
                </a:graphic>
              </wp:anchor>
            </w:drawing>
          </mc:Choice>
          <mc:Fallback>
            <w:pict>
              <v:group id="_x0000_s1026" o:spid="_x0000_s1026" o:spt="203" style="position:absolute;left:0pt;margin-left:4.4pt;margin-top:211.1pt;height:41.15pt;width:21.55pt;z-index:251714560;mso-width-relative:page;mso-height-relative:page;" coordorigin="6462,1463350" coordsize="431,823" o:gfxdata="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C3jWkrZAAAACAEAAA8AAAAAAAAAAQAgAAAAIgAAAGRycy9kb3du&#10;cmV2LnhtbFBLAQIUABQAAAAIAIdO4kBGapps4gIAAHsKAAAOAAAAAAAAAAEAIAAAACgBAABkcnMv&#10;ZTJvRG9jLnhtbFBLBQYAAAAABgAGAFkBAAB8BgAAAAA=&#10;">
                <o:lock v:ext="edit" aspectratio="f"/>
                <v:rect id="矩形 216" o:spid="_x0000_s1026" o:spt="1" style="position:absolute;left:6473;top:1463350;height:195;width:420;" fillcolor="#FFC000" filled="t" stroked="t" coordsize="21600,21600" o:gfxdata="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6zLc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rect>
                <v:rect id="矩形 217" o:spid="_x0000_s1026" o:spt="1" style="position:absolute;left:6465;top:1463645;height:195;width:420;" fillcolor="#13D4D2" filled="t" stroked="t" coordsize="21600,21600" o:gfxdata="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N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rect>
                <v:rect id="矩形 217" o:spid="_x0000_s1026" o:spt="1" style="position:absolute;left:6462;top:1463979;height:195;width:420;" fillcolor="#02F704" filled="t" stroked="t" coordsize="21600,21600" o:gfxdata="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ZK+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rect>
              </v:group>
            </w:pict>
          </mc:Fallback>
        </mc:AlternateContent>
      </w:r>
      <w:r>
        <w:rPr>
          <w:rFonts w:hint="eastAsia" w:ascii="宋体" w:hAnsi="宋体" w:eastAsia="宋体" w:cs="宋体"/>
          <w:sz w:val="21"/>
          <w:szCs w:val="21"/>
          <w:highlight w:val="none"/>
        </w:rPr>
        <mc:AlternateContent>
          <mc:Choice Requires="wps">
            <w:drawing>
              <wp:anchor distT="0" distB="0" distL="114300" distR="114300" simplePos="0" relativeHeight="251679744" behindDoc="0" locked="0" layoutInCell="1" allowOverlap="1">
                <wp:simplePos x="0" y="0"/>
                <wp:positionH relativeFrom="column">
                  <wp:posOffset>-7620</wp:posOffset>
                </wp:positionH>
                <wp:positionV relativeFrom="paragraph">
                  <wp:posOffset>2602865</wp:posOffset>
                </wp:positionV>
                <wp:extent cx="1784985" cy="762000"/>
                <wp:effectExtent l="4445" t="4445" r="20320" b="14605"/>
                <wp:wrapNone/>
                <wp:docPr id="21" name="文本框 215"/>
                <wp:cNvGraphicFramePr/>
                <a:graphic xmlns:a="http://schemas.openxmlformats.org/drawingml/2006/main">
                  <a:graphicData uri="http://schemas.microsoft.com/office/word/2010/wordprocessingShape">
                    <wps:wsp>
                      <wps:cNvSpPr txBox="1"/>
                      <wps:spPr>
                        <a:xfrm>
                          <a:off x="0" y="0"/>
                          <a:ext cx="1784985" cy="7620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AF09E4">
                            <w:pPr>
                              <w:spacing w:line="240" w:lineRule="auto"/>
                              <w:ind w:left="0" w:leftChars="0" w:firstLine="0" w:firstLineChars="0"/>
                              <w:jc w:val="center"/>
                              <w:rPr>
                                <w:rFonts w:hint="eastAsia"/>
                                <w:lang w:val="en-US" w:eastAsia="zh-CN"/>
                              </w:rPr>
                            </w:pPr>
                            <w:r>
                              <w:rPr>
                                <w:rFonts w:hint="eastAsia"/>
                                <w:lang w:val="en-US" w:eastAsia="zh-CN"/>
                              </w:rPr>
                              <w:t>本项目</w:t>
                            </w:r>
                          </w:p>
                          <w:p w14:paraId="15936F6A">
                            <w:pPr>
                              <w:spacing w:line="240" w:lineRule="auto"/>
                              <w:ind w:left="0" w:leftChars="0" w:firstLine="0" w:firstLineChars="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评价范围</w:t>
                            </w:r>
                          </w:p>
                          <w:p w14:paraId="7DAD0962">
                            <w:pPr>
                              <w:pStyle w:val="2"/>
                              <w:keepNext w:val="0"/>
                              <w:keepLines w:val="0"/>
                              <w:pageBreakBefore w:val="0"/>
                              <w:widowControl w:val="0"/>
                              <w:kinsoku/>
                              <w:wordWrap/>
                              <w:overflowPunct/>
                              <w:topLinePunct w:val="0"/>
                              <w:bidi w:val="0"/>
                              <w:adjustRightInd w:val="0"/>
                              <w:snapToGrid/>
                              <w:spacing w:line="240" w:lineRule="auto"/>
                              <w:ind w:firstLine="480" w:firstLineChars="200"/>
                              <w:textAlignment w:val="baseline"/>
                              <w:rPr>
                                <w:rFonts w:hint="default"/>
                                <w:lang w:val="en-US" w:eastAsia="zh-CN"/>
                              </w:rPr>
                            </w:pPr>
                            <w:r>
                              <w:rPr>
                                <w:rFonts w:hint="eastAsia"/>
                                <w:lang w:val="en-US" w:eastAsia="zh-CN"/>
                              </w:rPr>
                              <w:t>临时用地评价范围</w:t>
                            </w:r>
                          </w:p>
                        </w:txbxContent>
                      </wps:txbx>
                      <wps:bodyPr vert="horz" wrap="square" anchor="t" anchorCtr="0" upright="1"/>
                    </wps:wsp>
                  </a:graphicData>
                </a:graphic>
              </wp:anchor>
            </w:drawing>
          </mc:Choice>
          <mc:Fallback>
            <w:pict>
              <v:shape id="文本框 215" o:spid="_x0000_s1026" o:spt="202" type="#_x0000_t202" style="position:absolute;left:0pt;margin-left:-0.6pt;margin-top:204.95pt;height:60pt;width:140.55pt;z-index:251679744;mso-width-relative:page;mso-height-relative:page;" fillcolor="#FFFFFF" filled="t" stroked="t" coordsize="21600,21600" o:gfxdata="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UI9nZAAAACgEAAA8AAAAAAAAAAQAgAAAAIgAAAGRycy9kb3ducmV2LnhtbFBL&#10;AQIUABQAAAAIAIdO4kAfnegDLgIAAGwEAAAOAAAAAAAAAAEAIAAAACgBAABkcnMvZTJvRG9jLnht&#10;bFBLBQYAAAAABgAGAFkBAADIBQAAAAA=&#10;">
                <v:fill on="t" focussize="0,0"/>
                <v:stroke color="#000000" joinstyle="miter"/>
                <v:imagedata o:title=""/>
                <o:lock v:ext="edit" aspectratio="f"/>
                <v:textbox>
                  <w:txbxContent>
                    <w:p w14:paraId="3BAF09E4">
                      <w:pPr>
                        <w:spacing w:line="240" w:lineRule="auto"/>
                        <w:ind w:left="0" w:leftChars="0" w:firstLine="0" w:firstLineChars="0"/>
                        <w:jc w:val="center"/>
                        <w:rPr>
                          <w:rFonts w:hint="eastAsia"/>
                          <w:lang w:val="en-US" w:eastAsia="zh-CN"/>
                        </w:rPr>
                      </w:pPr>
                      <w:r>
                        <w:rPr>
                          <w:rFonts w:hint="eastAsia"/>
                          <w:lang w:val="en-US" w:eastAsia="zh-CN"/>
                        </w:rPr>
                        <w:t>本项目</w:t>
                      </w:r>
                    </w:p>
                    <w:p w14:paraId="15936F6A">
                      <w:pPr>
                        <w:spacing w:line="240" w:lineRule="auto"/>
                        <w:ind w:left="0" w:leftChars="0" w:firstLine="0" w:firstLineChars="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评价范围</w:t>
                      </w:r>
                    </w:p>
                    <w:p w14:paraId="7DAD0962">
                      <w:pPr>
                        <w:pStyle w:val="2"/>
                        <w:keepNext w:val="0"/>
                        <w:keepLines w:val="0"/>
                        <w:pageBreakBefore w:val="0"/>
                        <w:widowControl w:val="0"/>
                        <w:kinsoku/>
                        <w:wordWrap/>
                        <w:overflowPunct/>
                        <w:topLinePunct w:val="0"/>
                        <w:bidi w:val="0"/>
                        <w:adjustRightInd w:val="0"/>
                        <w:snapToGrid/>
                        <w:spacing w:line="240" w:lineRule="auto"/>
                        <w:ind w:firstLine="480" w:firstLineChars="200"/>
                        <w:textAlignment w:val="baseline"/>
                        <w:rPr>
                          <w:rFonts w:hint="default"/>
                          <w:lang w:val="en-US" w:eastAsia="zh-CN"/>
                        </w:rPr>
                      </w:pPr>
                      <w:r>
                        <w:rPr>
                          <w:rFonts w:hint="eastAsia"/>
                          <w:lang w:val="en-US" w:eastAsia="zh-CN"/>
                        </w:rPr>
                        <w:t>临时用地评价范围</w:t>
                      </w:r>
                    </w:p>
                  </w:txbxContent>
                </v:textbox>
              </v:shape>
            </w:pict>
          </mc:Fallback>
        </mc:AlternateContent>
      </w:r>
      <w:r>
        <w:rPr>
          <w:sz w:val="21"/>
          <w:szCs w:val="21"/>
        </w:rPr>
        <w:drawing>
          <wp:inline distT="0" distB="0" distL="114300" distR="114300">
            <wp:extent cx="5273040" cy="3377565"/>
            <wp:effectExtent l="0" t="0" r="3810" b="13335"/>
            <wp:docPr id="1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6"/>
                    <pic:cNvPicPr>
                      <a:picLocks noChangeAspect="1"/>
                    </pic:cNvPicPr>
                  </pic:nvPicPr>
                  <pic:blipFill>
                    <a:blip r:embed="rId91"/>
                    <a:stretch>
                      <a:fillRect/>
                    </a:stretch>
                  </pic:blipFill>
                  <pic:spPr>
                    <a:xfrm>
                      <a:off x="0" y="0"/>
                      <a:ext cx="5273040" cy="3377565"/>
                    </a:xfrm>
                    <a:prstGeom prst="rect">
                      <a:avLst/>
                    </a:prstGeom>
                    <a:noFill/>
                    <a:ln>
                      <a:noFill/>
                    </a:ln>
                  </pic:spPr>
                </pic:pic>
              </a:graphicData>
            </a:graphic>
          </wp:inline>
        </w:drawing>
      </w:r>
    </w:p>
    <w:p w14:paraId="0F3E84D7">
      <w:pPr>
        <w:pStyle w:val="73"/>
        <w:numPr>
          <w:ilvl w:val="0"/>
          <w:numId w:val="0"/>
        </w:numPr>
        <w:spacing w:line="240" w:lineRule="auto"/>
        <w:ind w:leftChars="0"/>
        <w:jc w:val="center"/>
        <w:rPr>
          <w:rFonts w:hint="eastAsia" w:ascii="宋体" w:hAnsi="宋体" w:eastAsia="宋体" w:cs="宋体"/>
          <w:b/>
          <w:bCs/>
          <w:sz w:val="21"/>
          <w:szCs w:val="21"/>
          <w:highlight w:val="lightGray"/>
          <w:lang w:val="en-US" w:eastAsia="zh-CN"/>
        </w:rPr>
      </w:pPr>
      <w:r>
        <w:rPr>
          <w:rFonts w:hint="eastAsia" w:ascii="宋体" w:hAnsi="宋体" w:eastAsia="宋体" w:cs="宋体"/>
          <w:b/>
          <w:bCs/>
          <w:sz w:val="21"/>
          <w:szCs w:val="21"/>
          <w:highlight w:val="lightGray"/>
          <w:lang w:val="en-US" w:eastAsia="zh-CN"/>
        </w:rPr>
        <w:t>图1.3-1 本项目生态评价范围</w:t>
      </w:r>
    </w:p>
    <w:p w14:paraId="236E06D2">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1.3.3评价时段</w:t>
      </w:r>
    </w:p>
    <w:p w14:paraId="450CDA4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本生态专题报告的评价时段为施工期和运营期。</w:t>
      </w:r>
    </w:p>
    <w:p w14:paraId="4F919614">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1.3.4 评价目的</w:t>
      </w:r>
    </w:p>
    <w:p w14:paraId="3C7CC50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生态影响评价是识别、分析或预测评价（尽可能量化）某</w:t>
      </w:r>
      <w:r>
        <w:rPr>
          <w:rFonts w:hint="eastAsia" w:ascii="宋体" w:hAnsi="宋体" w:eastAsia="宋体" w:cs="宋体"/>
          <w:color w:val="auto"/>
          <w:sz w:val="24"/>
          <w:szCs w:val="24"/>
          <w:highlight w:val="none"/>
          <w:lang w:eastAsia="zh-CN"/>
        </w:rPr>
        <w:t>项</w:t>
      </w:r>
      <w:r>
        <w:rPr>
          <w:rFonts w:hint="eastAsia" w:ascii="宋体" w:hAnsi="宋体" w:eastAsia="宋体" w:cs="宋体"/>
          <w:color w:val="auto"/>
          <w:sz w:val="24"/>
          <w:szCs w:val="24"/>
          <w:highlight w:val="none"/>
        </w:rPr>
        <w:t>活动对生态系统或其组分可能造成的直接影响或间接影响的过程，并结合实际情况提出减少影响或改善生态的策略和措施。生态环境影响评价的主要目的是通过评价，为保护生态环境</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自然资源和人类的可持续发展服务。生态影响评价工作过程主要包括影响识别、现状调查、现状评价、影响预测、提出预防和恢复措施等。评价的内容依据项目的特性确定，评价的范围通过现状调查得出，通过实际调研，选取适当的评价因子和评价模型，确定定量、定性或两者结合的评价方法，最后根据项目的影响特性和所处区域对生态环境保护的要求提出合理的生态恢复和污染防治措施。</w:t>
      </w:r>
    </w:p>
    <w:p w14:paraId="64B3113E">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1.3.5评价因子</w:t>
      </w:r>
    </w:p>
    <w:p w14:paraId="408850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b/>
          <w:bCs/>
          <w:sz w:val="21"/>
          <w:szCs w:val="21"/>
          <w:highlight w:val="none"/>
          <w:lang w:val="en-US" w:eastAsia="zh-CN"/>
        </w:rPr>
        <w:t>表1.3-1 施工期</w:t>
      </w:r>
      <w:r>
        <w:rPr>
          <w:rFonts w:hint="eastAsia" w:ascii="宋体" w:hAnsi="宋体" w:eastAsia="宋体" w:cs="宋体"/>
          <w:b/>
          <w:bCs/>
          <w:color w:val="000000"/>
          <w:kern w:val="0"/>
          <w:sz w:val="21"/>
          <w:szCs w:val="21"/>
          <w:highlight w:val="none"/>
          <w:lang w:val="en-US" w:eastAsia="zh-CN" w:bidi="ar"/>
        </w:rPr>
        <w:t>生态影响评价因子</w:t>
      </w:r>
    </w:p>
    <w:tbl>
      <w:tblPr>
        <w:tblStyle w:val="3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82"/>
        <w:gridCol w:w="2468"/>
        <w:gridCol w:w="2360"/>
        <w:gridCol w:w="1261"/>
        <w:gridCol w:w="1151"/>
      </w:tblGrid>
      <w:tr w14:paraId="6DAAE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752" w:type="pct"/>
            <w:tcBorders>
              <w:top w:val="single" w:color="000000" w:sz="12" w:space="0"/>
              <w:left w:val="nil"/>
              <w:bottom w:val="single" w:color="000000" w:sz="4" w:space="0"/>
              <w:right w:val="single" w:color="000000" w:sz="4" w:space="0"/>
            </w:tcBorders>
            <w:noWrap/>
            <w:vAlign w:val="center"/>
          </w:tcPr>
          <w:p w14:paraId="4D75A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受影响对象</w:t>
            </w:r>
          </w:p>
        </w:tc>
        <w:tc>
          <w:tcPr>
            <w:tcW w:w="1448" w:type="pct"/>
            <w:tcBorders>
              <w:top w:val="single" w:color="000000" w:sz="12" w:space="0"/>
              <w:left w:val="single" w:color="000000" w:sz="4" w:space="0"/>
              <w:bottom w:val="single" w:color="000000" w:sz="4" w:space="0"/>
              <w:right w:val="single" w:color="000000" w:sz="4" w:space="0"/>
            </w:tcBorders>
            <w:noWrap/>
            <w:vAlign w:val="center"/>
          </w:tcPr>
          <w:p w14:paraId="54894B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评价因子</w:t>
            </w:r>
          </w:p>
        </w:tc>
        <w:tc>
          <w:tcPr>
            <w:tcW w:w="1384" w:type="pct"/>
            <w:tcBorders>
              <w:top w:val="single" w:color="000000" w:sz="12" w:space="0"/>
              <w:left w:val="single" w:color="000000" w:sz="4" w:space="0"/>
              <w:bottom w:val="single" w:color="000000" w:sz="4" w:space="0"/>
              <w:right w:val="single" w:color="000000" w:sz="4" w:space="0"/>
            </w:tcBorders>
            <w:noWrap/>
            <w:vAlign w:val="center"/>
          </w:tcPr>
          <w:p w14:paraId="285240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工程内容及影响方式</w:t>
            </w:r>
          </w:p>
        </w:tc>
        <w:tc>
          <w:tcPr>
            <w:tcW w:w="739" w:type="pct"/>
            <w:tcBorders>
              <w:top w:val="single" w:color="000000" w:sz="12" w:space="0"/>
              <w:left w:val="single" w:color="000000" w:sz="4" w:space="0"/>
              <w:bottom w:val="single" w:color="000000" w:sz="4" w:space="0"/>
              <w:right w:val="single" w:color="000000" w:sz="4" w:space="0"/>
            </w:tcBorders>
            <w:noWrap/>
            <w:vAlign w:val="center"/>
          </w:tcPr>
          <w:p w14:paraId="4069FA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影响性质</w:t>
            </w:r>
          </w:p>
        </w:tc>
        <w:tc>
          <w:tcPr>
            <w:tcW w:w="675" w:type="pct"/>
            <w:tcBorders>
              <w:top w:val="single" w:color="000000" w:sz="12" w:space="0"/>
              <w:left w:val="single" w:color="000000" w:sz="4" w:space="0"/>
              <w:bottom w:val="single" w:color="000000" w:sz="4" w:space="0"/>
              <w:right w:val="nil"/>
            </w:tcBorders>
            <w:noWrap/>
            <w:vAlign w:val="center"/>
          </w:tcPr>
          <w:p w14:paraId="09EE0C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影响程度</w:t>
            </w:r>
          </w:p>
        </w:tc>
      </w:tr>
      <w:tr w14:paraId="5614A1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752" w:type="pct"/>
            <w:tcBorders>
              <w:top w:val="single" w:color="000000" w:sz="4" w:space="0"/>
              <w:left w:val="nil"/>
              <w:bottom w:val="single" w:color="000000" w:sz="4" w:space="0"/>
              <w:right w:val="single" w:color="000000" w:sz="4" w:space="0"/>
            </w:tcBorders>
            <w:noWrap/>
            <w:vAlign w:val="center"/>
          </w:tcPr>
          <w:p w14:paraId="4C8072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物种</w:t>
            </w:r>
          </w:p>
        </w:tc>
        <w:tc>
          <w:tcPr>
            <w:tcW w:w="1448" w:type="pct"/>
            <w:tcBorders>
              <w:top w:val="single" w:color="000000" w:sz="4" w:space="0"/>
              <w:left w:val="single" w:color="000000" w:sz="4" w:space="0"/>
              <w:bottom w:val="single" w:color="000000" w:sz="4" w:space="0"/>
              <w:right w:val="single" w:color="000000" w:sz="4" w:space="0"/>
            </w:tcBorders>
            <w:noWrap/>
            <w:vAlign w:val="center"/>
          </w:tcPr>
          <w:p w14:paraId="5E849F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种群数量、种群结构</w:t>
            </w:r>
          </w:p>
        </w:tc>
        <w:tc>
          <w:tcPr>
            <w:tcW w:w="1384" w:type="pct"/>
            <w:tcBorders>
              <w:top w:val="single" w:color="000000" w:sz="4" w:space="0"/>
              <w:left w:val="single" w:color="000000" w:sz="4" w:space="0"/>
              <w:bottom w:val="single" w:color="000000" w:sz="4" w:space="0"/>
              <w:right w:val="single" w:color="000000" w:sz="4" w:space="0"/>
            </w:tcBorders>
            <w:noWrap/>
            <w:vAlign w:val="center"/>
          </w:tcPr>
          <w:p w14:paraId="363A16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施工期的直接生态影响</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48E913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短期、可逆</w:t>
            </w:r>
          </w:p>
        </w:tc>
        <w:tc>
          <w:tcPr>
            <w:tcW w:w="675" w:type="pct"/>
            <w:tcBorders>
              <w:top w:val="single" w:color="000000" w:sz="4" w:space="0"/>
              <w:left w:val="single" w:color="000000" w:sz="4" w:space="0"/>
              <w:bottom w:val="single" w:color="000000" w:sz="4" w:space="0"/>
              <w:right w:val="nil"/>
            </w:tcBorders>
            <w:noWrap/>
            <w:vAlign w:val="center"/>
          </w:tcPr>
          <w:p w14:paraId="24AF1A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6063B3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752" w:type="pct"/>
            <w:tcBorders>
              <w:top w:val="single" w:color="000000" w:sz="4" w:space="0"/>
              <w:left w:val="nil"/>
              <w:bottom w:val="single" w:color="000000" w:sz="4" w:space="0"/>
              <w:right w:val="single" w:color="000000" w:sz="4" w:space="0"/>
            </w:tcBorders>
            <w:noWrap/>
            <w:vAlign w:val="center"/>
          </w:tcPr>
          <w:p w14:paraId="172131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生境</w:t>
            </w:r>
          </w:p>
        </w:tc>
        <w:tc>
          <w:tcPr>
            <w:tcW w:w="1448" w:type="pct"/>
            <w:tcBorders>
              <w:top w:val="single" w:color="000000" w:sz="4" w:space="0"/>
              <w:left w:val="single" w:color="000000" w:sz="4" w:space="0"/>
              <w:bottom w:val="single" w:color="000000" w:sz="4" w:space="0"/>
              <w:right w:val="single" w:color="000000" w:sz="4" w:space="0"/>
            </w:tcBorders>
            <w:noWrap/>
            <w:vAlign w:val="center"/>
          </w:tcPr>
          <w:p w14:paraId="6477D4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生境面积、质量、连通性</w:t>
            </w:r>
          </w:p>
        </w:tc>
        <w:tc>
          <w:tcPr>
            <w:tcW w:w="1384" w:type="pct"/>
            <w:tcBorders>
              <w:top w:val="single" w:color="000000" w:sz="4" w:space="0"/>
              <w:left w:val="single" w:color="000000" w:sz="4" w:space="0"/>
              <w:bottom w:val="single" w:color="000000" w:sz="4" w:space="0"/>
              <w:right w:val="single" w:color="000000" w:sz="4" w:space="0"/>
            </w:tcBorders>
            <w:noWrap/>
            <w:vAlign w:val="center"/>
          </w:tcPr>
          <w:p w14:paraId="429DDF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施工期的直接生态影响</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4D5750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短期、可逆</w:t>
            </w:r>
          </w:p>
        </w:tc>
        <w:tc>
          <w:tcPr>
            <w:tcW w:w="675" w:type="pct"/>
            <w:tcBorders>
              <w:top w:val="single" w:color="000000" w:sz="4" w:space="0"/>
              <w:left w:val="single" w:color="000000" w:sz="4" w:space="0"/>
              <w:bottom w:val="single" w:color="000000" w:sz="4" w:space="0"/>
              <w:right w:val="nil"/>
            </w:tcBorders>
            <w:noWrap/>
            <w:vAlign w:val="center"/>
          </w:tcPr>
          <w:p w14:paraId="66C7DF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2CB02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752" w:type="pct"/>
            <w:tcBorders>
              <w:top w:val="single" w:color="000000" w:sz="4" w:space="0"/>
              <w:left w:val="nil"/>
              <w:bottom w:val="single" w:color="000000" w:sz="4" w:space="0"/>
              <w:right w:val="single" w:color="000000" w:sz="4" w:space="0"/>
            </w:tcBorders>
            <w:noWrap/>
            <w:vAlign w:val="center"/>
          </w:tcPr>
          <w:p w14:paraId="5D47FF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生物群落</w:t>
            </w:r>
          </w:p>
        </w:tc>
        <w:tc>
          <w:tcPr>
            <w:tcW w:w="1448" w:type="pct"/>
            <w:tcBorders>
              <w:top w:val="single" w:color="000000" w:sz="4" w:space="0"/>
              <w:left w:val="single" w:color="000000" w:sz="4" w:space="0"/>
              <w:bottom w:val="single" w:color="000000" w:sz="4" w:space="0"/>
              <w:right w:val="single" w:color="000000" w:sz="4" w:space="0"/>
            </w:tcBorders>
            <w:noWrap/>
            <w:vAlign w:val="center"/>
          </w:tcPr>
          <w:p w14:paraId="276EB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物种组成、群落结构</w:t>
            </w:r>
          </w:p>
        </w:tc>
        <w:tc>
          <w:tcPr>
            <w:tcW w:w="1384" w:type="pct"/>
            <w:tcBorders>
              <w:top w:val="single" w:color="000000" w:sz="4" w:space="0"/>
              <w:left w:val="single" w:color="000000" w:sz="4" w:space="0"/>
              <w:bottom w:val="single" w:color="000000" w:sz="4" w:space="0"/>
              <w:right w:val="single" w:color="000000" w:sz="4" w:space="0"/>
            </w:tcBorders>
            <w:noWrap/>
            <w:vAlign w:val="center"/>
          </w:tcPr>
          <w:p w14:paraId="2B82FB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施工期的直接生态影响</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575455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短期、可逆</w:t>
            </w:r>
          </w:p>
        </w:tc>
        <w:tc>
          <w:tcPr>
            <w:tcW w:w="675" w:type="pct"/>
            <w:tcBorders>
              <w:top w:val="single" w:color="000000" w:sz="4" w:space="0"/>
              <w:left w:val="single" w:color="000000" w:sz="4" w:space="0"/>
              <w:bottom w:val="single" w:color="000000" w:sz="4" w:space="0"/>
              <w:right w:val="nil"/>
            </w:tcBorders>
            <w:noWrap/>
            <w:vAlign w:val="center"/>
          </w:tcPr>
          <w:p w14:paraId="2BD15E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0493F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752" w:type="pct"/>
            <w:tcBorders>
              <w:top w:val="single" w:color="000000" w:sz="4" w:space="0"/>
              <w:left w:val="nil"/>
              <w:bottom w:val="single" w:color="000000" w:sz="4" w:space="0"/>
              <w:right w:val="single" w:color="000000" w:sz="4" w:space="0"/>
            </w:tcBorders>
            <w:noWrap/>
            <w:vAlign w:val="center"/>
          </w:tcPr>
          <w:p w14:paraId="026CF2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生态系统</w:t>
            </w:r>
          </w:p>
        </w:tc>
        <w:tc>
          <w:tcPr>
            <w:tcW w:w="1448" w:type="pct"/>
            <w:tcBorders>
              <w:top w:val="single" w:color="000000" w:sz="4" w:space="0"/>
              <w:left w:val="single" w:color="000000" w:sz="4" w:space="0"/>
              <w:bottom w:val="single" w:color="000000" w:sz="4" w:space="0"/>
              <w:right w:val="single" w:color="000000" w:sz="4" w:space="0"/>
            </w:tcBorders>
            <w:noWrap/>
            <w:vAlign w:val="center"/>
          </w:tcPr>
          <w:p w14:paraId="0FFC92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植被覆盖度、生态系统功能</w:t>
            </w:r>
          </w:p>
        </w:tc>
        <w:tc>
          <w:tcPr>
            <w:tcW w:w="1384" w:type="pct"/>
            <w:tcBorders>
              <w:top w:val="single" w:color="000000" w:sz="4" w:space="0"/>
              <w:left w:val="single" w:color="000000" w:sz="4" w:space="0"/>
              <w:bottom w:val="single" w:color="000000" w:sz="4" w:space="0"/>
              <w:right w:val="single" w:color="000000" w:sz="4" w:space="0"/>
            </w:tcBorders>
            <w:noWrap/>
            <w:vAlign w:val="center"/>
          </w:tcPr>
          <w:p w14:paraId="6FCA1A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施工期的直接生态影响</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70CC81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短期、可逆</w:t>
            </w:r>
          </w:p>
        </w:tc>
        <w:tc>
          <w:tcPr>
            <w:tcW w:w="675" w:type="pct"/>
            <w:tcBorders>
              <w:top w:val="single" w:color="000000" w:sz="4" w:space="0"/>
              <w:left w:val="single" w:color="000000" w:sz="4" w:space="0"/>
              <w:bottom w:val="single" w:color="000000" w:sz="4" w:space="0"/>
              <w:right w:val="nil"/>
            </w:tcBorders>
            <w:noWrap/>
            <w:vAlign w:val="center"/>
          </w:tcPr>
          <w:p w14:paraId="0793B9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3411C3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752" w:type="pct"/>
            <w:tcBorders>
              <w:top w:val="single" w:color="000000" w:sz="4" w:space="0"/>
              <w:left w:val="nil"/>
              <w:bottom w:val="single" w:color="000000" w:sz="12" w:space="0"/>
              <w:right w:val="single" w:color="000000" w:sz="4" w:space="0"/>
            </w:tcBorders>
            <w:noWrap/>
            <w:vAlign w:val="center"/>
          </w:tcPr>
          <w:p w14:paraId="1ED9A0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生物多样性</w:t>
            </w:r>
          </w:p>
        </w:tc>
        <w:tc>
          <w:tcPr>
            <w:tcW w:w="1448" w:type="pct"/>
            <w:tcBorders>
              <w:top w:val="single" w:color="000000" w:sz="4" w:space="0"/>
              <w:left w:val="single" w:color="000000" w:sz="4" w:space="0"/>
              <w:bottom w:val="single" w:color="000000" w:sz="12" w:space="0"/>
              <w:right w:val="single" w:color="000000" w:sz="4" w:space="0"/>
            </w:tcBorders>
            <w:noWrap/>
            <w:vAlign w:val="center"/>
          </w:tcPr>
          <w:p w14:paraId="4AC7CB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生境内生物多样性</w:t>
            </w:r>
          </w:p>
        </w:tc>
        <w:tc>
          <w:tcPr>
            <w:tcW w:w="1384" w:type="pct"/>
            <w:tcBorders>
              <w:top w:val="single" w:color="000000" w:sz="4" w:space="0"/>
              <w:left w:val="single" w:color="000000" w:sz="4" w:space="0"/>
              <w:bottom w:val="single" w:color="000000" w:sz="12" w:space="0"/>
              <w:right w:val="single" w:color="000000" w:sz="4" w:space="0"/>
            </w:tcBorders>
            <w:noWrap/>
            <w:vAlign w:val="center"/>
          </w:tcPr>
          <w:p w14:paraId="1391E1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施工期的直接生态影响</w:t>
            </w:r>
          </w:p>
        </w:tc>
        <w:tc>
          <w:tcPr>
            <w:tcW w:w="739" w:type="pct"/>
            <w:tcBorders>
              <w:top w:val="single" w:color="000000" w:sz="4" w:space="0"/>
              <w:left w:val="single" w:color="000000" w:sz="4" w:space="0"/>
              <w:bottom w:val="single" w:color="000000" w:sz="12" w:space="0"/>
              <w:right w:val="single" w:color="000000" w:sz="4" w:space="0"/>
            </w:tcBorders>
            <w:noWrap/>
            <w:vAlign w:val="center"/>
          </w:tcPr>
          <w:p w14:paraId="594010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短期、可逆</w:t>
            </w:r>
          </w:p>
        </w:tc>
        <w:tc>
          <w:tcPr>
            <w:tcW w:w="675" w:type="pct"/>
            <w:tcBorders>
              <w:top w:val="single" w:color="000000" w:sz="4" w:space="0"/>
              <w:left w:val="single" w:color="000000" w:sz="4" w:space="0"/>
              <w:bottom w:val="single" w:color="000000" w:sz="12" w:space="0"/>
              <w:right w:val="nil"/>
            </w:tcBorders>
            <w:noWrap/>
            <w:vAlign w:val="center"/>
          </w:tcPr>
          <w:p w14:paraId="30F1E7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bl>
    <w:p w14:paraId="05AB4A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highlight w:val="none"/>
          <w:lang w:val="en-US" w:eastAsia="zh-CN"/>
        </w:rPr>
      </w:pPr>
    </w:p>
    <w:p w14:paraId="0AC735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b/>
          <w:bCs/>
          <w:sz w:val="21"/>
          <w:szCs w:val="21"/>
          <w:highlight w:val="none"/>
          <w:lang w:val="en-US" w:eastAsia="zh-CN"/>
        </w:rPr>
        <w:t>表1.3-</w:t>
      </w:r>
      <w:r>
        <w:rPr>
          <w:rFonts w:hint="eastAsia" w:ascii="宋体" w:hAnsi="宋体" w:cs="宋体"/>
          <w:b/>
          <w:bCs/>
          <w:sz w:val="21"/>
          <w:szCs w:val="21"/>
          <w:highlight w:val="none"/>
          <w:lang w:val="en-US" w:eastAsia="zh-CN"/>
        </w:rPr>
        <w:t>2</w:t>
      </w:r>
      <w:r>
        <w:rPr>
          <w:rFonts w:hint="eastAsia" w:ascii="宋体" w:hAnsi="宋体" w:eastAsia="宋体" w:cs="宋体"/>
          <w:b/>
          <w:bCs/>
          <w:sz w:val="21"/>
          <w:szCs w:val="21"/>
          <w:highlight w:val="none"/>
          <w:lang w:val="en-US" w:eastAsia="zh-CN"/>
        </w:rPr>
        <w:t xml:space="preserve"> 运行期</w:t>
      </w:r>
      <w:r>
        <w:rPr>
          <w:rFonts w:hint="eastAsia" w:ascii="宋体" w:hAnsi="宋体" w:eastAsia="宋体" w:cs="宋体"/>
          <w:b/>
          <w:bCs/>
          <w:color w:val="000000"/>
          <w:kern w:val="0"/>
          <w:sz w:val="21"/>
          <w:szCs w:val="21"/>
          <w:highlight w:val="none"/>
          <w:lang w:val="en-US" w:eastAsia="zh-CN" w:bidi="ar"/>
        </w:rPr>
        <w:t>生态影响评价因子</w:t>
      </w:r>
    </w:p>
    <w:tbl>
      <w:tblPr>
        <w:tblStyle w:val="33"/>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95"/>
        <w:gridCol w:w="2461"/>
        <w:gridCol w:w="2204"/>
        <w:gridCol w:w="1459"/>
        <w:gridCol w:w="1100"/>
      </w:tblGrid>
      <w:tr w14:paraId="73BB0B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60" w:type="pct"/>
            <w:tcBorders>
              <w:top w:val="single" w:color="000000" w:sz="12" w:space="0"/>
              <w:left w:val="nil"/>
              <w:bottom w:val="single" w:color="000000" w:sz="4" w:space="0"/>
              <w:right w:val="single" w:color="000000" w:sz="4" w:space="0"/>
            </w:tcBorders>
            <w:noWrap w:val="0"/>
            <w:vAlign w:val="center"/>
          </w:tcPr>
          <w:p w14:paraId="106435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受影响对象</w:t>
            </w:r>
          </w:p>
        </w:tc>
        <w:tc>
          <w:tcPr>
            <w:tcW w:w="1444" w:type="pct"/>
            <w:tcBorders>
              <w:top w:val="single" w:color="000000" w:sz="12" w:space="0"/>
              <w:left w:val="single" w:color="000000" w:sz="4" w:space="0"/>
              <w:bottom w:val="single" w:color="000000" w:sz="4" w:space="0"/>
              <w:right w:val="single" w:color="000000" w:sz="4" w:space="0"/>
            </w:tcBorders>
            <w:noWrap w:val="0"/>
            <w:vAlign w:val="center"/>
          </w:tcPr>
          <w:p w14:paraId="7E67E5E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评价因子</w:t>
            </w:r>
          </w:p>
        </w:tc>
        <w:tc>
          <w:tcPr>
            <w:tcW w:w="1293" w:type="pct"/>
            <w:tcBorders>
              <w:top w:val="single" w:color="000000" w:sz="12" w:space="0"/>
              <w:left w:val="single" w:color="000000" w:sz="4" w:space="0"/>
              <w:bottom w:val="single" w:color="000000" w:sz="4" w:space="0"/>
              <w:right w:val="single" w:color="000000" w:sz="4" w:space="0"/>
            </w:tcBorders>
            <w:noWrap w:val="0"/>
            <w:vAlign w:val="center"/>
          </w:tcPr>
          <w:p w14:paraId="772A10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工程内容及影响方式</w:t>
            </w:r>
          </w:p>
        </w:tc>
        <w:tc>
          <w:tcPr>
            <w:tcW w:w="856" w:type="pct"/>
            <w:tcBorders>
              <w:top w:val="single" w:color="000000" w:sz="12" w:space="0"/>
              <w:left w:val="single" w:color="000000" w:sz="4" w:space="0"/>
              <w:bottom w:val="single" w:color="000000" w:sz="4" w:space="0"/>
              <w:right w:val="single" w:color="000000" w:sz="4" w:space="0"/>
            </w:tcBorders>
            <w:noWrap w:val="0"/>
            <w:vAlign w:val="center"/>
          </w:tcPr>
          <w:p w14:paraId="634B43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影响性质</w:t>
            </w:r>
          </w:p>
        </w:tc>
        <w:tc>
          <w:tcPr>
            <w:tcW w:w="645" w:type="pct"/>
            <w:tcBorders>
              <w:top w:val="single" w:color="000000" w:sz="12" w:space="0"/>
              <w:left w:val="single" w:color="000000" w:sz="4" w:space="0"/>
              <w:bottom w:val="single" w:color="000000" w:sz="4" w:space="0"/>
              <w:right w:val="nil"/>
            </w:tcBorders>
            <w:noWrap w:val="0"/>
            <w:vAlign w:val="center"/>
          </w:tcPr>
          <w:p w14:paraId="476EC0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影响程度</w:t>
            </w:r>
          </w:p>
        </w:tc>
      </w:tr>
      <w:tr w14:paraId="6D229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760" w:type="pct"/>
            <w:tcBorders>
              <w:top w:val="single" w:color="000000" w:sz="4" w:space="0"/>
              <w:left w:val="nil"/>
              <w:bottom w:val="single" w:color="000000" w:sz="4" w:space="0"/>
              <w:right w:val="single" w:color="000000" w:sz="4" w:space="0"/>
            </w:tcBorders>
            <w:noWrap w:val="0"/>
            <w:vAlign w:val="center"/>
          </w:tcPr>
          <w:p w14:paraId="288AD4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动物</w:t>
            </w:r>
          </w:p>
        </w:tc>
        <w:tc>
          <w:tcPr>
            <w:tcW w:w="1444" w:type="pct"/>
            <w:tcBorders>
              <w:top w:val="single" w:color="000000" w:sz="4" w:space="0"/>
              <w:left w:val="single" w:color="000000" w:sz="4" w:space="0"/>
              <w:bottom w:val="single" w:color="000000" w:sz="4" w:space="0"/>
              <w:right w:val="single" w:color="000000" w:sz="4" w:space="0"/>
            </w:tcBorders>
            <w:noWrap w:val="0"/>
            <w:vAlign w:val="center"/>
          </w:tcPr>
          <w:p w14:paraId="37B75E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分布范围、行为</w:t>
            </w:r>
          </w:p>
        </w:tc>
        <w:tc>
          <w:tcPr>
            <w:tcW w:w="1293" w:type="pct"/>
            <w:tcBorders>
              <w:top w:val="single" w:color="000000" w:sz="4" w:space="0"/>
              <w:left w:val="single" w:color="000000" w:sz="4" w:space="0"/>
              <w:bottom w:val="single" w:color="000000" w:sz="4" w:space="0"/>
              <w:right w:val="single" w:color="000000" w:sz="4" w:space="0"/>
            </w:tcBorders>
            <w:noWrap w:val="0"/>
            <w:vAlign w:val="center"/>
          </w:tcPr>
          <w:p w14:paraId="6910F9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噪声干扰、阻隔影响/直接影响</w:t>
            </w:r>
          </w:p>
        </w:tc>
        <w:tc>
          <w:tcPr>
            <w:tcW w:w="856" w:type="pct"/>
            <w:tcBorders>
              <w:top w:val="single" w:color="000000" w:sz="4" w:space="0"/>
              <w:left w:val="single" w:color="000000" w:sz="4" w:space="0"/>
              <w:bottom w:val="single" w:color="000000" w:sz="4" w:space="0"/>
              <w:right w:val="single" w:color="000000" w:sz="4" w:space="0"/>
            </w:tcBorders>
            <w:noWrap w:val="0"/>
            <w:vAlign w:val="center"/>
          </w:tcPr>
          <w:p w14:paraId="479070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长期、不可逆</w:t>
            </w:r>
          </w:p>
        </w:tc>
        <w:tc>
          <w:tcPr>
            <w:tcW w:w="645" w:type="pct"/>
            <w:tcBorders>
              <w:top w:val="single" w:color="000000" w:sz="4" w:space="0"/>
              <w:left w:val="single" w:color="000000" w:sz="4" w:space="0"/>
              <w:bottom w:val="single" w:color="000000" w:sz="4" w:space="0"/>
              <w:right w:val="nil"/>
            </w:tcBorders>
            <w:noWrap w:val="0"/>
            <w:vAlign w:val="center"/>
          </w:tcPr>
          <w:p w14:paraId="627F34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35A2F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60" w:type="pct"/>
            <w:tcBorders>
              <w:top w:val="single" w:color="000000" w:sz="4" w:space="0"/>
              <w:left w:val="nil"/>
              <w:bottom w:val="single" w:color="000000" w:sz="4" w:space="0"/>
              <w:right w:val="single" w:color="000000" w:sz="4" w:space="0"/>
            </w:tcBorders>
            <w:noWrap w:val="0"/>
            <w:vAlign w:val="center"/>
          </w:tcPr>
          <w:p w14:paraId="1953E4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生境</w:t>
            </w:r>
          </w:p>
        </w:tc>
        <w:tc>
          <w:tcPr>
            <w:tcW w:w="1444" w:type="pct"/>
            <w:tcBorders>
              <w:top w:val="single" w:color="000000" w:sz="4" w:space="0"/>
              <w:left w:val="single" w:color="000000" w:sz="4" w:space="0"/>
              <w:bottom w:val="single" w:color="000000" w:sz="4" w:space="0"/>
              <w:right w:val="single" w:color="000000" w:sz="4" w:space="0"/>
            </w:tcBorders>
            <w:noWrap w:val="0"/>
            <w:vAlign w:val="center"/>
          </w:tcPr>
          <w:p w14:paraId="6561B9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生境面积、连通性、质量</w:t>
            </w:r>
          </w:p>
        </w:tc>
        <w:tc>
          <w:tcPr>
            <w:tcW w:w="1293" w:type="pct"/>
            <w:tcBorders>
              <w:top w:val="single" w:color="000000" w:sz="4" w:space="0"/>
              <w:left w:val="single" w:color="000000" w:sz="4" w:space="0"/>
              <w:bottom w:val="single" w:color="000000" w:sz="4" w:space="0"/>
              <w:right w:val="single" w:color="000000" w:sz="4" w:space="0"/>
            </w:tcBorders>
            <w:noWrap w:val="0"/>
            <w:vAlign w:val="center"/>
          </w:tcPr>
          <w:p w14:paraId="68683A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车辆运行/直接影响</w:t>
            </w:r>
          </w:p>
        </w:tc>
        <w:tc>
          <w:tcPr>
            <w:tcW w:w="856" w:type="pct"/>
            <w:tcBorders>
              <w:top w:val="single" w:color="000000" w:sz="4" w:space="0"/>
              <w:left w:val="single" w:color="000000" w:sz="4" w:space="0"/>
              <w:bottom w:val="single" w:color="000000" w:sz="4" w:space="0"/>
              <w:right w:val="single" w:color="000000" w:sz="4" w:space="0"/>
            </w:tcBorders>
            <w:noWrap w:val="0"/>
            <w:vAlign w:val="center"/>
          </w:tcPr>
          <w:p w14:paraId="47940F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长期、不可逆</w:t>
            </w:r>
          </w:p>
        </w:tc>
        <w:tc>
          <w:tcPr>
            <w:tcW w:w="645" w:type="pct"/>
            <w:tcBorders>
              <w:top w:val="single" w:color="000000" w:sz="4" w:space="0"/>
              <w:left w:val="single" w:color="000000" w:sz="4" w:space="0"/>
              <w:bottom w:val="single" w:color="000000" w:sz="4" w:space="0"/>
              <w:right w:val="nil"/>
            </w:tcBorders>
            <w:noWrap w:val="0"/>
            <w:vAlign w:val="center"/>
          </w:tcPr>
          <w:p w14:paraId="2E4A4A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71DC7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60" w:type="pct"/>
            <w:tcBorders>
              <w:top w:val="single" w:color="000000" w:sz="4" w:space="0"/>
              <w:left w:val="nil"/>
              <w:bottom w:val="single" w:color="000000" w:sz="4" w:space="0"/>
              <w:right w:val="single" w:color="000000" w:sz="4" w:space="0"/>
            </w:tcBorders>
            <w:noWrap w:val="0"/>
            <w:vAlign w:val="center"/>
          </w:tcPr>
          <w:p w14:paraId="177851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生态系统</w:t>
            </w:r>
          </w:p>
        </w:tc>
        <w:tc>
          <w:tcPr>
            <w:tcW w:w="1444" w:type="pct"/>
            <w:tcBorders>
              <w:top w:val="single" w:color="000000" w:sz="4" w:space="0"/>
              <w:left w:val="single" w:color="000000" w:sz="4" w:space="0"/>
              <w:bottom w:val="single" w:color="000000" w:sz="4" w:space="0"/>
              <w:right w:val="single" w:color="000000" w:sz="4" w:space="0"/>
            </w:tcBorders>
            <w:noWrap w:val="0"/>
            <w:vAlign w:val="center"/>
          </w:tcPr>
          <w:p w14:paraId="711263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分布情况、稳定性</w:t>
            </w:r>
          </w:p>
        </w:tc>
        <w:tc>
          <w:tcPr>
            <w:tcW w:w="1293" w:type="pct"/>
            <w:tcBorders>
              <w:top w:val="single" w:color="000000" w:sz="4" w:space="0"/>
              <w:left w:val="single" w:color="000000" w:sz="4" w:space="0"/>
              <w:bottom w:val="single" w:color="000000" w:sz="4" w:space="0"/>
              <w:right w:val="single" w:color="000000" w:sz="4" w:space="0"/>
            </w:tcBorders>
            <w:noWrap w:val="0"/>
            <w:vAlign w:val="center"/>
          </w:tcPr>
          <w:p w14:paraId="28FD6E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车辆运行/间接影响</w:t>
            </w:r>
          </w:p>
        </w:tc>
        <w:tc>
          <w:tcPr>
            <w:tcW w:w="856" w:type="pct"/>
            <w:tcBorders>
              <w:top w:val="single" w:color="000000" w:sz="4" w:space="0"/>
              <w:left w:val="single" w:color="000000" w:sz="4" w:space="0"/>
              <w:bottom w:val="single" w:color="000000" w:sz="4" w:space="0"/>
              <w:right w:val="single" w:color="000000" w:sz="4" w:space="0"/>
            </w:tcBorders>
            <w:noWrap w:val="0"/>
            <w:vAlign w:val="center"/>
          </w:tcPr>
          <w:p w14:paraId="7002A1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长期、不可逆</w:t>
            </w:r>
          </w:p>
        </w:tc>
        <w:tc>
          <w:tcPr>
            <w:tcW w:w="645" w:type="pct"/>
            <w:tcBorders>
              <w:top w:val="single" w:color="000000" w:sz="4" w:space="0"/>
              <w:left w:val="single" w:color="000000" w:sz="4" w:space="0"/>
              <w:bottom w:val="single" w:color="000000" w:sz="4" w:space="0"/>
              <w:right w:val="nil"/>
            </w:tcBorders>
            <w:noWrap w:val="0"/>
            <w:vAlign w:val="center"/>
          </w:tcPr>
          <w:p w14:paraId="6557E8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r w14:paraId="6FD77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60" w:type="pct"/>
            <w:tcBorders>
              <w:top w:val="single" w:color="000000" w:sz="4" w:space="0"/>
              <w:left w:val="nil"/>
              <w:bottom w:val="single" w:color="000000" w:sz="12" w:space="0"/>
              <w:right w:val="single" w:color="000000" w:sz="4" w:space="0"/>
            </w:tcBorders>
            <w:noWrap w:val="0"/>
            <w:vAlign w:val="center"/>
          </w:tcPr>
          <w:p w14:paraId="534DE9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生物多样性</w:t>
            </w:r>
          </w:p>
        </w:tc>
        <w:tc>
          <w:tcPr>
            <w:tcW w:w="1444" w:type="pct"/>
            <w:tcBorders>
              <w:top w:val="single" w:color="000000" w:sz="4" w:space="0"/>
              <w:left w:val="single" w:color="000000" w:sz="4" w:space="0"/>
              <w:bottom w:val="single" w:color="000000" w:sz="12" w:space="0"/>
              <w:right w:val="single" w:color="000000" w:sz="4" w:space="0"/>
            </w:tcBorders>
            <w:noWrap w:val="0"/>
            <w:vAlign w:val="center"/>
          </w:tcPr>
          <w:p w14:paraId="362977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物种、生态系统多样性</w:t>
            </w:r>
          </w:p>
        </w:tc>
        <w:tc>
          <w:tcPr>
            <w:tcW w:w="1293" w:type="pct"/>
            <w:tcBorders>
              <w:top w:val="single" w:color="000000" w:sz="4" w:space="0"/>
              <w:left w:val="single" w:color="000000" w:sz="4" w:space="0"/>
              <w:bottom w:val="single" w:color="000000" w:sz="12" w:space="0"/>
              <w:right w:val="single" w:color="000000" w:sz="4" w:space="0"/>
            </w:tcBorders>
            <w:noWrap w:val="0"/>
            <w:vAlign w:val="center"/>
          </w:tcPr>
          <w:p w14:paraId="07B991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车辆运行/间接影响</w:t>
            </w:r>
          </w:p>
        </w:tc>
        <w:tc>
          <w:tcPr>
            <w:tcW w:w="856" w:type="pct"/>
            <w:tcBorders>
              <w:top w:val="single" w:color="000000" w:sz="4" w:space="0"/>
              <w:left w:val="single" w:color="000000" w:sz="4" w:space="0"/>
              <w:bottom w:val="single" w:color="000000" w:sz="12" w:space="0"/>
              <w:right w:val="single" w:color="000000" w:sz="4" w:space="0"/>
            </w:tcBorders>
            <w:noWrap w:val="0"/>
            <w:vAlign w:val="center"/>
          </w:tcPr>
          <w:p w14:paraId="1D74A4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长期、不可逆</w:t>
            </w:r>
          </w:p>
        </w:tc>
        <w:tc>
          <w:tcPr>
            <w:tcW w:w="645" w:type="pct"/>
            <w:tcBorders>
              <w:top w:val="single" w:color="000000" w:sz="4" w:space="0"/>
              <w:left w:val="single" w:color="000000" w:sz="4" w:space="0"/>
              <w:bottom w:val="single" w:color="000000" w:sz="12" w:space="0"/>
              <w:right w:val="nil"/>
            </w:tcBorders>
            <w:noWrap w:val="0"/>
            <w:vAlign w:val="center"/>
          </w:tcPr>
          <w:p w14:paraId="2F3EED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弱</w:t>
            </w:r>
          </w:p>
        </w:tc>
      </w:tr>
    </w:tbl>
    <w:p w14:paraId="0ECD9559">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1.4 生态环境保护目标</w:t>
      </w:r>
    </w:p>
    <w:p w14:paraId="4642FDF3">
      <w:pPr>
        <w:keepNext w:val="0"/>
        <w:keepLines w:val="0"/>
        <w:pageBreakBefore w:val="0"/>
        <w:widowControl w:val="0"/>
        <w:suppressLineNumbers w:val="0"/>
        <w:kinsoku/>
        <w:wordWrap/>
        <w:overflowPunct/>
        <w:topLinePunct w:val="0"/>
        <w:autoSpaceDE/>
        <w:autoSpaceDN/>
        <w:bidi w:val="0"/>
        <w:adjustRightInd/>
        <w:snapToGrid/>
        <w:ind w:firstLine="480" w:firstLineChars="200"/>
        <w:jc w:val="both"/>
        <w:textAlignment w:val="auto"/>
        <w:rPr>
          <w:rFonts w:hint="eastAsia" w:ascii="宋体" w:hAnsi="宋体" w:eastAsia="宋体" w:cs="宋体"/>
          <w:color w:val="auto"/>
          <w:highlight w:val="none"/>
        </w:rPr>
      </w:pPr>
      <w:r>
        <w:rPr>
          <w:rFonts w:hint="eastAsia" w:ascii="宋体" w:hAnsi="宋体" w:eastAsia="宋体" w:cs="宋体"/>
          <w:color w:val="auto"/>
          <w:kern w:val="0"/>
          <w:sz w:val="24"/>
          <w:szCs w:val="24"/>
          <w:highlight w:val="none"/>
          <w:lang w:val="en-US" w:eastAsia="zh-CN" w:bidi="ar"/>
        </w:rPr>
        <w:t>本项目位于双鸭山市岭东区，永久占地范围内无生态环境保护目标，根据《建设项目环境影响报告表编制技术指南（生态影响类）（试行）》，本项目不涉及国家、省、市级自然保护区、风景名胜区、文物等保护目标环境敏感区，项目区生物多样性水平较低，植被类型相对单一，主要为草地、林地，无野生珍稀或濒危植物分布，植物群落的物种组成及结构较为单一，均为该地区的广布种、常见种。</w:t>
      </w:r>
    </w:p>
    <w:p w14:paraId="69A06EE0">
      <w:pPr>
        <w:pStyle w:val="7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b/>
          <w:bCs/>
          <w:sz w:val="24"/>
          <w:szCs w:val="24"/>
          <w:highlight w:val="none"/>
          <w:lang w:val="en-US" w:eastAsia="zh-CN"/>
        </w:rPr>
      </w:pPr>
      <w:r>
        <w:rPr>
          <w:rFonts w:hint="eastAsia" w:ascii="宋体" w:hAnsi="宋体" w:eastAsia="宋体" w:cs="宋体"/>
          <w:color w:val="auto"/>
          <w:kern w:val="0"/>
          <w:sz w:val="24"/>
          <w:szCs w:val="24"/>
          <w:highlight w:val="none"/>
          <w:lang w:val="en-US" w:eastAsia="zh-CN" w:bidi="ar"/>
        </w:rPr>
        <w:t>多年来，在车辆来往的共同影响下，评价区对动物产生的趋避作用，使得评价区附近无大型兽类出没。本项目周围无生态环境敏感点，评价区域内无国家级、省级重点保护珍稀或濒危物种。野生动物一般多为常见的麻雀、乌鸦、喜鹊等鸟类、鼠类，此外还有一些常见昆虫，无重点保护的野生动物栖息地。评价区生态系统保持着完整性和稳定性。</w:t>
      </w:r>
    </w:p>
    <w:p w14:paraId="65CC7E00">
      <w:pPr>
        <w:pStyle w:val="73"/>
        <w:numPr>
          <w:ilvl w:val="0"/>
          <w:numId w:val="0"/>
        </w:numPr>
        <w:spacing w:line="240" w:lineRule="auto"/>
        <w:ind w:leftChars="0"/>
        <w:jc w:val="center"/>
        <w:rPr>
          <w:rFonts w:hint="eastAsia" w:ascii="宋体" w:hAnsi="宋体" w:eastAsia="宋体" w:cs="宋体"/>
          <w:b/>
          <w:bCs/>
          <w:sz w:val="21"/>
          <w:szCs w:val="21"/>
          <w:highlight w:val="none"/>
          <w:lang w:val="en-US" w:eastAsia="zh-CN"/>
        </w:rPr>
      </w:pPr>
      <w:r>
        <w:rPr>
          <w:rFonts w:hint="eastAsia" w:ascii="宋体" w:hAnsi="宋体" w:eastAsia="宋体" w:cs="宋体"/>
          <w:b/>
          <w:bCs/>
          <w:sz w:val="21"/>
          <w:szCs w:val="21"/>
          <w:highlight w:val="none"/>
          <w:lang w:val="en-US" w:eastAsia="zh-CN"/>
        </w:rPr>
        <w:t>表1.4-1 主要生态保护目标一览表</w:t>
      </w:r>
    </w:p>
    <w:tbl>
      <w:tblPr>
        <w:tblStyle w:val="3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359"/>
        <w:gridCol w:w="3439"/>
        <w:gridCol w:w="2724"/>
      </w:tblGrid>
      <w:tr w14:paraId="2AFBA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4" w:type="pct"/>
            <w:tcBorders>
              <w:top w:val="single" w:color="000000" w:sz="12" w:space="0"/>
              <w:left w:val="nil"/>
              <w:bottom w:val="single" w:color="000000" w:sz="4" w:space="0"/>
              <w:right w:val="single" w:color="000000" w:sz="4" w:space="0"/>
            </w:tcBorders>
            <w:noWrap/>
            <w:vAlign w:val="center"/>
          </w:tcPr>
          <w:p w14:paraId="4A2908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生态环境保护目标</w:t>
            </w:r>
          </w:p>
        </w:tc>
        <w:tc>
          <w:tcPr>
            <w:tcW w:w="2017" w:type="pct"/>
            <w:tcBorders>
              <w:top w:val="single" w:color="000000" w:sz="12" w:space="0"/>
              <w:left w:val="single" w:color="000000" w:sz="4" w:space="0"/>
              <w:bottom w:val="single" w:color="000000" w:sz="4" w:space="0"/>
              <w:right w:val="single" w:color="000000" w:sz="4" w:space="0"/>
            </w:tcBorders>
            <w:noWrap/>
            <w:vAlign w:val="center"/>
          </w:tcPr>
          <w:p w14:paraId="00CEEB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保护内容</w:t>
            </w:r>
          </w:p>
        </w:tc>
        <w:tc>
          <w:tcPr>
            <w:tcW w:w="1598" w:type="pct"/>
            <w:tcBorders>
              <w:top w:val="single" w:color="000000" w:sz="12" w:space="0"/>
              <w:left w:val="single" w:color="000000" w:sz="4" w:space="0"/>
              <w:bottom w:val="single" w:color="000000" w:sz="4" w:space="0"/>
              <w:right w:val="nil"/>
            </w:tcBorders>
            <w:noWrap/>
            <w:vAlign w:val="center"/>
          </w:tcPr>
          <w:p w14:paraId="79286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分布位置</w:t>
            </w:r>
          </w:p>
        </w:tc>
      </w:tr>
      <w:tr w14:paraId="3A7BB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1384" w:type="pct"/>
            <w:tcBorders>
              <w:top w:val="single" w:color="000000" w:sz="4" w:space="0"/>
              <w:left w:val="nil"/>
              <w:bottom w:val="single" w:color="000000" w:sz="4" w:space="0"/>
              <w:right w:val="single" w:color="000000" w:sz="4" w:space="0"/>
            </w:tcBorders>
            <w:noWrap/>
            <w:vAlign w:val="center"/>
          </w:tcPr>
          <w:p w14:paraId="63BBCC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植被</w:t>
            </w:r>
          </w:p>
        </w:tc>
        <w:tc>
          <w:tcPr>
            <w:tcW w:w="2017" w:type="pct"/>
            <w:tcBorders>
              <w:top w:val="single" w:color="000000" w:sz="4" w:space="0"/>
              <w:left w:val="single" w:color="000000" w:sz="4" w:space="0"/>
              <w:bottom w:val="single" w:color="000000" w:sz="4" w:space="0"/>
              <w:right w:val="single" w:color="000000" w:sz="4" w:space="0"/>
            </w:tcBorders>
            <w:noWrap/>
            <w:vAlign w:val="center"/>
          </w:tcPr>
          <w:p w14:paraId="0E8956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植被覆盖率、生物量、群落完整的保护与恢复</w:t>
            </w:r>
          </w:p>
        </w:tc>
        <w:tc>
          <w:tcPr>
            <w:tcW w:w="1598" w:type="pct"/>
            <w:tcBorders>
              <w:top w:val="single" w:color="000000" w:sz="4" w:space="0"/>
              <w:left w:val="single" w:color="000000" w:sz="4" w:space="0"/>
              <w:bottom w:val="single" w:color="000000" w:sz="4" w:space="0"/>
              <w:right w:val="nil"/>
            </w:tcBorders>
            <w:noWrap/>
            <w:vAlign w:val="center"/>
          </w:tcPr>
          <w:p w14:paraId="2042CC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工程沿线区域零星分布</w:t>
            </w:r>
          </w:p>
        </w:tc>
      </w:tr>
      <w:tr w14:paraId="7161A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4" w:type="pct"/>
            <w:tcBorders>
              <w:top w:val="single" w:color="000000" w:sz="4" w:space="0"/>
              <w:left w:val="nil"/>
              <w:bottom w:val="single" w:color="000000" w:sz="12" w:space="0"/>
              <w:right w:val="single" w:color="000000" w:sz="4" w:space="0"/>
            </w:tcBorders>
            <w:noWrap/>
            <w:vAlign w:val="center"/>
          </w:tcPr>
          <w:p w14:paraId="1E6EDE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野生动物</w:t>
            </w:r>
          </w:p>
        </w:tc>
        <w:tc>
          <w:tcPr>
            <w:tcW w:w="2017" w:type="pct"/>
            <w:tcBorders>
              <w:top w:val="single" w:color="000000" w:sz="4" w:space="0"/>
              <w:left w:val="single" w:color="000000" w:sz="4" w:space="0"/>
              <w:bottom w:val="single" w:color="000000" w:sz="12" w:space="0"/>
              <w:right w:val="single" w:color="000000" w:sz="4" w:space="0"/>
            </w:tcBorders>
            <w:noWrap/>
            <w:vAlign w:val="center"/>
          </w:tcPr>
          <w:p w14:paraId="1C913C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沿线野生动物</w:t>
            </w:r>
          </w:p>
        </w:tc>
        <w:tc>
          <w:tcPr>
            <w:tcW w:w="1598" w:type="pct"/>
            <w:tcBorders>
              <w:top w:val="single" w:color="000000" w:sz="4" w:space="0"/>
              <w:left w:val="single" w:color="000000" w:sz="4" w:space="0"/>
              <w:bottom w:val="single" w:color="000000" w:sz="12" w:space="0"/>
              <w:right w:val="nil"/>
            </w:tcBorders>
            <w:noWrap/>
            <w:vAlign w:val="center"/>
          </w:tcPr>
          <w:p w14:paraId="4A1015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工程沿线区域零星分布</w:t>
            </w:r>
          </w:p>
        </w:tc>
      </w:tr>
    </w:tbl>
    <w:p w14:paraId="6173ACB1">
      <w:pPr>
        <w:pStyle w:val="73"/>
        <w:numPr>
          <w:ilvl w:val="0"/>
          <w:numId w:val="0"/>
        </w:numPr>
        <w:spacing w:line="360" w:lineRule="auto"/>
        <w:ind w:leftChars="0"/>
        <w:jc w:val="both"/>
        <w:rPr>
          <w:rFonts w:hint="eastAsia" w:ascii="宋体" w:hAnsi="宋体" w:eastAsia="宋体" w:cs="宋体"/>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2245307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2"/>
          <w:highlight w:val="none"/>
          <w:lang w:val="en-US" w:eastAsia="zh-CN"/>
        </w:rPr>
      </w:pPr>
      <w:r>
        <w:rPr>
          <w:rFonts w:hint="eastAsia" w:ascii="宋体" w:hAnsi="宋体" w:eastAsia="宋体" w:cs="宋体"/>
          <w:b/>
          <w:bCs/>
          <w:sz w:val="28"/>
          <w:szCs w:val="22"/>
          <w:highlight w:val="none"/>
          <w:lang w:val="en-US" w:eastAsia="zh-CN"/>
        </w:rPr>
        <w:t>二、评价区域生态现状调查</w:t>
      </w:r>
    </w:p>
    <w:p w14:paraId="6330F417">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2.1 主体功能区</w:t>
      </w:r>
    </w:p>
    <w:p w14:paraId="68BD2E65">
      <w:pPr>
        <w:pStyle w:val="73"/>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Chars="0"/>
        <w:jc w:val="both"/>
        <w:textAlignment w:val="auto"/>
        <w:rPr>
          <w:rFonts w:hint="eastAsia" w:ascii="宋体" w:hAnsi="宋体" w:eastAsia="宋体" w:cs="宋体"/>
          <w:sz w:val="21"/>
          <w:szCs w:val="21"/>
          <w:highlight w:val="none"/>
          <w:lang w:val="en-US" w:eastAsia="zh-CN"/>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3381375</wp:posOffset>
                </wp:positionH>
                <wp:positionV relativeFrom="paragraph">
                  <wp:posOffset>2287905</wp:posOffset>
                </wp:positionV>
                <wp:extent cx="796925" cy="381635"/>
                <wp:effectExtent l="4445" t="4445" r="17780" b="90170"/>
                <wp:wrapNone/>
                <wp:docPr id="12" name="圆角矩形标注 4"/>
                <wp:cNvGraphicFramePr/>
                <a:graphic xmlns:a="http://schemas.openxmlformats.org/drawingml/2006/main">
                  <a:graphicData uri="http://schemas.microsoft.com/office/word/2010/wordprocessingShape">
                    <wps:wsp>
                      <wps:cNvSpPr/>
                      <wps:spPr>
                        <a:xfrm>
                          <a:off x="0" y="0"/>
                          <a:ext cx="796925" cy="381635"/>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1A42A0C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wps:txbx>
                      <wps:bodyPr vert="horz" wrap="square" anchor="t" anchorCtr="0" upright="1"/>
                    </wps:wsp>
                  </a:graphicData>
                </a:graphic>
              </wp:anchor>
            </w:drawing>
          </mc:Choice>
          <mc:Fallback>
            <w:pict>
              <v:shape id="圆角矩形标注 4" o:spid="_x0000_s1026" o:spt="62" type="#_x0000_t62" style="position:absolute;left:0pt;margin-left:266.25pt;margin-top:180.15pt;height:30.05pt;width:62.75pt;z-index:251669504;mso-width-relative:page;mso-height-relative:page;" fillcolor="#FFFFFF" filled="t" stroked="t" coordsize="21600,21600" o:gfxdata="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8dw6XZAAAACwEAAA8AAAAAAAAAAQAgAAAAIgAA&#10;AGRycy9kb3ducmV2LnhtbFBLAQIUABQAAAAIAIdO4kAGvj6OeQIAAP0EAAAOAAAAAAAAAAEAIAAA&#10;ACgBAABkcnMvZTJvRG9jLnhtbFBLBQYAAAAABgAGAFkBAAATBgAAAAA=&#10;" adj="1350,25920,14400">
                <v:fill on="t" focussize="0,0"/>
                <v:stroke color="#000000" joinstyle="miter"/>
                <v:imagedata o:title=""/>
                <o:lock v:ext="edit" aspectratio="f"/>
                <v:textbox>
                  <w:txbxContent>
                    <w:p w14:paraId="1A42A0C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sz w:val="21"/>
          <w:szCs w:val="21"/>
          <w:highlight w:val="none"/>
        </w:rPr>
        <w:drawing>
          <wp:inline distT="0" distB="0" distL="114300" distR="114300">
            <wp:extent cx="5306695" cy="4017010"/>
            <wp:effectExtent l="0" t="0" r="8255" b="2540"/>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31"/>
                    <a:stretch>
                      <a:fillRect/>
                    </a:stretch>
                  </pic:blipFill>
                  <pic:spPr>
                    <a:xfrm>
                      <a:off x="0" y="0"/>
                      <a:ext cx="5306695" cy="4017010"/>
                    </a:xfrm>
                    <a:prstGeom prst="rect">
                      <a:avLst/>
                    </a:prstGeom>
                    <a:noFill/>
                    <a:ln>
                      <a:noFill/>
                    </a:ln>
                  </pic:spPr>
                </pic:pic>
              </a:graphicData>
            </a:graphic>
          </wp:inline>
        </w:drawing>
      </w:r>
    </w:p>
    <w:p w14:paraId="4F94CBEA">
      <w:pPr>
        <w:pStyle w:val="73"/>
        <w:numPr>
          <w:ilvl w:val="0"/>
          <w:numId w:val="0"/>
        </w:numPr>
        <w:spacing w:line="360" w:lineRule="auto"/>
        <w:ind w:leftChars="0"/>
        <w:jc w:val="center"/>
        <w:rPr>
          <w:rFonts w:hint="eastAsia" w:ascii="宋体" w:hAnsi="宋体" w:eastAsia="宋体" w:cs="宋体"/>
          <w:b/>
          <w:bCs/>
          <w:sz w:val="21"/>
          <w:szCs w:val="21"/>
          <w:highlight w:val="none"/>
          <w:lang w:val="en-US" w:eastAsia="zh-CN"/>
        </w:rPr>
      </w:pPr>
      <w:r>
        <w:rPr>
          <w:rFonts w:hint="eastAsia" w:ascii="宋体" w:hAnsi="宋体" w:eastAsia="宋体" w:cs="宋体"/>
          <w:b/>
          <w:bCs/>
          <w:sz w:val="21"/>
          <w:szCs w:val="21"/>
          <w:highlight w:val="none"/>
          <w:lang w:val="en-US" w:eastAsia="zh-CN"/>
        </w:rPr>
        <w:t>图2.1-1 黑龙江主体功能区分图</w:t>
      </w:r>
    </w:p>
    <w:p w14:paraId="1EF8111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功能定位：</w:t>
      </w:r>
      <w:r>
        <w:rPr>
          <w:rFonts w:hint="eastAsia" w:ascii="宋体" w:hAnsi="宋体" w:eastAsia="宋体" w:cs="宋体"/>
          <w:color w:val="auto"/>
          <w:sz w:val="24"/>
          <w:szCs w:val="24"/>
          <w:highlight w:val="none"/>
        </w:rPr>
        <w:t>全省重要的能源、煤电化基地和钢铁生产基地，安全优质农畜产品生产加工基地</w:t>
      </w:r>
      <w:r>
        <w:rPr>
          <w:rFonts w:hint="eastAsia" w:ascii="宋体" w:hAnsi="宋体" w:eastAsia="宋体" w:cs="宋体"/>
          <w:smallCaps w:val="0"/>
          <w:color w:val="auto"/>
          <w:sz w:val="24"/>
          <w:szCs w:val="24"/>
          <w:highlight w:val="none"/>
        </w:rPr>
        <w:t>。</w:t>
      </w:r>
    </w:p>
    <w:p w14:paraId="49AA4DED">
      <w:pPr>
        <w:spacing w:line="360" w:lineRule="auto"/>
        <w:ind w:firstLine="480"/>
        <w:rPr>
          <w:rFonts w:hint="eastAsia" w:ascii="宋体" w:hAnsi="宋体" w:eastAsia="宋体" w:cs="宋体"/>
          <w:smallCaps w:val="0"/>
          <w:color w:val="auto"/>
          <w:sz w:val="24"/>
          <w:szCs w:val="24"/>
          <w:highlight w:val="none"/>
        </w:rPr>
      </w:pPr>
      <w:r>
        <w:rPr>
          <w:rFonts w:hint="eastAsia" w:ascii="宋体" w:hAnsi="宋体" w:eastAsia="宋体" w:cs="宋体"/>
          <w:color w:val="auto"/>
          <w:sz w:val="24"/>
          <w:szCs w:val="24"/>
          <w:highlight w:val="none"/>
        </w:rPr>
        <w:t>产业发展方向及布局：发展煤炭、电力、煤化工、钢铁、农畜产品加工、新建材、新能源等七大主导产业。煤化工产业重点发展煤炭气化、液化为路径的甲醇、合成氨、尿素等石化替代产业及其下游产品开发、石油和天然气的开发利用。钢铁产业重点发展优质特种钢和铸造、机械加工等产业。发展绿色食品精深加工、生物质能、生物化工、新建材、新能源等产业。</w:t>
      </w:r>
      <w:r>
        <w:rPr>
          <w:rFonts w:hint="eastAsia" w:ascii="宋体" w:hAnsi="宋体" w:eastAsia="宋体" w:cs="宋体"/>
          <w:color w:val="auto"/>
          <w:sz w:val="24"/>
          <w:szCs w:val="24"/>
          <w:highlight w:val="none"/>
          <w:lang w:eastAsia="zh-CN"/>
        </w:rPr>
        <w:t>岭东区</w:t>
      </w:r>
      <w:r>
        <w:rPr>
          <w:rFonts w:hint="eastAsia" w:ascii="宋体" w:hAnsi="宋体" w:eastAsia="宋体" w:cs="宋体"/>
          <w:color w:val="auto"/>
          <w:sz w:val="24"/>
          <w:szCs w:val="24"/>
          <w:highlight w:val="none"/>
        </w:rPr>
        <w:t>重点发展现代服务业；岭东区重点发展煤炭、煤化工、冶金、建材产业；四方台区重点发展煤炭、煤炭深加工、建材、特种物流业以及煤化工产业配套行业；宝山区重点发展煤炭、电力以及能源综合利用产业。</w:t>
      </w:r>
    </w:p>
    <w:p w14:paraId="01940D2B">
      <w:pPr>
        <w:pStyle w:val="14"/>
        <w:keepNext w:val="0"/>
        <w:keepLines w:val="0"/>
        <w:pageBreakBefore w:val="0"/>
        <w:widowControl/>
        <w:kinsoku/>
        <w:wordWrap/>
        <w:overflowPunct/>
        <w:topLinePunct w:val="0"/>
        <w:bidi w:val="0"/>
        <w:adjustRightInd w:val="0"/>
        <w:snapToGrid w:val="0"/>
        <w:spacing w:before="0" w:after="0" w:line="360" w:lineRule="auto"/>
        <w:ind w:righ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生态建设：加强水土流失预防和治理。开展重点矿区生态修复、环境治理和水资源保护，加强煤矸石、粉煤灰、钢渣等废弃物和采煤沉陷区综合治理，提高矿区土地复垦和矿井水回收利用率。</w:t>
      </w:r>
    </w:p>
    <w:p w14:paraId="0DDB105C">
      <w:pPr>
        <w:pStyle w:val="7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基础设施建设：提升城市总体功能，完善各类产业园区的外部配套基础设施，加快东部煤、粮、钢等大宗物品的仓储物流以及运输通道建设，逐步实施城市中心区扩大工程</w:t>
      </w:r>
      <w:r>
        <w:rPr>
          <w:rFonts w:hint="eastAsia" w:ascii="宋体" w:hAnsi="宋体" w:eastAsia="宋体" w:cs="宋体"/>
          <w:color w:val="auto"/>
          <w:sz w:val="24"/>
          <w:szCs w:val="24"/>
          <w:highlight w:val="none"/>
          <w:lang w:eastAsia="zh-CN"/>
        </w:rPr>
        <w:t>。</w:t>
      </w:r>
    </w:p>
    <w:p w14:paraId="6AE2F440">
      <w:pPr>
        <w:pStyle w:val="7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本工程的新建为双鸭山市城市发展建设及城市总体规划提供保障，项目的建设将改善公共基础设施与建设不协调的状况，项目的建设将解决岭东区中双石墨和新时代水泥厂企业交通出行及运输问题，解决企业实际需求，提高企业效益，促进企业生产，加速岭东区经济发展。</w:t>
      </w:r>
    </w:p>
    <w:p w14:paraId="3D0E3D26">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2.2生态功能区划</w:t>
      </w:r>
    </w:p>
    <w:p w14:paraId="426CBC3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eastAsia" w:ascii="宋体" w:hAnsi="宋体" w:eastAsia="宋体" w:cs="宋体"/>
          <w:smallCaps w:val="0"/>
          <w:color w:val="auto"/>
          <w:sz w:val="21"/>
          <w:szCs w:val="21"/>
          <w:highlight w:val="none"/>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3936365</wp:posOffset>
                </wp:positionH>
                <wp:positionV relativeFrom="paragraph">
                  <wp:posOffset>1908810</wp:posOffset>
                </wp:positionV>
                <wp:extent cx="796925" cy="381635"/>
                <wp:effectExtent l="4445" t="4445" r="17780" b="90170"/>
                <wp:wrapNone/>
                <wp:docPr id="13" name="圆角矩形标注 7"/>
                <wp:cNvGraphicFramePr/>
                <a:graphic xmlns:a="http://schemas.openxmlformats.org/drawingml/2006/main">
                  <a:graphicData uri="http://schemas.microsoft.com/office/word/2010/wordprocessingShape">
                    <wps:wsp>
                      <wps:cNvSpPr/>
                      <wps:spPr>
                        <a:xfrm>
                          <a:off x="0" y="0"/>
                          <a:ext cx="796925" cy="381635"/>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665CA8F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wps:txbx>
                      <wps:bodyPr vert="horz" wrap="square" anchor="t" anchorCtr="0" upright="1"/>
                    </wps:wsp>
                  </a:graphicData>
                </a:graphic>
              </wp:anchor>
            </w:drawing>
          </mc:Choice>
          <mc:Fallback>
            <w:pict>
              <v:shape id="圆角矩形标注 7" o:spid="_x0000_s1026" o:spt="62" type="#_x0000_t62" style="position:absolute;left:0pt;margin-left:309.95pt;margin-top:150.3pt;height:30.05pt;width:62.75pt;z-index:251670528;mso-width-relative:page;mso-height-relative:page;" fillcolor="#FFFFFF" filled="t" stroked="t" coordsize="21600,21600" o:gfxdata="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4CFlbYAAAACwEAAA8AAAAAAAAAAQAgAAAAIgAA&#10;AGRycy9kb3ducmV2LnhtbFBLAQIUABQAAAAIAIdO4kCuYotoegIAAP0EAAAOAAAAAAAAAAEAIAAA&#10;ACcBAABkcnMvZTJvRG9jLnhtbFBLBQYAAAAABgAGAFkBAAATBgAAAAA=&#10;" adj="1350,25920,14400">
                <v:fill on="t" focussize="0,0"/>
                <v:stroke color="#000000" joinstyle="miter"/>
                <v:imagedata o:title=""/>
                <o:lock v:ext="edit" aspectratio="f"/>
                <v:textbox>
                  <w:txbxContent>
                    <w:p w14:paraId="665CA8F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lang w:val="en-US" w:eastAsia="zh-CN"/>
                        </w:rPr>
                        <w:t>本项目</w:t>
                      </w:r>
                    </w:p>
                  </w:txbxContent>
                </v:textbox>
              </v:shape>
            </w:pict>
          </mc:Fallback>
        </mc:AlternateContent>
      </w:r>
      <w:r>
        <w:rPr>
          <w:rFonts w:hint="eastAsia" w:ascii="宋体" w:hAnsi="宋体" w:eastAsia="宋体" w:cs="宋体"/>
          <w:color w:val="auto"/>
          <w:sz w:val="21"/>
          <w:szCs w:val="21"/>
          <w:highlight w:val="none"/>
        </w:rPr>
        <w:drawing>
          <wp:inline distT="0" distB="0" distL="114300" distR="114300">
            <wp:extent cx="5264785" cy="3726180"/>
            <wp:effectExtent l="0" t="0" r="12065" b="762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2"/>
                    <a:stretch>
                      <a:fillRect/>
                    </a:stretch>
                  </pic:blipFill>
                  <pic:spPr>
                    <a:xfrm>
                      <a:off x="0" y="0"/>
                      <a:ext cx="5264785" cy="3726180"/>
                    </a:xfrm>
                    <a:prstGeom prst="rect">
                      <a:avLst/>
                    </a:prstGeom>
                    <a:noFill/>
                    <a:ln>
                      <a:noFill/>
                    </a:ln>
                  </pic:spPr>
                </pic:pic>
              </a:graphicData>
            </a:graphic>
          </wp:inline>
        </w:drawing>
      </w:r>
    </w:p>
    <w:p w14:paraId="4D6D5C40">
      <w:pPr>
        <w:spacing w:line="360" w:lineRule="auto"/>
        <w:ind w:firstLine="480"/>
        <w:jc w:val="center"/>
        <w:rPr>
          <w:rFonts w:hint="eastAsia" w:ascii="宋体" w:hAnsi="宋体" w:eastAsia="宋体" w:cs="宋体"/>
          <w:b/>
          <w:bCs/>
          <w:smallCaps w:val="0"/>
          <w:color w:val="auto"/>
          <w:sz w:val="21"/>
          <w:szCs w:val="21"/>
          <w:highlight w:val="none"/>
          <w:lang w:val="en-US" w:eastAsia="zh-CN"/>
        </w:rPr>
      </w:pPr>
      <w:r>
        <w:rPr>
          <w:rFonts w:hint="eastAsia" w:ascii="宋体" w:hAnsi="宋体" w:eastAsia="宋体" w:cs="宋体"/>
          <w:b/>
          <w:bCs/>
          <w:smallCaps w:val="0"/>
          <w:color w:val="auto"/>
          <w:sz w:val="21"/>
          <w:szCs w:val="21"/>
          <w:highlight w:val="none"/>
          <w:lang w:val="en-US" w:eastAsia="zh-CN"/>
        </w:rPr>
        <w:t>图2.2-1 黑龙江生态功能区划图</w:t>
      </w:r>
    </w:p>
    <w:p w14:paraId="16EA397D">
      <w:pPr>
        <w:spacing w:line="360" w:lineRule="auto"/>
        <w:ind w:firstLine="480"/>
        <w:rPr>
          <w:rFonts w:hint="eastAsia" w:ascii="宋体" w:hAnsi="宋体" w:eastAsia="宋体" w:cs="宋体"/>
          <w:smallCaps w:val="0"/>
          <w:color w:val="auto"/>
          <w:sz w:val="24"/>
          <w:szCs w:val="24"/>
          <w:highlight w:val="none"/>
        </w:rPr>
      </w:pPr>
      <w:r>
        <w:rPr>
          <w:rFonts w:hint="eastAsia" w:ascii="宋体" w:hAnsi="宋体" w:eastAsia="宋体" w:cs="宋体"/>
          <w:smallCaps w:val="0"/>
          <w:color w:val="auto"/>
          <w:sz w:val="24"/>
          <w:szCs w:val="24"/>
          <w:highlight w:val="none"/>
        </w:rPr>
        <w:t>本项目位于</w:t>
      </w:r>
      <w:r>
        <w:rPr>
          <w:rFonts w:hint="eastAsia" w:ascii="宋体" w:hAnsi="宋体" w:eastAsia="宋体" w:cs="宋体"/>
          <w:smallCaps w:val="0"/>
          <w:color w:val="auto"/>
          <w:sz w:val="24"/>
          <w:szCs w:val="24"/>
          <w:highlight w:val="none"/>
          <w:lang w:val="en-US" w:eastAsia="zh-CN"/>
        </w:rPr>
        <w:t>双鸭山市岭东区。</w:t>
      </w:r>
      <w:r>
        <w:rPr>
          <w:rFonts w:hint="eastAsia" w:ascii="宋体" w:hAnsi="宋体" w:eastAsia="宋体" w:cs="宋体"/>
          <w:smallCaps w:val="0"/>
          <w:color w:val="auto"/>
          <w:sz w:val="24"/>
          <w:szCs w:val="24"/>
          <w:highlight w:val="none"/>
        </w:rPr>
        <w:t>根据《黑龙江省生态功能区划》相关内容：项目位于“Ⅰ—3—2—3双鸭山—集贤矿业与林业、农业生态功能区”，该区主要环境问题为“矿山开采导致生态环境极为脆弱；资源超采严重；产业结构不合理，物能消耗高，产生较大的环境压力”；区域生态敏感性为“大部分地区土地沙漠化敏感性为高度敏感；土壤侵蚀敏感性为中度敏感”。该区主要生态系统服务功能为“土地沙漠化控制、土壤保持、矿、林、农业生产”。该区的保护措施与发展方向：“加大对开采迹地的恢复工作，调整产业结构，加大城市环境基础设施建设”。</w:t>
      </w:r>
    </w:p>
    <w:p w14:paraId="1F1EFAF2">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smallCaps w:val="0"/>
          <w:color w:val="auto"/>
          <w:sz w:val="24"/>
          <w:szCs w:val="24"/>
          <w:highlight w:val="none"/>
        </w:rPr>
        <w:t>本项目</w:t>
      </w:r>
      <w:r>
        <w:rPr>
          <w:rFonts w:hint="eastAsia" w:ascii="宋体" w:hAnsi="宋体" w:eastAsia="宋体" w:cs="宋体"/>
          <w:smallCaps w:val="0"/>
          <w:color w:val="auto"/>
          <w:sz w:val="24"/>
          <w:szCs w:val="24"/>
          <w:highlight w:val="none"/>
          <w:lang w:val="en-US" w:eastAsia="zh-CN"/>
        </w:rPr>
        <w:t>为</w:t>
      </w:r>
      <w:r>
        <w:rPr>
          <w:rFonts w:hint="eastAsia" w:ascii="宋体" w:hAnsi="宋体" w:eastAsia="宋体" w:cs="宋体"/>
          <w:smallCaps w:val="0"/>
          <w:color w:val="auto"/>
          <w:sz w:val="24"/>
          <w:szCs w:val="24"/>
          <w:highlight w:val="none"/>
          <w:lang w:eastAsia="zh-CN"/>
        </w:rPr>
        <w:t>双鸭山至时代公路提质改造工程，</w:t>
      </w:r>
      <w:r>
        <w:rPr>
          <w:rFonts w:hint="eastAsia" w:ascii="宋体" w:hAnsi="宋体" w:eastAsia="宋体" w:cs="宋体"/>
          <w:smallCaps w:val="0"/>
          <w:color w:val="auto"/>
          <w:sz w:val="24"/>
          <w:szCs w:val="24"/>
          <w:highlight w:val="none"/>
          <w:lang w:val="en-US" w:eastAsia="zh-CN"/>
        </w:rPr>
        <w:t>本项目的建设，对双鸭山市交通的完善、市区基础设施的建设以及城区环境的改善起到重要的作用。</w:t>
      </w:r>
    </w:p>
    <w:p w14:paraId="19781F0B">
      <w:pPr>
        <w:spacing w:line="360" w:lineRule="auto"/>
        <w:ind w:left="0" w:leftChars="0" w:firstLine="0" w:firstLineChars="0"/>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2.3 地理位置</w:t>
      </w:r>
    </w:p>
    <w:p w14:paraId="5B6D953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双鸭山市位于黑龙江省东北部，东经130°54′至134°46′与北纬46°20</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至48°52′之间，地处完达山山脉北麓低山丘陵区，北临辽阔的三江平原腹地，南面是连绵的群山，总的地势是西南高、东北低，距省会哈尔滨市460公里。东隔乌苏里江与俄罗斯哈巴罗夫斯克比金市相望，南与虎林、密山、桦南县毗邻，西与佳木斯市、七台河市相连，北与富锦市、同江市、抚远市、桦川县接壤。市区坐落在完达山麓、安邦河畔。市域总面积21897.2平方公里。</w:t>
      </w:r>
    </w:p>
    <w:p w14:paraId="5E3D9908">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拟建于岭东区，工程起点为双鸭山至时代公路钢铁桥桥尾，终点与水泥厂水泥混凝土硬化路相接。工程起点坐标：东经131.070026°，北纬46.595474°，终点坐标东经131.048637°北纬46.59876450°呈东西走向。全长2125m。</w:t>
      </w:r>
    </w:p>
    <w:p w14:paraId="1B556E5C">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2.4地形地貌</w:t>
      </w:r>
    </w:p>
    <w:p w14:paraId="3C80FBF8">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双鸭山市地处完达山脉北麓的低山丘陵区，属古老山地，坡度平缓、山头低矮，山上泥土肥厚，生长着阔叶和针阔叶混交林。境内地势西南高、东北低，平均海拔450米。市境南部为山地，西南部海拔在500至600米左右，只有七星砬子和十二道坝南山分别高达852米和755米，切割深度在200至400米之间，属低山区。随山地走向成西东、南北山谷共45条，较大的山谷4条。市区的北部为丘陵地带，地面波状起伏，独立小山较多，海拔除双鸭山406米、大山426米外，其他均在200至300米左右，切割深度多在数十米至百米不等，北部最低海拔108米，成东西长形地带。山脉主要分布在市区南部，全市共有大小山头101个，主要展布在北、南、东北和西北方向，均属完达山脉分水岗南北延伸的支脉。有5条河流蜿蜒其间，大体为八山半水、一丹半田。</w:t>
      </w:r>
    </w:p>
    <w:p w14:paraId="30DA84F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双鸭山至时代公路提质改造工程位于双鸭山西北部，为山岭微丘地带类型，其路线基本走向由东北向西南。原地势起伏不大。</w:t>
      </w:r>
    </w:p>
    <w:p w14:paraId="08441F12">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2.5 地表水</w:t>
      </w:r>
    </w:p>
    <w:p w14:paraId="44B69FC2">
      <w:pPr>
        <w:pStyle w:val="7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双鸭山市境内有大小河流百条，大都属于老龄期河道，河床窄小，无自然湖泊，主要河流有安邦河、二道河、小黄河、（外）七星河、挠力河。安邦河属于松花江水系，由南向北注入松花江；二道河、小黄河、七星河、挠力河属于乌苏里江水系，由西向东流入乌苏里江。</w:t>
      </w:r>
    </w:p>
    <w:p w14:paraId="01E45219">
      <w:pPr>
        <w:pStyle w:val="7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本工程沿线河流主要有马蹄河，并有许多小支流河渠纵横交错。</w:t>
      </w:r>
    </w:p>
    <w:p w14:paraId="4166F151">
      <w:pPr>
        <w:pStyle w:val="7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全线属松花江水系，洪水多集中在每年7~8月份。其路线处于山区，路线多以沿溪为主，山区河流形成洪水时间短，来势凶猛、破坏性较大，河滩相对较稳定。</w:t>
      </w:r>
    </w:p>
    <w:p w14:paraId="6658AE34">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流域内径流主要受降雨支配，多年平均降水量为490.9mm，在我省属中等降水区。夏季雨量较充沛，降雨多发生在7、8月份，夏秋两季降水量占全年降水的80%以上，极易形成暴雨洪灾，属雨洪型河流，冬季枯水多雪，春季降水较少，约占全年的10%。故本项目设计流量，采用暴雨洪水流量。本项目均无水文观测资料。</w:t>
      </w:r>
    </w:p>
    <w:p w14:paraId="6E5C6F1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项目区域内地形起伏变化较大，地貌单元为丘陵漫岗及阶地和漫滩。新构造运动自晚更新世以来始终处于以沉降为主的相对稳定阶段。河床下多为低液限粉、粘土或砾、砂层；4米以下多为风化岩层。</w:t>
      </w:r>
    </w:p>
    <w:p w14:paraId="7F725A0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2.6气候气象</w:t>
      </w:r>
    </w:p>
    <w:p w14:paraId="5566376D">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双鸭山市属中温带大陆季风气候。受极地大陆气团和季风的影响，四季分明，冬季寒冷干燥，夏季短且温热多雨。由于季风交替，春秋两季短暂，气候变化急剧，年温差较大。年平均气温3.3℃，最高气温为35.4℃，最低气温为-35.6℃；极端最高气温38.5℃，出现在6月份；极端最低气温-37.1℃，出现在1月份。年平均降雨量为540mm，降雨期集中在7-8月份；多年平均风速4.3m/s，最大风速34m/s，主导风向为SW；多年平均降水量为523.4mm，主要集中在7、8月份，约占全年的44%，最大降水量为873mm，最小为336mm。年平均日照在1897.2h，无霜期平均147d，最大冻深228cm。年积温2718℃，年日照约2617h。最大冻土深度为2m左右。多年平均蒸发量1290mm（20cm蒸发皿）。日照平均时数2605h，年平均气压1001.9Pa，冬季高，夏季低，无霜期147d。</w:t>
      </w:r>
    </w:p>
    <w:p w14:paraId="29592755">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项目所在地区属于寒温带大陆性季风气候区，冬季漫长而严寒，夏季炎热而短促，气温差异较大，年平均气温2.4℃，最高气温34℃，最低气温-32℃，平均湿度70%，最大土壤冻深2.50m，年冻结日数平均148天，一般始于11月中旬，终于翌年4月中下旬，年平均降雨量564mm，蒸发量1057.2～1226.2mm。冬季主要风向为西北风及西风，冬季最大风速28m/s。</w:t>
      </w:r>
    </w:p>
    <w:p w14:paraId="69E3FBF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yellow"/>
          <w:lang w:val="en-US" w:eastAsia="zh-CN"/>
        </w:rPr>
      </w:pPr>
      <w:r>
        <w:rPr>
          <w:rFonts w:hint="eastAsia" w:ascii="宋体" w:hAnsi="宋体" w:eastAsia="宋体" w:cs="宋体"/>
          <w:b/>
          <w:bCs/>
          <w:sz w:val="24"/>
          <w:szCs w:val="21"/>
          <w:highlight w:val="yellow"/>
          <w:lang w:val="en-US" w:eastAsia="zh-CN"/>
        </w:rPr>
        <w:t xml:space="preserve">2.7 土地利用现状 </w:t>
      </w:r>
    </w:p>
    <w:p w14:paraId="66070B7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yellow"/>
          <w:lang w:val="en-US" w:eastAsia="zh-CN"/>
        </w:rPr>
      </w:pPr>
      <w:r>
        <w:rPr>
          <w:rFonts w:hint="eastAsia" w:ascii="宋体" w:hAnsi="宋体" w:eastAsia="宋体" w:cs="宋体"/>
          <w:sz w:val="24"/>
          <w:szCs w:val="21"/>
          <w:highlight w:val="yellow"/>
          <w:lang w:val="en-US" w:eastAsia="zh-CN"/>
        </w:rPr>
        <w:t>2.7.1永久占地</w:t>
      </w:r>
    </w:p>
    <w:p w14:paraId="5E7F4E7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mallCaps w:val="0"/>
          <w:color w:val="auto"/>
          <w:sz w:val="24"/>
          <w:szCs w:val="24"/>
          <w:highlight w:val="yellow"/>
          <w:vertAlign w:val="baseline"/>
          <w:lang w:val="en-US" w:eastAsia="zh-CN"/>
        </w:rPr>
      </w:pPr>
      <w:r>
        <w:rPr>
          <w:rFonts w:hint="eastAsia" w:ascii="宋体" w:hAnsi="宋体" w:eastAsia="宋体" w:cs="宋体"/>
          <w:smallCaps w:val="0"/>
          <w:color w:val="auto"/>
          <w:sz w:val="24"/>
          <w:szCs w:val="24"/>
          <w:highlight w:val="yellow"/>
          <w:vertAlign w:val="baseline"/>
          <w:lang w:val="en-US" w:eastAsia="zh-CN"/>
        </w:rPr>
        <w:t>永久占地32055.8m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，其中包括道路改造占地面积21250m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；弯道特殊路段加宽占地面积6565m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；边沟工程占地面积4197.6m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；路基永久防护墙占地面积43.2m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。占地中公路用地3.2012公顷、耕地0.00438公顷，本项目利用土地现状进行改建，不涉及砍伐。</w:t>
      </w:r>
    </w:p>
    <w:p w14:paraId="3F37EDB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smallCaps w:val="0"/>
          <w:color w:val="auto"/>
          <w:sz w:val="24"/>
          <w:szCs w:val="24"/>
          <w:highlight w:val="yellow"/>
          <w:vertAlign w:val="baseline"/>
          <w:lang w:val="en-US" w:eastAsia="zh-CN"/>
        </w:rPr>
      </w:pPr>
      <w:r>
        <w:rPr>
          <w:rFonts w:hint="eastAsia" w:ascii="宋体" w:hAnsi="宋体" w:eastAsia="宋体" w:cs="宋体"/>
          <w:highlight w:val="yellow"/>
        </w:rPr>
        <w:drawing>
          <wp:inline distT="0" distB="0" distL="114300" distR="114300">
            <wp:extent cx="5269865" cy="3712210"/>
            <wp:effectExtent l="0" t="0" r="6985" b="2540"/>
            <wp:docPr id="15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4"/>
                    <pic:cNvPicPr>
                      <a:picLocks noChangeAspect="1"/>
                    </pic:cNvPicPr>
                  </pic:nvPicPr>
                  <pic:blipFill>
                    <a:blip r:embed="rId92"/>
                    <a:stretch>
                      <a:fillRect/>
                    </a:stretch>
                  </pic:blipFill>
                  <pic:spPr>
                    <a:xfrm>
                      <a:off x="0" y="0"/>
                      <a:ext cx="5269865" cy="3712210"/>
                    </a:xfrm>
                    <a:prstGeom prst="rect">
                      <a:avLst/>
                    </a:prstGeom>
                    <a:noFill/>
                    <a:ln>
                      <a:noFill/>
                    </a:ln>
                  </pic:spPr>
                </pic:pic>
              </a:graphicData>
            </a:graphic>
          </wp:inline>
        </w:drawing>
      </w:r>
    </w:p>
    <w:p w14:paraId="64B9CA4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b/>
          <w:bCs/>
          <w:smallCaps w:val="0"/>
          <w:color w:val="auto"/>
          <w:sz w:val="21"/>
          <w:szCs w:val="21"/>
          <w:highlight w:val="yellow"/>
          <w:vertAlign w:val="baseline"/>
          <w:lang w:val="en-US" w:eastAsia="zh-CN"/>
        </w:rPr>
      </w:pPr>
      <w:r>
        <w:rPr>
          <w:rFonts w:hint="eastAsia" w:ascii="宋体" w:hAnsi="宋体" w:eastAsia="宋体" w:cs="宋体"/>
          <w:b/>
          <w:bCs/>
          <w:smallCaps w:val="0"/>
          <w:color w:val="auto"/>
          <w:sz w:val="21"/>
          <w:szCs w:val="21"/>
          <w:highlight w:val="yellow"/>
          <w:vertAlign w:val="baseline"/>
          <w:lang w:val="en-US" w:eastAsia="zh-CN"/>
        </w:rPr>
        <w:t>图2.7-1 本项目土地利用现状图</w:t>
      </w:r>
    </w:p>
    <w:p w14:paraId="6865DE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sz w:val="21"/>
          <w:szCs w:val="21"/>
          <w:highlight w:val="yellow"/>
        </w:rPr>
      </w:pPr>
      <w:r>
        <w:rPr>
          <w:rFonts w:hint="eastAsia" w:ascii="宋体" w:hAnsi="宋体" w:eastAsia="宋体" w:cs="宋体"/>
          <w:b/>
          <w:sz w:val="21"/>
          <w:szCs w:val="21"/>
          <w:highlight w:val="yellow"/>
        </w:rPr>
        <w:t>表</w:t>
      </w:r>
      <w:r>
        <w:rPr>
          <w:rFonts w:hint="eastAsia" w:ascii="宋体" w:hAnsi="宋体" w:eastAsia="宋体" w:cs="宋体"/>
          <w:b/>
          <w:sz w:val="21"/>
          <w:szCs w:val="21"/>
          <w:highlight w:val="yellow"/>
          <w:lang w:val="en-US" w:eastAsia="zh-CN"/>
        </w:rPr>
        <w:t>2.7-1</w:t>
      </w:r>
      <w:r>
        <w:rPr>
          <w:rFonts w:hint="eastAsia" w:ascii="宋体" w:hAnsi="宋体" w:eastAsia="宋体" w:cs="宋体"/>
          <w:b/>
          <w:sz w:val="21"/>
          <w:szCs w:val="21"/>
          <w:highlight w:val="yellow"/>
        </w:rPr>
        <w:t xml:space="preserve">   项目永久占用土地数量表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689"/>
        <w:gridCol w:w="2967"/>
        <w:gridCol w:w="2647"/>
      </w:tblGrid>
      <w:tr w14:paraId="18191A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12" w:space="0"/>
              <w:bottom w:val="single" w:color="auto" w:sz="4" w:space="0"/>
              <w:right w:val="single" w:color="auto" w:sz="4" w:space="0"/>
            </w:tcBorders>
            <w:noWrap w:val="0"/>
            <w:vAlign w:val="center"/>
          </w:tcPr>
          <w:p w14:paraId="0811E1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种类</w:t>
            </w:r>
          </w:p>
        </w:tc>
        <w:tc>
          <w:tcPr>
            <w:tcW w:w="1786" w:type="pct"/>
            <w:tcBorders>
              <w:top w:val="single" w:color="auto" w:sz="12" w:space="0"/>
              <w:left w:val="single" w:color="auto" w:sz="4" w:space="0"/>
              <w:bottom w:val="single" w:color="auto" w:sz="4" w:space="0"/>
              <w:right w:val="single" w:color="auto" w:sz="4" w:space="0"/>
            </w:tcBorders>
            <w:noWrap w:val="0"/>
            <w:vAlign w:val="center"/>
          </w:tcPr>
          <w:p w14:paraId="62AADC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占地数量（h</w:t>
            </w:r>
            <w:r>
              <w:rPr>
                <w:rFonts w:hint="eastAsia" w:ascii="宋体" w:hAnsi="宋体" w:eastAsia="宋体" w:cs="宋体"/>
                <w:snapToGrid w:val="0"/>
                <w:kern w:val="0"/>
                <w:sz w:val="21"/>
                <w:szCs w:val="21"/>
                <w:highlight w:val="yellow"/>
              </w:rPr>
              <w:t>m</w:t>
            </w:r>
            <w:r>
              <w:rPr>
                <w:rFonts w:hint="eastAsia" w:ascii="宋体" w:hAnsi="宋体" w:eastAsia="宋体" w:cs="宋体"/>
                <w:snapToGrid w:val="0"/>
                <w:kern w:val="0"/>
                <w:sz w:val="21"/>
                <w:szCs w:val="21"/>
                <w:highlight w:val="yellow"/>
                <w:vertAlign w:val="superscript"/>
              </w:rPr>
              <w:t>2</w:t>
            </w:r>
            <w:r>
              <w:rPr>
                <w:rFonts w:hint="eastAsia" w:ascii="宋体" w:hAnsi="宋体" w:eastAsia="宋体" w:cs="宋体"/>
                <w:sz w:val="21"/>
                <w:szCs w:val="21"/>
                <w:highlight w:val="yellow"/>
              </w:rPr>
              <w:t>）</w:t>
            </w:r>
          </w:p>
        </w:tc>
        <w:tc>
          <w:tcPr>
            <w:tcW w:w="1593" w:type="pct"/>
            <w:tcBorders>
              <w:top w:val="single" w:color="auto" w:sz="12" w:space="0"/>
              <w:left w:val="single" w:color="auto" w:sz="4" w:space="0"/>
              <w:bottom w:val="single" w:color="auto" w:sz="4" w:space="0"/>
              <w:right w:val="nil"/>
            </w:tcBorders>
            <w:noWrap w:val="0"/>
            <w:vAlign w:val="center"/>
          </w:tcPr>
          <w:p w14:paraId="70134D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比例（%）</w:t>
            </w:r>
          </w:p>
        </w:tc>
      </w:tr>
      <w:tr w14:paraId="75CDC4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4" w:space="0"/>
              <w:bottom w:val="single" w:color="auto" w:sz="6" w:space="0"/>
              <w:right w:val="single" w:color="auto" w:sz="4" w:space="0"/>
            </w:tcBorders>
            <w:noWrap w:val="0"/>
            <w:vAlign w:val="center"/>
          </w:tcPr>
          <w:p w14:paraId="5C6E6C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eastAsia="zh-CN"/>
              </w:rPr>
            </w:pPr>
            <w:r>
              <w:rPr>
                <w:rFonts w:hint="eastAsia" w:ascii="宋体" w:hAnsi="宋体" w:eastAsia="宋体" w:cs="宋体"/>
                <w:sz w:val="21"/>
                <w:szCs w:val="21"/>
                <w:highlight w:val="yellow"/>
                <w:lang w:val="en-US" w:eastAsia="zh-CN"/>
              </w:rPr>
              <w:t>耕地</w:t>
            </w:r>
          </w:p>
        </w:tc>
        <w:tc>
          <w:tcPr>
            <w:tcW w:w="1786" w:type="pct"/>
            <w:tcBorders>
              <w:top w:val="single" w:color="auto" w:sz="4" w:space="0"/>
              <w:left w:val="single" w:color="auto" w:sz="4" w:space="0"/>
              <w:bottom w:val="single" w:color="auto" w:sz="6" w:space="0"/>
              <w:right w:val="single" w:color="auto" w:sz="4" w:space="0"/>
            </w:tcBorders>
            <w:noWrap w:val="0"/>
            <w:vAlign w:val="center"/>
          </w:tcPr>
          <w:p w14:paraId="275839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0.00438</w:t>
            </w:r>
          </w:p>
        </w:tc>
        <w:tc>
          <w:tcPr>
            <w:tcW w:w="1593" w:type="pct"/>
            <w:tcBorders>
              <w:top w:val="single" w:color="auto" w:sz="4" w:space="0"/>
              <w:left w:val="single" w:color="auto" w:sz="4" w:space="0"/>
              <w:bottom w:val="single" w:color="auto" w:sz="6" w:space="0"/>
              <w:right w:val="nil"/>
            </w:tcBorders>
            <w:noWrap w:val="0"/>
            <w:vAlign w:val="center"/>
          </w:tcPr>
          <w:p w14:paraId="1A6F60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eastAsia" w:ascii="宋体" w:hAnsi="宋体" w:eastAsia="宋体" w:cs="宋体"/>
                <w:sz w:val="21"/>
                <w:szCs w:val="21"/>
                <w:highlight w:val="yellow"/>
                <w:lang w:val="en-US"/>
              </w:rPr>
            </w:pPr>
            <w:r>
              <w:rPr>
                <w:rFonts w:hint="eastAsia" w:ascii="宋体" w:hAnsi="宋体" w:eastAsia="宋体" w:cs="宋体"/>
                <w:i w:val="0"/>
                <w:iCs w:val="0"/>
                <w:color w:val="000000"/>
                <w:kern w:val="0"/>
                <w:sz w:val="21"/>
                <w:szCs w:val="21"/>
                <w:highlight w:val="yellow"/>
                <w:u w:val="none"/>
                <w:lang w:val="en-US" w:eastAsia="zh-CN" w:bidi="ar"/>
              </w:rPr>
              <w:t>0.14</w:t>
            </w:r>
          </w:p>
        </w:tc>
      </w:tr>
      <w:tr w14:paraId="21217D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6" w:space="0"/>
              <w:bottom w:val="single" w:color="auto" w:sz="6" w:space="0"/>
              <w:right w:val="single" w:color="auto" w:sz="4" w:space="0"/>
            </w:tcBorders>
            <w:noWrap w:val="0"/>
            <w:vAlign w:val="center"/>
          </w:tcPr>
          <w:p w14:paraId="2323A2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公路用地</w:t>
            </w:r>
          </w:p>
        </w:tc>
        <w:tc>
          <w:tcPr>
            <w:tcW w:w="1786" w:type="pct"/>
            <w:tcBorders>
              <w:top w:val="single" w:color="auto" w:sz="6" w:space="0"/>
              <w:left w:val="single" w:color="auto" w:sz="4" w:space="0"/>
              <w:bottom w:val="single" w:color="auto" w:sz="6" w:space="0"/>
              <w:right w:val="single" w:color="auto" w:sz="4" w:space="0"/>
            </w:tcBorders>
            <w:noWrap w:val="0"/>
            <w:vAlign w:val="center"/>
          </w:tcPr>
          <w:p w14:paraId="04C056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3.2012</w:t>
            </w:r>
          </w:p>
        </w:tc>
        <w:tc>
          <w:tcPr>
            <w:tcW w:w="1593" w:type="pct"/>
            <w:tcBorders>
              <w:top w:val="single" w:color="auto" w:sz="6" w:space="0"/>
              <w:left w:val="single" w:color="auto" w:sz="4" w:space="0"/>
              <w:bottom w:val="single" w:color="auto" w:sz="6" w:space="0"/>
              <w:right w:val="nil"/>
            </w:tcBorders>
            <w:noWrap w:val="0"/>
            <w:vAlign w:val="center"/>
          </w:tcPr>
          <w:p w14:paraId="43FF58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eastAsia" w:ascii="宋体" w:hAnsi="宋体" w:eastAsia="宋体" w:cs="宋体"/>
                <w:sz w:val="21"/>
                <w:szCs w:val="21"/>
                <w:highlight w:val="yellow"/>
                <w:lang w:val="en-US"/>
              </w:rPr>
            </w:pPr>
            <w:r>
              <w:rPr>
                <w:rFonts w:hint="eastAsia" w:ascii="宋体" w:hAnsi="宋体" w:eastAsia="宋体" w:cs="宋体"/>
                <w:i w:val="0"/>
                <w:iCs w:val="0"/>
                <w:color w:val="000000"/>
                <w:kern w:val="0"/>
                <w:sz w:val="21"/>
                <w:szCs w:val="21"/>
                <w:highlight w:val="yellow"/>
                <w:u w:val="none"/>
                <w:lang w:val="en-US" w:eastAsia="zh-CN" w:bidi="ar"/>
              </w:rPr>
              <w:t>99.86</w:t>
            </w:r>
          </w:p>
        </w:tc>
      </w:tr>
      <w:tr w14:paraId="29D5AE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6" w:space="0"/>
              <w:bottom w:val="single" w:color="auto" w:sz="12" w:space="0"/>
              <w:right w:val="single" w:color="auto" w:sz="4" w:space="0"/>
            </w:tcBorders>
            <w:noWrap w:val="0"/>
            <w:vAlign w:val="center"/>
          </w:tcPr>
          <w:p w14:paraId="19296B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合计</w:t>
            </w:r>
          </w:p>
        </w:tc>
        <w:tc>
          <w:tcPr>
            <w:tcW w:w="1786" w:type="pct"/>
            <w:tcBorders>
              <w:top w:val="single" w:color="auto" w:sz="6" w:space="0"/>
              <w:left w:val="single" w:color="auto" w:sz="4" w:space="0"/>
              <w:bottom w:val="single" w:color="auto" w:sz="12" w:space="0"/>
              <w:right w:val="single" w:color="auto" w:sz="4" w:space="0"/>
            </w:tcBorders>
            <w:noWrap w:val="0"/>
            <w:vAlign w:val="center"/>
          </w:tcPr>
          <w:p w14:paraId="0610C7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rPr>
            </w:pPr>
            <w:r>
              <w:rPr>
                <w:rFonts w:hint="eastAsia" w:ascii="宋体" w:hAnsi="宋体" w:eastAsia="宋体" w:cs="宋体"/>
                <w:smallCaps w:val="0"/>
                <w:color w:val="auto"/>
                <w:sz w:val="21"/>
                <w:szCs w:val="21"/>
                <w:highlight w:val="yellow"/>
                <w:vertAlign w:val="baseline"/>
                <w:lang w:val="en-US" w:eastAsia="zh-CN"/>
              </w:rPr>
              <w:t>3.20558</w:t>
            </w:r>
          </w:p>
        </w:tc>
        <w:tc>
          <w:tcPr>
            <w:tcW w:w="1593" w:type="pct"/>
            <w:tcBorders>
              <w:top w:val="single" w:color="auto" w:sz="6" w:space="0"/>
              <w:left w:val="single" w:color="auto" w:sz="4" w:space="0"/>
              <w:bottom w:val="single" w:color="auto" w:sz="12" w:space="0"/>
              <w:right w:val="nil"/>
            </w:tcBorders>
            <w:noWrap w:val="0"/>
            <w:vAlign w:val="center"/>
          </w:tcPr>
          <w:p w14:paraId="0A558D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100</w:t>
            </w:r>
          </w:p>
        </w:tc>
      </w:tr>
    </w:tbl>
    <w:p w14:paraId="037D5D4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yellow"/>
          <w:lang w:val="en-US" w:eastAsia="zh-CN"/>
        </w:rPr>
      </w:pPr>
      <w:r>
        <w:rPr>
          <w:rFonts w:hint="eastAsia" w:ascii="宋体" w:hAnsi="宋体" w:eastAsia="宋体" w:cs="宋体"/>
          <w:sz w:val="24"/>
          <w:szCs w:val="21"/>
          <w:highlight w:val="yellow"/>
          <w:lang w:val="en-US" w:eastAsia="zh-CN"/>
        </w:rPr>
        <w:t>2.7.2 临时占地</w:t>
      </w:r>
    </w:p>
    <w:p w14:paraId="6F8F232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Cs/>
          <w:smallCaps w:val="0"/>
          <w:color w:val="auto"/>
          <w:sz w:val="24"/>
          <w:szCs w:val="24"/>
          <w:highlight w:val="yellow"/>
          <w:lang w:val="en-US" w:eastAsia="zh-CN"/>
        </w:rPr>
      </w:pPr>
      <w:r>
        <w:rPr>
          <w:rFonts w:hint="eastAsia" w:ascii="宋体" w:hAnsi="宋体" w:eastAsia="宋体" w:cs="宋体"/>
          <w:bCs/>
          <w:smallCaps w:val="0"/>
          <w:color w:val="auto"/>
          <w:sz w:val="24"/>
          <w:szCs w:val="24"/>
          <w:highlight w:val="yellow"/>
          <w:lang w:val="en-US" w:eastAsia="zh-CN"/>
        </w:rPr>
        <w:t>本项目临时占地</w:t>
      </w:r>
      <w:r>
        <w:rPr>
          <w:rFonts w:hint="eastAsia" w:ascii="宋体" w:hAnsi="宋体" w:eastAsia="宋体" w:cs="宋体"/>
          <w:smallCaps w:val="0"/>
          <w:color w:val="auto"/>
          <w:kern w:val="0"/>
          <w:sz w:val="24"/>
          <w:szCs w:val="28"/>
          <w:highlight w:val="yellow"/>
          <w:lang w:val="en-US" w:eastAsia="zh-CN"/>
        </w:rPr>
        <w:t>5808.2m</w:t>
      </w:r>
      <w:r>
        <w:rPr>
          <w:rFonts w:hint="eastAsia" w:ascii="宋体" w:hAnsi="宋体" w:eastAsia="宋体" w:cs="宋体"/>
          <w:smallCaps w:val="0"/>
          <w:color w:val="auto"/>
          <w:kern w:val="0"/>
          <w:sz w:val="24"/>
          <w:szCs w:val="28"/>
          <w:highlight w:val="yellow"/>
          <w:vertAlign w:val="superscript"/>
          <w:lang w:val="en-US" w:eastAsia="zh-CN"/>
        </w:rPr>
        <w:t>2</w:t>
      </w:r>
      <w:r>
        <w:rPr>
          <w:rFonts w:hint="eastAsia" w:ascii="宋体" w:hAnsi="宋体" w:eastAsia="宋体" w:cs="宋体"/>
          <w:bCs/>
          <w:smallCaps w:val="0"/>
          <w:color w:val="auto"/>
          <w:sz w:val="24"/>
          <w:szCs w:val="24"/>
          <w:highlight w:val="yellow"/>
          <w:lang w:val="en-US" w:eastAsia="zh-CN"/>
        </w:rPr>
        <w:t>，</w:t>
      </w:r>
      <w:r>
        <w:rPr>
          <w:rFonts w:hint="eastAsia" w:ascii="宋体" w:hAnsi="宋体" w:eastAsia="宋体" w:cs="宋体"/>
          <w:smallCaps w:val="0"/>
          <w:color w:val="auto"/>
          <w:sz w:val="24"/>
          <w:szCs w:val="24"/>
          <w:highlight w:val="yellow"/>
          <w:vertAlign w:val="baseline"/>
          <w:lang w:val="en-US" w:eastAsia="zh-CN"/>
        </w:rPr>
        <w:t>其中包括临时施工工场占地面积2131m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；临时弃渣场占地面积1897.2m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；临时表土堆场占地面积500m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；临时施工便道占地面积1280m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w:t>
      </w:r>
      <w:r>
        <w:rPr>
          <w:rFonts w:hint="eastAsia" w:ascii="宋体" w:hAnsi="宋体" w:eastAsia="宋体" w:cs="宋体"/>
          <w:bCs/>
          <w:smallCaps w:val="0"/>
          <w:color w:val="auto"/>
          <w:sz w:val="24"/>
          <w:szCs w:val="24"/>
          <w:highlight w:val="yellow"/>
          <w:lang w:val="en-US" w:eastAsia="zh-CN"/>
        </w:rPr>
        <w:t>主要占地类型为闲置荒废耕地、建设用地和未利用地。主要为施工工场和临时弃渣场，占地类型为建设用地、未利用地，施工结束后均恢复为原地貌，临时占地原有植被为荒草。主要地表植被为羊草、星星草。</w:t>
      </w:r>
    </w:p>
    <w:p w14:paraId="53FBDB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sz w:val="21"/>
          <w:szCs w:val="21"/>
          <w:highlight w:val="yellow"/>
        </w:rPr>
      </w:pPr>
      <w:r>
        <w:rPr>
          <w:rFonts w:hint="eastAsia" w:ascii="宋体" w:hAnsi="宋体" w:eastAsia="宋体" w:cs="宋体"/>
          <w:b/>
          <w:sz w:val="21"/>
          <w:szCs w:val="21"/>
          <w:highlight w:val="yellow"/>
        </w:rPr>
        <w:t>表</w:t>
      </w:r>
      <w:r>
        <w:rPr>
          <w:rFonts w:hint="eastAsia" w:ascii="宋体" w:hAnsi="宋体" w:eastAsia="宋体" w:cs="宋体"/>
          <w:b/>
          <w:sz w:val="21"/>
          <w:szCs w:val="21"/>
          <w:highlight w:val="yellow"/>
          <w:lang w:val="en-US" w:eastAsia="zh-CN"/>
        </w:rPr>
        <w:t>2.7-2</w:t>
      </w:r>
      <w:r>
        <w:rPr>
          <w:rFonts w:hint="eastAsia" w:ascii="宋体" w:hAnsi="宋体" w:eastAsia="宋体" w:cs="宋体"/>
          <w:b/>
          <w:sz w:val="21"/>
          <w:szCs w:val="21"/>
          <w:highlight w:val="yellow"/>
        </w:rPr>
        <w:t xml:space="preserve">    项目临时占用土地数量表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689"/>
        <w:gridCol w:w="2967"/>
        <w:gridCol w:w="2647"/>
      </w:tblGrid>
      <w:tr w14:paraId="7AC833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454" w:hRule="atLeast"/>
          <w:jc w:val="center"/>
        </w:trPr>
        <w:tc>
          <w:tcPr>
            <w:tcW w:w="1619" w:type="pct"/>
            <w:tcBorders>
              <w:top w:val="single" w:color="auto" w:sz="12" w:space="0"/>
              <w:bottom w:val="single" w:color="auto" w:sz="8" w:space="0"/>
              <w:right w:val="single" w:color="auto" w:sz="4" w:space="0"/>
            </w:tcBorders>
            <w:noWrap w:val="0"/>
            <w:vAlign w:val="center"/>
          </w:tcPr>
          <w:p w14:paraId="3357B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种类</w:t>
            </w:r>
          </w:p>
        </w:tc>
        <w:tc>
          <w:tcPr>
            <w:tcW w:w="1786" w:type="pct"/>
            <w:tcBorders>
              <w:top w:val="single" w:color="auto" w:sz="12" w:space="0"/>
              <w:left w:val="single" w:color="auto" w:sz="4" w:space="0"/>
              <w:bottom w:val="single" w:color="auto" w:sz="8" w:space="0"/>
              <w:right w:val="single" w:color="auto" w:sz="4" w:space="0"/>
            </w:tcBorders>
            <w:noWrap w:val="0"/>
            <w:vAlign w:val="center"/>
          </w:tcPr>
          <w:p w14:paraId="134A07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占地数量（h</w:t>
            </w:r>
            <w:r>
              <w:rPr>
                <w:rFonts w:hint="eastAsia" w:ascii="宋体" w:hAnsi="宋体" w:eastAsia="宋体" w:cs="宋体"/>
                <w:snapToGrid w:val="0"/>
                <w:kern w:val="0"/>
                <w:sz w:val="21"/>
                <w:szCs w:val="21"/>
                <w:highlight w:val="yellow"/>
              </w:rPr>
              <w:t>m</w:t>
            </w:r>
            <w:r>
              <w:rPr>
                <w:rFonts w:hint="eastAsia" w:ascii="宋体" w:hAnsi="宋体" w:eastAsia="宋体" w:cs="宋体"/>
                <w:snapToGrid w:val="0"/>
                <w:kern w:val="0"/>
                <w:sz w:val="21"/>
                <w:szCs w:val="21"/>
                <w:highlight w:val="yellow"/>
                <w:vertAlign w:val="superscript"/>
              </w:rPr>
              <w:t>2</w:t>
            </w:r>
            <w:r>
              <w:rPr>
                <w:rFonts w:hint="eastAsia" w:ascii="宋体" w:hAnsi="宋体" w:eastAsia="宋体" w:cs="宋体"/>
                <w:sz w:val="21"/>
                <w:szCs w:val="21"/>
                <w:highlight w:val="yellow"/>
              </w:rPr>
              <w:t>）</w:t>
            </w:r>
          </w:p>
        </w:tc>
        <w:tc>
          <w:tcPr>
            <w:tcW w:w="1593" w:type="pct"/>
            <w:tcBorders>
              <w:top w:val="single" w:color="auto" w:sz="12" w:space="0"/>
              <w:left w:val="single" w:color="auto" w:sz="4" w:space="0"/>
              <w:bottom w:val="single" w:color="auto" w:sz="8" w:space="0"/>
              <w:right w:val="nil"/>
            </w:tcBorders>
            <w:noWrap w:val="0"/>
            <w:vAlign w:val="center"/>
          </w:tcPr>
          <w:p w14:paraId="44C532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比例（%）</w:t>
            </w:r>
          </w:p>
        </w:tc>
      </w:tr>
      <w:tr w14:paraId="6B30FC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8" w:space="0"/>
              <w:bottom w:val="single" w:color="auto" w:sz="8" w:space="0"/>
              <w:right w:val="single" w:color="auto" w:sz="4" w:space="0"/>
            </w:tcBorders>
            <w:noWrap w:val="0"/>
            <w:vAlign w:val="center"/>
          </w:tcPr>
          <w:p w14:paraId="21B76B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en-US" w:eastAsia="zh-CN"/>
              </w:rPr>
              <w:t>耕地</w:t>
            </w:r>
          </w:p>
        </w:tc>
        <w:tc>
          <w:tcPr>
            <w:tcW w:w="1786" w:type="pct"/>
            <w:tcBorders>
              <w:top w:val="single" w:color="auto" w:sz="8" w:space="0"/>
              <w:left w:val="single" w:color="auto" w:sz="4" w:space="0"/>
              <w:bottom w:val="single" w:color="auto" w:sz="8" w:space="0"/>
              <w:right w:val="single" w:color="auto" w:sz="4" w:space="0"/>
            </w:tcBorders>
            <w:noWrap w:val="0"/>
            <w:vAlign w:val="center"/>
          </w:tcPr>
          <w:p w14:paraId="385B31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rPr>
            </w:pPr>
            <w:r>
              <w:rPr>
                <w:rFonts w:hint="eastAsia" w:ascii="宋体" w:hAnsi="宋体" w:eastAsia="宋体" w:cs="宋体"/>
                <w:sz w:val="21"/>
                <w:szCs w:val="21"/>
                <w:highlight w:val="yellow"/>
                <w:lang w:val="en-US" w:eastAsia="zh-CN"/>
              </w:rPr>
              <w:t>0.38592</w:t>
            </w:r>
          </w:p>
        </w:tc>
        <w:tc>
          <w:tcPr>
            <w:tcW w:w="1593" w:type="pct"/>
            <w:tcBorders>
              <w:top w:val="single" w:color="auto" w:sz="8" w:space="0"/>
              <w:left w:val="single" w:color="auto" w:sz="4" w:space="0"/>
              <w:bottom w:val="single" w:color="auto" w:sz="8" w:space="0"/>
              <w:right w:val="nil"/>
            </w:tcBorders>
            <w:noWrap w:val="0"/>
            <w:vAlign w:val="bottom"/>
          </w:tcPr>
          <w:p w14:paraId="6F2323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66.45</w:t>
            </w:r>
          </w:p>
        </w:tc>
      </w:tr>
      <w:tr w14:paraId="3460E3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8" w:space="0"/>
              <w:bottom w:val="single" w:color="auto" w:sz="8" w:space="0"/>
              <w:right w:val="single" w:color="auto" w:sz="4" w:space="0"/>
            </w:tcBorders>
            <w:noWrap w:val="0"/>
            <w:vAlign w:val="center"/>
          </w:tcPr>
          <w:p w14:paraId="3C3213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en-US" w:eastAsia="zh-CN"/>
              </w:rPr>
              <w:t>建设用地</w:t>
            </w:r>
          </w:p>
        </w:tc>
        <w:tc>
          <w:tcPr>
            <w:tcW w:w="1786" w:type="pct"/>
            <w:tcBorders>
              <w:top w:val="single" w:color="auto" w:sz="8" w:space="0"/>
              <w:left w:val="single" w:color="auto" w:sz="4" w:space="0"/>
              <w:bottom w:val="single" w:color="auto" w:sz="8" w:space="0"/>
              <w:right w:val="single" w:color="auto" w:sz="4" w:space="0"/>
            </w:tcBorders>
            <w:noWrap w:val="0"/>
            <w:vAlign w:val="center"/>
          </w:tcPr>
          <w:p w14:paraId="384E90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rPr>
            </w:pPr>
            <w:r>
              <w:rPr>
                <w:rFonts w:hint="eastAsia" w:ascii="宋体" w:hAnsi="宋体" w:eastAsia="宋体" w:cs="宋体"/>
                <w:sz w:val="21"/>
                <w:szCs w:val="21"/>
                <w:highlight w:val="yellow"/>
                <w:lang w:val="en-US" w:eastAsia="zh-CN"/>
              </w:rPr>
              <w:t>0.0618</w:t>
            </w:r>
          </w:p>
        </w:tc>
        <w:tc>
          <w:tcPr>
            <w:tcW w:w="1593" w:type="pct"/>
            <w:tcBorders>
              <w:top w:val="single" w:color="auto" w:sz="8" w:space="0"/>
              <w:left w:val="single" w:color="auto" w:sz="4" w:space="0"/>
              <w:bottom w:val="single" w:color="auto" w:sz="8" w:space="0"/>
              <w:right w:val="nil"/>
            </w:tcBorders>
            <w:noWrap w:val="0"/>
            <w:vAlign w:val="bottom"/>
          </w:tcPr>
          <w:p w14:paraId="624E7D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10.64</w:t>
            </w:r>
          </w:p>
        </w:tc>
      </w:tr>
      <w:tr w14:paraId="705678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8" w:space="0"/>
              <w:bottom w:val="single" w:color="auto" w:sz="8" w:space="0"/>
              <w:right w:val="single" w:color="auto" w:sz="4" w:space="0"/>
            </w:tcBorders>
            <w:noWrap w:val="0"/>
            <w:vAlign w:val="center"/>
          </w:tcPr>
          <w:p w14:paraId="70183F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lang w:val="en-US" w:eastAsia="zh-CN"/>
              </w:rPr>
              <w:t>未利用地</w:t>
            </w:r>
          </w:p>
        </w:tc>
        <w:tc>
          <w:tcPr>
            <w:tcW w:w="1786" w:type="pct"/>
            <w:tcBorders>
              <w:top w:val="single" w:color="auto" w:sz="8" w:space="0"/>
              <w:left w:val="single" w:color="auto" w:sz="4" w:space="0"/>
              <w:bottom w:val="single" w:color="auto" w:sz="8" w:space="0"/>
              <w:right w:val="single" w:color="auto" w:sz="4" w:space="0"/>
            </w:tcBorders>
            <w:noWrap w:val="0"/>
            <w:vAlign w:val="center"/>
          </w:tcPr>
          <w:p w14:paraId="6B87F7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rPr>
            </w:pPr>
            <w:r>
              <w:rPr>
                <w:rFonts w:hint="eastAsia" w:ascii="宋体" w:hAnsi="宋体" w:eastAsia="宋体" w:cs="宋体"/>
                <w:sz w:val="21"/>
                <w:szCs w:val="21"/>
                <w:highlight w:val="yellow"/>
                <w:lang w:val="en-US" w:eastAsia="zh-CN"/>
              </w:rPr>
              <w:t>0.1331</w:t>
            </w:r>
          </w:p>
        </w:tc>
        <w:tc>
          <w:tcPr>
            <w:tcW w:w="1593" w:type="pct"/>
            <w:tcBorders>
              <w:top w:val="single" w:color="auto" w:sz="8" w:space="0"/>
              <w:left w:val="single" w:color="auto" w:sz="4" w:space="0"/>
              <w:bottom w:val="single" w:color="auto" w:sz="8" w:space="0"/>
              <w:right w:val="nil"/>
            </w:tcBorders>
            <w:noWrap w:val="0"/>
            <w:vAlign w:val="bottom"/>
          </w:tcPr>
          <w:p w14:paraId="4A2BFE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22.91</w:t>
            </w:r>
          </w:p>
        </w:tc>
      </w:tr>
      <w:tr w14:paraId="521F0A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54" w:hRule="atLeast"/>
          <w:jc w:val="center"/>
        </w:trPr>
        <w:tc>
          <w:tcPr>
            <w:tcW w:w="1619" w:type="pct"/>
            <w:tcBorders>
              <w:top w:val="single" w:color="auto" w:sz="8" w:space="0"/>
              <w:bottom w:val="single" w:color="auto" w:sz="12" w:space="0"/>
              <w:right w:val="single" w:color="auto" w:sz="4" w:space="0"/>
            </w:tcBorders>
            <w:noWrap w:val="0"/>
            <w:vAlign w:val="center"/>
          </w:tcPr>
          <w:p w14:paraId="2C9D88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rPr>
            </w:pPr>
            <w:r>
              <w:rPr>
                <w:rFonts w:hint="eastAsia" w:ascii="宋体" w:hAnsi="宋体" w:eastAsia="宋体" w:cs="宋体"/>
                <w:sz w:val="21"/>
                <w:szCs w:val="21"/>
                <w:highlight w:val="yellow"/>
              </w:rPr>
              <w:t>合计</w:t>
            </w:r>
          </w:p>
        </w:tc>
        <w:tc>
          <w:tcPr>
            <w:tcW w:w="1786" w:type="pct"/>
            <w:tcBorders>
              <w:top w:val="single" w:color="auto" w:sz="8" w:space="0"/>
              <w:left w:val="single" w:color="auto" w:sz="4" w:space="0"/>
              <w:bottom w:val="single" w:color="auto" w:sz="12" w:space="0"/>
              <w:right w:val="single" w:color="auto" w:sz="4" w:space="0"/>
            </w:tcBorders>
            <w:noWrap w:val="0"/>
            <w:vAlign w:val="center"/>
          </w:tcPr>
          <w:p w14:paraId="6D7607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rPr>
            </w:pPr>
            <w:r>
              <w:rPr>
                <w:rFonts w:hint="eastAsia" w:ascii="宋体" w:hAnsi="宋体" w:eastAsia="宋体" w:cs="宋体"/>
                <w:smallCaps w:val="0"/>
                <w:color w:val="auto"/>
                <w:sz w:val="21"/>
                <w:szCs w:val="21"/>
                <w:highlight w:val="yellow"/>
                <w:vertAlign w:val="baseline"/>
                <w:lang w:val="en-US" w:eastAsia="zh-CN"/>
              </w:rPr>
              <w:t>0.58082</w:t>
            </w:r>
          </w:p>
        </w:tc>
        <w:tc>
          <w:tcPr>
            <w:tcW w:w="1593" w:type="pct"/>
            <w:tcBorders>
              <w:top w:val="single" w:color="auto" w:sz="8" w:space="0"/>
              <w:left w:val="single" w:color="auto" w:sz="4" w:space="0"/>
              <w:bottom w:val="single" w:color="auto" w:sz="12" w:space="0"/>
              <w:right w:val="nil"/>
            </w:tcBorders>
            <w:noWrap w:val="0"/>
            <w:vAlign w:val="center"/>
          </w:tcPr>
          <w:p w14:paraId="2764AB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yellow"/>
                <w:lang w:val="en-US" w:eastAsia="zh-CN"/>
              </w:rPr>
            </w:pPr>
            <w:r>
              <w:rPr>
                <w:rFonts w:hint="eastAsia" w:ascii="宋体" w:hAnsi="宋体" w:eastAsia="宋体" w:cs="宋体"/>
                <w:sz w:val="21"/>
                <w:szCs w:val="21"/>
                <w:highlight w:val="yellow"/>
                <w:lang w:val="en-US" w:eastAsia="zh-CN"/>
              </w:rPr>
              <w:t>100</w:t>
            </w:r>
          </w:p>
        </w:tc>
      </w:tr>
    </w:tbl>
    <w:p w14:paraId="0436C1E8">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yellow"/>
          <w:lang w:val="en-US" w:eastAsia="zh-CN"/>
        </w:rPr>
      </w:pPr>
      <w:r>
        <w:rPr>
          <w:rFonts w:hint="eastAsia" w:ascii="宋体" w:hAnsi="宋体" w:eastAsia="宋体" w:cs="宋体"/>
          <w:b/>
          <w:bCs/>
          <w:sz w:val="24"/>
          <w:szCs w:val="21"/>
          <w:highlight w:val="yellow"/>
          <w:lang w:val="en-US" w:eastAsia="zh-CN"/>
        </w:rPr>
        <w:t>2.8 植被现状调查</w:t>
      </w:r>
    </w:p>
    <w:p w14:paraId="2F668E4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yellow"/>
          <w:lang w:val="en-US" w:eastAsia="zh-CN"/>
        </w:rPr>
      </w:pPr>
      <w:r>
        <w:rPr>
          <w:rFonts w:hint="eastAsia" w:ascii="宋体" w:hAnsi="宋体" w:eastAsia="宋体" w:cs="宋体"/>
          <w:sz w:val="24"/>
          <w:szCs w:val="21"/>
          <w:highlight w:val="yellow"/>
          <w:lang w:val="en-US" w:eastAsia="zh-CN"/>
        </w:rPr>
        <w:t>经现场勘查，本项目所在区域涵盖森林生态系统以及工业、城镇生态系统，其中以森林生态系统为主导。项目涉及的旧路已存在多年，周边区域已形成稳定的生态系统，人为干扰程度较低，生态环境质量良好。</w:t>
      </w:r>
    </w:p>
    <w:p w14:paraId="55FE9A9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yellow"/>
          <w:lang w:val="en-US" w:eastAsia="zh-CN"/>
        </w:rPr>
      </w:pPr>
      <w:r>
        <w:rPr>
          <w:rFonts w:hint="eastAsia" w:ascii="宋体" w:hAnsi="宋体" w:eastAsia="宋体" w:cs="宋体"/>
          <w:sz w:val="24"/>
          <w:szCs w:val="21"/>
          <w:highlight w:val="yellow"/>
          <w:lang w:val="en-US" w:eastAsia="zh-CN"/>
        </w:rPr>
        <w:t>在项目影响区域内，未发现国家级重点保护的珍稀濒危物种、黑龙江省重点保护物种以及古树名木。</w:t>
      </w:r>
      <w:r>
        <w:rPr>
          <w:rFonts w:hint="eastAsia" w:ascii="宋体" w:hAnsi="宋体" w:eastAsia="宋体" w:cs="宋体"/>
          <w:smallCaps w:val="0"/>
          <w:color w:val="auto"/>
          <w:sz w:val="24"/>
          <w:szCs w:val="24"/>
          <w:highlight w:val="yellow"/>
          <w:lang w:val="en-US" w:eastAsia="zh-CN"/>
        </w:rPr>
        <w:t>项目两侧已林地分布居多，项目两侧为岭西林场林地，林场主要树种有樟子松、落叶松、柞树、椴树、山杨、白桦、黑桦、榆树、枫桦、色木等，其中项目评价范围内主要为柞、桦、杨等天然阔叶混交林及红、落、樟等人工林。评价范围草本类植被主要以蕨类植物、苔草类植物，主要植物种类羊胡子草、四花苔草、木贼、唐松草、水金凰、鹿蹄草、紫丁花、车前草、蒲公英等草本植被，均为常见草本植物。评价范围不存在重点野生保护植物。</w:t>
      </w:r>
    </w:p>
    <w:p w14:paraId="6F66B406">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highlight w:val="yellow"/>
        </w:rPr>
      </w:pPr>
      <w:r>
        <w:rPr>
          <w:rFonts w:hint="eastAsia" w:ascii="宋体" w:hAnsi="宋体" w:eastAsia="宋体" w:cs="宋体"/>
          <w:sz w:val="21"/>
          <w:highlight w:val="yellow"/>
        </w:rPr>
        <mc:AlternateContent>
          <mc:Choice Requires="wps">
            <w:drawing>
              <wp:anchor distT="0" distB="0" distL="114300" distR="114300" simplePos="0" relativeHeight="251671552" behindDoc="0" locked="0" layoutInCell="1" allowOverlap="1">
                <wp:simplePos x="0" y="0"/>
                <wp:positionH relativeFrom="column">
                  <wp:posOffset>3992880</wp:posOffset>
                </wp:positionH>
                <wp:positionV relativeFrom="paragraph">
                  <wp:posOffset>1878330</wp:posOffset>
                </wp:positionV>
                <wp:extent cx="1266825" cy="1054735"/>
                <wp:effectExtent l="5080" t="4445" r="4445" b="7620"/>
                <wp:wrapNone/>
                <wp:docPr id="14" name="文本框 11"/>
                <wp:cNvGraphicFramePr/>
                <a:graphic xmlns:a="http://schemas.openxmlformats.org/drawingml/2006/main">
                  <a:graphicData uri="http://schemas.microsoft.com/office/word/2010/wordprocessingShape">
                    <wps:wsp>
                      <wps:cNvSpPr txBox="1"/>
                      <wps:spPr>
                        <a:xfrm>
                          <a:off x="5147310" y="6343015"/>
                          <a:ext cx="1342390" cy="1168400"/>
                        </a:xfrm>
                        <a:prstGeom prst="rect">
                          <a:avLst/>
                        </a:prstGeom>
                        <a:solidFill>
                          <a:srgbClr val="FFFFFF"/>
                        </a:solidFill>
                        <a:ln w="6350">
                          <a:solidFill>
                            <a:prstClr val="black"/>
                          </a:solidFill>
                        </a:ln>
                        <a:effectLst/>
                      </wps:spPr>
                      <wps:txbx>
                        <w:txbxContent>
                          <w:p w14:paraId="3190124B">
                            <w:pPr>
                              <w:keepNext w:val="0"/>
                              <w:keepLines w:val="0"/>
                              <w:pageBreakBefore w:val="0"/>
                              <w:kinsoku/>
                              <w:wordWrap/>
                              <w:overflowPunct/>
                              <w:topLinePunct w:val="0"/>
                              <w:bidi w:val="0"/>
                              <w:adjustRightInd/>
                              <w:spacing w:before="0" w:after="0" w:line="240" w:lineRule="auto"/>
                              <w:ind w:right="0"/>
                              <w:jc w:val="left"/>
                              <w:textAlignment w:val="auto"/>
                              <w:rPr>
                                <w:rFonts w:hint="eastAsia"/>
                                <w:sz w:val="21"/>
                                <w:szCs w:val="21"/>
                                <w:lang w:val="en-US" w:eastAsia="zh-CN"/>
                              </w:rPr>
                            </w:pPr>
                            <w:r>
                              <w:rPr>
                                <w:rFonts w:hint="eastAsia"/>
                                <w:sz w:val="21"/>
                                <w:szCs w:val="21"/>
                                <w:lang w:val="en-US" w:eastAsia="zh-CN"/>
                              </w:rPr>
                              <w:t>针阔混交林</w:t>
                            </w:r>
                          </w:p>
                          <w:p w14:paraId="28A7808E">
                            <w:pPr>
                              <w:pStyle w:val="32"/>
                              <w:keepNext w:val="0"/>
                              <w:keepLines w:val="0"/>
                              <w:pageBreakBefore w:val="0"/>
                              <w:widowControl w:val="0"/>
                              <w:kinsoku/>
                              <w:wordWrap/>
                              <w:overflowPunct/>
                              <w:topLinePunct w:val="0"/>
                              <w:bidi w:val="0"/>
                              <w:adjustRightInd/>
                              <w:snapToGrid/>
                              <w:spacing w:before="0" w:after="0" w:line="240" w:lineRule="auto"/>
                              <w:ind w:left="0" w:leftChars="0" w:right="0" w:firstLine="0"/>
                              <w:jc w:val="left"/>
                              <w:textAlignment w:val="auto"/>
                              <w:rPr>
                                <w:rFonts w:hint="eastAsia"/>
                                <w:sz w:val="21"/>
                                <w:szCs w:val="21"/>
                                <w:lang w:val="en-US" w:eastAsia="zh-CN"/>
                              </w:rPr>
                            </w:pPr>
                            <w:r>
                              <w:rPr>
                                <w:rFonts w:hint="eastAsia"/>
                                <w:sz w:val="21"/>
                                <w:szCs w:val="21"/>
                                <w:lang w:val="en-US" w:eastAsia="zh-CN"/>
                              </w:rPr>
                              <w:t>草本植物</w:t>
                            </w:r>
                          </w:p>
                          <w:p w14:paraId="43D39E8B">
                            <w:pPr>
                              <w:pStyle w:val="14"/>
                              <w:keepNext w:val="0"/>
                              <w:keepLines w:val="0"/>
                              <w:pageBreakBefore w:val="0"/>
                              <w:kinsoku/>
                              <w:wordWrap/>
                              <w:overflowPunct/>
                              <w:topLinePunct w:val="0"/>
                              <w:bidi w:val="0"/>
                              <w:adjustRightInd/>
                              <w:spacing w:before="0" w:after="0" w:line="240" w:lineRule="auto"/>
                              <w:ind w:right="0"/>
                              <w:jc w:val="left"/>
                              <w:textAlignment w:val="auto"/>
                              <w:rPr>
                                <w:rFonts w:hint="default"/>
                                <w:sz w:val="21"/>
                                <w:szCs w:val="21"/>
                                <w:lang w:val="en-US" w:eastAsia="zh-CN"/>
                              </w:rPr>
                            </w:pPr>
                            <w:r>
                              <w:rPr>
                                <w:rFonts w:hint="eastAsia"/>
                                <w:sz w:val="21"/>
                                <w:szCs w:val="21"/>
                                <w:lang w:val="en-US" w:eastAsia="zh-CN"/>
                              </w:rPr>
                              <w:t>现状道路</w:t>
                            </w:r>
                          </w:p>
                          <w:p w14:paraId="7EF42A4E">
                            <w:pPr>
                              <w:pStyle w:val="25"/>
                              <w:keepNext w:val="0"/>
                              <w:keepLines w:val="0"/>
                              <w:pageBreakBefore w:val="0"/>
                              <w:widowControl w:val="0"/>
                              <w:kinsoku/>
                              <w:wordWrap/>
                              <w:overflowPunct/>
                              <w:topLinePunct w:val="0"/>
                              <w:bidi w:val="0"/>
                              <w:adjustRightInd/>
                              <w:snapToGrid/>
                              <w:spacing w:before="0" w:after="0" w:line="240" w:lineRule="auto"/>
                              <w:ind w:left="0" w:right="0"/>
                              <w:jc w:val="left"/>
                              <w:textAlignment w:val="auto"/>
                              <w:rPr>
                                <w:rFonts w:hint="eastAsia"/>
                                <w:sz w:val="21"/>
                                <w:szCs w:val="21"/>
                                <w:lang w:val="en-US" w:eastAsia="zh-CN"/>
                              </w:rPr>
                            </w:pPr>
                            <w:r>
                              <w:rPr>
                                <w:rFonts w:hint="eastAsia"/>
                                <w:sz w:val="21"/>
                                <w:szCs w:val="21"/>
                                <w:lang w:val="en-US" w:eastAsia="zh-CN"/>
                              </w:rPr>
                              <w:t>养殖坑塘</w:t>
                            </w:r>
                          </w:p>
                          <w:p w14:paraId="71627000">
                            <w:pPr>
                              <w:pStyle w:val="25"/>
                              <w:keepNext w:val="0"/>
                              <w:keepLines w:val="0"/>
                              <w:pageBreakBefore w:val="0"/>
                              <w:widowControl w:val="0"/>
                              <w:kinsoku/>
                              <w:wordWrap/>
                              <w:overflowPunct/>
                              <w:topLinePunct w:val="0"/>
                              <w:bidi w:val="0"/>
                              <w:adjustRightInd/>
                              <w:snapToGrid/>
                              <w:spacing w:before="0" w:after="0" w:line="240" w:lineRule="auto"/>
                              <w:ind w:left="0" w:right="0"/>
                              <w:jc w:val="left"/>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26" o:spt="202" type="#_x0000_t202" style="position:absolute;left:0pt;margin-left:314.4pt;margin-top:147.9pt;height:83.05pt;width:99.75pt;z-index:251671552;mso-width-relative:page;mso-height-relative:page;" fillcolor="#FFFFFF" filled="t" stroked="t" coordsize="21600,21600" o:gfxdata="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aabdQdgAAAALAQAADwAAAAAAAAABACAAAAAiAAAAZHJzL2Rvd25yZXYu&#10;eG1sUEsBAhQAFAAAAAgAh07iQCxhpP9tAgAA1AQAAA4AAAAAAAAAAQAgAAAAJwEAAGRycy9lMm9E&#10;b2MueG1sUEsFBgAAAAAGAAYAWQEAAAYGAAAAAA==&#10;">
                <v:fill on="t" focussize="0,0"/>
                <v:stroke weight="0.5pt" color="#000000" joinstyle="round"/>
                <v:imagedata o:title=""/>
                <o:lock v:ext="edit" aspectratio="f"/>
                <v:textbox>
                  <w:txbxContent>
                    <w:p w14:paraId="3190124B">
                      <w:pPr>
                        <w:keepNext w:val="0"/>
                        <w:keepLines w:val="0"/>
                        <w:pageBreakBefore w:val="0"/>
                        <w:kinsoku/>
                        <w:wordWrap/>
                        <w:overflowPunct/>
                        <w:topLinePunct w:val="0"/>
                        <w:bidi w:val="0"/>
                        <w:adjustRightInd/>
                        <w:spacing w:before="0" w:after="0" w:line="240" w:lineRule="auto"/>
                        <w:ind w:right="0"/>
                        <w:jc w:val="left"/>
                        <w:textAlignment w:val="auto"/>
                        <w:rPr>
                          <w:rFonts w:hint="eastAsia"/>
                          <w:sz w:val="21"/>
                          <w:szCs w:val="21"/>
                          <w:lang w:val="en-US" w:eastAsia="zh-CN"/>
                        </w:rPr>
                      </w:pPr>
                      <w:r>
                        <w:rPr>
                          <w:rFonts w:hint="eastAsia"/>
                          <w:sz w:val="21"/>
                          <w:szCs w:val="21"/>
                          <w:lang w:val="en-US" w:eastAsia="zh-CN"/>
                        </w:rPr>
                        <w:t>针阔混交林</w:t>
                      </w:r>
                    </w:p>
                    <w:p w14:paraId="28A7808E">
                      <w:pPr>
                        <w:pStyle w:val="32"/>
                        <w:keepNext w:val="0"/>
                        <w:keepLines w:val="0"/>
                        <w:pageBreakBefore w:val="0"/>
                        <w:widowControl w:val="0"/>
                        <w:kinsoku/>
                        <w:wordWrap/>
                        <w:overflowPunct/>
                        <w:topLinePunct w:val="0"/>
                        <w:bidi w:val="0"/>
                        <w:adjustRightInd/>
                        <w:snapToGrid/>
                        <w:spacing w:before="0" w:after="0" w:line="240" w:lineRule="auto"/>
                        <w:ind w:left="0" w:leftChars="0" w:right="0" w:firstLine="0"/>
                        <w:jc w:val="left"/>
                        <w:textAlignment w:val="auto"/>
                        <w:rPr>
                          <w:rFonts w:hint="eastAsia"/>
                          <w:sz w:val="21"/>
                          <w:szCs w:val="21"/>
                          <w:lang w:val="en-US" w:eastAsia="zh-CN"/>
                        </w:rPr>
                      </w:pPr>
                      <w:r>
                        <w:rPr>
                          <w:rFonts w:hint="eastAsia"/>
                          <w:sz w:val="21"/>
                          <w:szCs w:val="21"/>
                          <w:lang w:val="en-US" w:eastAsia="zh-CN"/>
                        </w:rPr>
                        <w:t>草本植物</w:t>
                      </w:r>
                    </w:p>
                    <w:p w14:paraId="43D39E8B">
                      <w:pPr>
                        <w:pStyle w:val="14"/>
                        <w:keepNext w:val="0"/>
                        <w:keepLines w:val="0"/>
                        <w:pageBreakBefore w:val="0"/>
                        <w:kinsoku/>
                        <w:wordWrap/>
                        <w:overflowPunct/>
                        <w:topLinePunct w:val="0"/>
                        <w:bidi w:val="0"/>
                        <w:adjustRightInd/>
                        <w:spacing w:before="0" w:after="0" w:line="240" w:lineRule="auto"/>
                        <w:ind w:right="0"/>
                        <w:jc w:val="left"/>
                        <w:textAlignment w:val="auto"/>
                        <w:rPr>
                          <w:rFonts w:hint="default"/>
                          <w:sz w:val="21"/>
                          <w:szCs w:val="21"/>
                          <w:lang w:val="en-US" w:eastAsia="zh-CN"/>
                        </w:rPr>
                      </w:pPr>
                      <w:r>
                        <w:rPr>
                          <w:rFonts w:hint="eastAsia"/>
                          <w:sz w:val="21"/>
                          <w:szCs w:val="21"/>
                          <w:lang w:val="en-US" w:eastAsia="zh-CN"/>
                        </w:rPr>
                        <w:t>现状道路</w:t>
                      </w:r>
                    </w:p>
                    <w:p w14:paraId="7EF42A4E">
                      <w:pPr>
                        <w:pStyle w:val="25"/>
                        <w:keepNext w:val="0"/>
                        <w:keepLines w:val="0"/>
                        <w:pageBreakBefore w:val="0"/>
                        <w:widowControl w:val="0"/>
                        <w:kinsoku/>
                        <w:wordWrap/>
                        <w:overflowPunct/>
                        <w:topLinePunct w:val="0"/>
                        <w:bidi w:val="0"/>
                        <w:adjustRightInd/>
                        <w:snapToGrid/>
                        <w:spacing w:before="0" w:after="0" w:line="240" w:lineRule="auto"/>
                        <w:ind w:left="0" w:right="0"/>
                        <w:jc w:val="left"/>
                        <w:textAlignment w:val="auto"/>
                        <w:rPr>
                          <w:rFonts w:hint="eastAsia"/>
                          <w:sz w:val="21"/>
                          <w:szCs w:val="21"/>
                          <w:lang w:val="en-US" w:eastAsia="zh-CN"/>
                        </w:rPr>
                      </w:pPr>
                      <w:r>
                        <w:rPr>
                          <w:rFonts w:hint="eastAsia"/>
                          <w:sz w:val="21"/>
                          <w:szCs w:val="21"/>
                          <w:lang w:val="en-US" w:eastAsia="zh-CN"/>
                        </w:rPr>
                        <w:t>养殖坑塘</w:t>
                      </w:r>
                    </w:p>
                    <w:p w14:paraId="71627000">
                      <w:pPr>
                        <w:pStyle w:val="25"/>
                        <w:keepNext w:val="0"/>
                        <w:keepLines w:val="0"/>
                        <w:pageBreakBefore w:val="0"/>
                        <w:widowControl w:val="0"/>
                        <w:kinsoku/>
                        <w:wordWrap/>
                        <w:overflowPunct/>
                        <w:topLinePunct w:val="0"/>
                        <w:bidi w:val="0"/>
                        <w:adjustRightInd/>
                        <w:snapToGrid/>
                        <w:spacing w:before="0" w:after="0" w:line="240" w:lineRule="auto"/>
                        <w:ind w:left="0" w:right="0"/>
                        <w:jc w:val="left"/>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工厂</w:t>
                      </w:r>
                    </w:p>
                  </w:txbxContent>
                </v:textbox>
              </v:shape>
            </w:pict>
          </mc:Fallback>
        </mc:AlternateContent>
      </w:r>
      <w:r>
        <w:rPr>
          <w:rFonts w:hint="eastAsia" w:ascii="宋体" w:hAnsi="宋体" w:eastAsia="宋体" w:cs="宋体"/>
          <w:color w:val="auto"/>
          <w:highlight w:val="yellow"/>
        </w:rPr>
        <w:pict>
          <v:shape id="_x0000_s2247" o:spid="_x0000_s2247" o:spt="75" type="#_x0000_t75" style="position:absolute;left:0pt;margin-left:11.25pt;margin-top:189.05pt;height:47.25pt;width:110.25pt;z-index:251673600;mso-width-relative:page;mso-height-relative:page;" o:ole="t" filled="f" o:preferrelative="t" stroked="f" coordsize="21600,21600">
            <v:path/>
            <v:fill on="f" focussize="0,0"/>
            <v:stroke on="f"/>
            <v:imagedata r:id="rId94" o:title=""/>
            <o:lock v:ext="edit" aspectratio="f"/>
          </v:shape>
          <o:OLEObject Type="Embed" ProgID="Visio.Drawing.15" ShapeID="_x0000_s2247" DrawAspect="Content" ObjectID="_1468075733" r:id="rId93">
            <o:LockedField>false</o:LockedField>
          </o:OLEObject>
        </w:pict>
      </w:r>
      <w:r>
        <w:rPr>
          <w:rFonts w:hint="eastAsia" w:ascii="宋体" w:hAnsi="宋体" w:eastAsia="宋体" w:cs="宋体"/>
          <w:sz w:val="21"/>
          <w:highlight w:val="yellow"/>
        </w:rPr>
        <mc:AlternateContent>
          <mc:Choice Requires="wps">
            <w:drawing>
              <wp:anchor distT="0" distB="0" distL="114300" distR="114300" simplePos="0" relativeHeight="251678720" behindDoc="0" locked="0" layoutInCell="1" allowOverlap="1">
                <wp:simplePos x="0" y="0"/>
                <wp:positionH relativeFrom="column">
                  <wp:posOffset>4070985</wp:posOffset>
                </wp:positionH>
                <wp:positionV relativeFrom="paragraph">
                  <wp:posOffset>2743835</wp:posOffset>
                </wp:positionV>
                <wp:extent cx="182245" cy="121285"/>
                <wp:effectExtent l="0" t="0" r="8255" b="12065"/>
                <wp:wrapNone/>
                <wp:docPr id="20" name="矩形 16"/>
                <wp:cNvGraphicFramePr/>
                <a:graphic xmlns:a="http://schemas.openxmlformats.org/drawingml/2006/main">
                  <a:graphicData uri="http://schemas.microsoft.com/office/word/2010/wordprocessingShape">
                    <wps:wsp>
                      <wps:cNvSpPr/>
                      <wps:spPr>
                        <a:xfrm>
                          <a:off x="0" y="0"/>
                          <a:ext cx="182245" cy="121285"/>
                        </a:xfrm>
                        <a:prstGeom prst="rect">
                          <a:avLst/>
                        </a:prstGeom>
                        <a:solidFill>
                          <a:srgbClr val="FFFF00"/>
                        </a:solidFill>
                        <a:ln w="25400">
                          <a:noFill/>
                        </a:ln>
                      </wps:spPr>
                      <wps:bodyPr vert="horz" wrap="square" anchor="ctr" anchorCtr="0" upright="1"/>
                    </wps:wsp>
                  </a:graphicData>
                </a:graphic>
              </wp:anchor>
            </w:drawing>
          </mc:Choice>
          <mc:Fallback>
            <w:pict>
              <v:rect id="矩形 16" o:spid="_x0000_s1026" o:spt="1" style="position:absolute;left:0pt;margin-left:320.55pt;margin-top:216.05pt;height:9.55pt;width:14.35pt;z-index:251678720;v-text-anchor:middle;mso-width-relative:page;mso-height-relative:page;" fillcolor="#FFFF00" filled="t" stroked="f" coordsize="21600,21600" o:gfxdata="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qnG3PaAAAACwEAAA8AAAAA&#10;AAAAAQAgAAAAIgAAAGRycy9kb3ducmV2LnhtbFBLAQIUABQAAAAIAIdO4kCaciDN2QEAAJ8DAAAO&#10;AAAAAAAAAAEAIAAAACkBAABkcnMvZTJvRG9jLnhtbFBLBQYAAAAABgAGAFkBAAB0BQAAAAA=&#10;">
                <v:fill on="t" focussize="0,0"/>
                <v:stroke on="f" weight="2pt"/>
                <v:imagedata o:title=""/>
                <o:lock v:ext="edit" aspectratio="f"/>
              </v:rect>
            </w:pict>
          </mc:Fallback>
        </mc:AlternateContent>
      </w:r>
      <w:r>
        <w:rPr>
          <w:rFonts w:hint="eastAsia" w:ascii="宋体" w:hAnsi="宋体" w:eastAsia="宋体" w:cs="宋体"/>
          <w:sz w:val="21"/>
          <w:highlight w:val="yellow"/>
        </w:rPr>
        <mc:AlternateContent>
          <mc:Choice Requires="wps">
            <w:drawing>
              <wp:anchor distT="0" distB="0" distL="114300" distR="114300" simplePos="0" relativeHeight="251677696" behindDoc="0" locked="0" layoutInCell="1" allowOverlap="1">
                <wp:simplePos x="0" y="0"/>
                <wp:positionH relativeFrom="column">
                  <wp:posOffset>4061460</wp:posOffset>
                </wp:positionH>
                <wp:positionV relativeFrom="paragraph">
                  <wp:posOffset>2515235</wp:posOffset>
                </wp:positionV>
                <wp:extent cx="182245" cy="121285"/>
                <wp:effectExtent l="12700" t="12700" r="14605" b="18415"/>
                <wp:wrapNone/>
                <wp:docPr id="19" name="矩形 16"/>
                <wp:cNvGraphicFramePr/>
                <a:graphic xmlns:a="http://schemas.openxmlformats.org/drawingml/2006/main">
                  <a:graphicData uri="http://schemas.microsoft.com/office/word/2010/wordprocessingShape">
                    <wps:wsp>
                      <wps:cNvSpPr/>
                      <wps:spPr>
                        <a:xfrm>
                          <a:off x="0" y="0"/>
                          <a:ext cx="182245" cy="121285"/>
                        </a:xfrm>
                        <a:prstGeom prst="rect">
                          <a:avLst/>
                        </a:prstGeom>
                        <a:solidFill>
                          <a:srgbClr val="00FFFF"/>
                        </a:solidFill>
                        <a:ln w="25400" cap="flat" cmpd="sng">
                          <a:solidFill>
                            <a:srgbClr val="00FFFF"/>
                          </a:solidFill>
                          <a:prstDash val="solid"/>
                          <a:round/>
                          <a:headEnd type="none" w="med" len="med"/>
                          <a:tailEnd type="none" w="med" len="med"/>
                        </a:ln>
                      </wps:spPr>
                      <wps:bodyPr vert="horz" wrap="square" anchor="ctr" anchorCtr="0" upright="1"/>
                    </wps:wsp>
                  </a:graphicData>
                </a:graphic>
              </wp:anchor>
            </w:drawing>
          </mc:Choice>
          <mc:Fallback>
            <w:pict>
              <v:rect id="矩形 16" o:spid="_x0000_s1026" o:spt="1" style="position:absolute;left:0pt;margin-left:319.8pt;margin-top:198.05pt;height:9.55pt;width:14.35pt;z-index:251677696;v-text-anchor:middle;mso-width-relative:page;mso-height-relative:page;" fillcolor="#00FFFF" filled="t" stroked="t" coordsize="21600,21600" o:gfxdata="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PWOyTbAAAACwEA&#10;AA8AAAAAAAAAAQAgAAAAIgAAAGRycy9kb3ducmV2LnhtbFBLAQIUABQAAAAIAIdO4kDppyStFwIA&#10;AFUEAAAOAAAAAAAAAAEAIAAAACoBAABkcnMvZTJvRG9jLnhtbFBLBQYAAAAABgAGAFkBAACzBQAA&#10;AAA=&#10;">
                <v:fill on="t" focussize="0,0"/>
                <v:stroke weight="2pt" color="#00FFFF" joinstyle="round"/>
                <v:imagedata o:title=""/>
                <o:lock v:ext="edit" aspectratio="f"/>
              </v:rect>
            </w:pict>
          </mc:Fallback>
        </mc:AlternateContent>
      </w:r>
      <w:r>
        <w:rPr>
          <w:rFonts w:hint="eastAsia" w:ascii="宋体" w:hAnsi="宋体" w:eastAsia="宋体" w:cs="宋体"/>
          <w:sz w:val="21"/>
          <w:highlight w:val="yellow"/>
        </w:rPr>
        <mc:AlternateContent>
          <mc:Choice Requires="wps">
            <w:drawing>
              <wp:anchor distT="0" distB="0" distL="114300" distR="114300" simplePos="0" relativeHeight="251676672" behindDoc="0" locked="0" layoutInCell="1" allowOverlap="1">
                <wp:simplePos x="0" y="0"/>
                <wp:positionH relativeFrom="column">
                  <wp:posOffset>4074160</wp:posOffset>
                </wp:positionH>
                <wp:positionV relativeFrom="paragraph">
                  <wp:posOffset>2318385</wp:posOffset>
                </wp:positionV>
                <wp:extent cx="182245" cy="121285"/>
                <wp:effectExtent l="0" t="0" r="8255" b="12065"/>
                <wp:wrapNone/>
                <wp:docPr id="18" name="矩形 14"/>
                <wp:cNvGraphicFramePr/>
                <a:graphic xmlns:a="http://schemas.openxmlformats.org/drawingml/2006/main">
                  <a:graphicData uri="http://schemas.microsoft.com/office/word/2010/wordprocessingShape">
                    <wps:wsp>
                      <wps:cNvSpPr/>
                      <wps:spPr>
                        <a:xfrm>
                          <a:off x="0" y="0"/>
                          <a:ext cx="182245" cy="121285"/>
                        </a:xfrm>
                        <a:prstGeom prst="rect">
                          <a:avLst/>
                        </a:prstGeom>
                        <a:solidFill>
                          <a:srgbClr val="FF0000"/>
                        </a:solidFill>
                        <a:ln w="25400">
                          <a:noFill/>
                        </a:ln>
                      </wps:spPr>
                      <wps:bodyPr vert="horz" wrap="square" anchor="ctr" anchorCtr="0" upright="1"/>
                    </wps:wsp>
                  </a:graphicData>
                </a:graphic>
              </wp:anchor>
            </w:drawing>
          </mc:Choice>
          <mc:Fallback>
            <w:pict>
              <v:rect id="矩形 14" o:spid="_x0000_s1026" o:spt="1" style="position:absolute;left:0pt;margin-left:320.8pt;margin-top:182.55pt;height:9.55pt;width:14.35pt;z-index:251676672;v-text-anchor:middle;mso-width-relative:page;mso-height-relative:page;" fillcolor="#FF0000" filled="t" stroked="f" coordsize="21600,21600" o:gfxdata="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FXKzPXAAAACwEAAA8AAAAAAAAA&#10;AQAgAAAAIgAAAGRycy9kb3ducmV2LnhtbFBLAQIUABQAAAAIAIdO4kDlqQXg2QEAAJ8DAAAOAAAA&#10;AAAAAAEAIAAAACYBAABkcnMvZTJvRG9jLnhtbFBLBQYAAAAABgAGAFkBAABxBQAAAAA=&#10;">
                <v:fill on="t" focussize="0,0"/>
                <v:stroke on="f" weight="2pt"/>
                <v:imagedata o:title=""/>
                <o:lock v:ext="edit" aspectratio="f"/>
              </v:rect>
            </w:pict>
          </mc:Fallback>
        </mc:AlternateContent>
      </w:r>
      <w:r>
        <w:rPr>
          <w:rFonts w:hint="eastAsia" w:ascii="宋体" w:hAnsi="宋体" w:eastAsia="宋体" w:cs="宋体"/>
          <w:sz w:val="21"/>
          <w:highlight w:val="yellow"/>
        </w:rPr>
        <mc:AlternateContent>
          <mc:Choice Requires="wps">
            <w:drawing>
              <wp:anchor distT="0" distB="0" distL="114300" distR="114300" simplePos="0" relativeHeight="251675648" behindDoc="0" locked="0" layoutInCell="1" allowOverlap="1">
                <wp:simplePos x="0" y="0"/>
                <wp:positionH relativeFrom="column">
                  <wp:posOffset>4061460</wp:posOffset>
                </wp:positionH>
                <wp:positionV relativeFrom="paragraph">
                  <wp:posOffset>2139950</wp:posOffset>
                </wp:positionV>
                <wp:extent cx="182245" cy="121285"/>
                <wp:effectExtent l="0" t="0" r="8255" b="12065"/>
                <wp:wrapNone/>
                <wp:docPr id="17" name="矩形 13"/>
                <wp:cNvGraphicFramePr/>
                <a:graphic xmlns:a="http://schemas.openxmlformats.org/drawingml/2006/main">
                  <a:graphicData uri="http://schemas.microsoft.com/office/word/2010/wordprocessingShape">
                    <wps:wsp>
                      <wps:cNvSpPr/>
                      <wps:spPr>
                        <a:xfrm>
                          <a:off x="0" y="0"/>
                          <a:ext cx="182245" cy="121285"/>
                        </a:xfrm>
                        <a:prstGeom prst="rect">
                          <a:avLst/>
                        </a:prstGeom>
                        <a:solidFill>
                          <a:srgbClr val="FF7F00"/>
                        </a:solidFill>
                        <a:ln w="25400">
                          <a:noFill/>
                        </a:ln>
                      </wps:spPr>
                      <wps:bodyPr vert="horz" wrap="square" anchor="ctr" anchorCtr="0" upright="1"/>
                    </wps:wsp>
                  </a:graphicData>
                </a:graphic>
              </wp:anchor>
            </w:drawing>
          </mc:Choice>
          <mc:Fallback>
            <w:pict>
              <v:rect id="矩形 13" o:spid="_x0000_s1026" o:spt="1" style="position:absolute;left:0pt;margin-left:319.8pt;margin-top:168.5pt;height:9.55pt;width:14.35pt;z-index:251675648;v-text-anchor:middle;mso-width-relative:page;mso-height-relative:page;" fillcolor="#FF7F00" filled="t" stroked="f" coordsize="21600,21600" o:gfxdata="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jMiB41gAAAAsBAAAPAAAAAAAA&#10;AAEAIAAAACIAAABkcnMvZG93bnJldi54bWxQSwECFAAUAAAACACHTuJABDQ8YtsBAACfAwAADgAA&#10;AAAAAAABACAAAAAlAQAAZHJzL2Uyb0RvYy54bWxQSwUGAAAAAAYABgBZAQAAcgUAAAAA&#10;">
                <v:fill on="t" focussize="0,0"/>
                <v:stroke on="f" weight="2pt"/>
                <v:imagedata o:title=""/>
                <o:lock v:ext="edit" aspectratio="f"/>
              </v:rect>
            </w:pict>
          </mc:Fallback>
        </mc:AlternateContent>
      </w:r>
      <w:r>
        <w:rPr>
          <w:rFonts w:hint="eastAsia" w:ascii="宋体" w:hAnsi="宋体" w:eastAsia="宋体" w:cs="宋体"/>
          <w:sz w:val="21"/>
          <w:highlight w:val="yellow"/>
        </w:rPr>
        <mc:AlternateContent>
          <mc:Choice Requires="wps">
            <w:drawing>
              <wp:anchor distT="0" distB="0" distL="114300" distR="114300" simplePos="0" relativeHeight="251674624" behindDoc="0" locked="0" layoutInCell="1" allowOverlap="1">
                <wp:simplePos x="0" y="0"/>
                <wp:positionH relativeFrom="column">
                  <wp:posOffset>4047490</wp:posOffset>
                </wp:positionH>
                <wp:positionV relativeFrom="paragraph">
                  <wp:posOffset>1901190</wp:posOffset>
                </wp:positionV>
                <wp:extent cx="182245" cy="121285"/>
                <wp:effectExtent l="0" t="0" r="8255" b="12065"/>
                <wp:wrapNone/>
                <wp:docPr id="16" name="矩形 12"/>
                <wp:cNvGraphicFramePr/>
                <a:graphic xmlns:a="http://schemas.openxmlformats.org/drawingml/2006/main">
                  <a:graphicData uri="http://schemas.microsoft.com/office/word/2010/wordprocessingShape">
                    <wps:wsp>
                      <wps:cNvSpPr/>
                      <wps:spPr>
                        <a:xfrm>
                          <a:off x="0" y="0"/>
                          <a:ext cx="182245" cy="121285"/>
                        </a:xfrm>
                        <a:prstGeom prst="rect">
                          <a:avLst/>
                        </a:prstGeom>
                        <a:solidFill>
                          <a:srgbClr val="00FF00"/>
                        </a:solidFill>
                        <a:ln w="25400">
                          <a:noFill/>
                        </a:ln>
                      </wps:spPr>
                      <wps:bodyPr vert="horz" wrap="square" anchor="ctr" anchorCtr="0" upright="1"/>
                    </wps:wsp>
                  </a:graphicData>
                </a:graphic>
              </wp:anchor>
            </w:drawing>
          </mc:Choice>
          <mc:Fallback>
            <w:pict>
              <v:rect id="矩形 12" o:spid="_x0000_s1026" o:spt="1" style="position:absolute;left:0pt;margin-left:318.7pt;margin-top:149.7pt;height:9.55pt;width:14.35pt;z-index:251674624;v-text-anchor:middle;mso-width-relative:page;mso-height-relative:page;" fillcolor="#00FF00" filled="t" stroked="f" coordsize="21600,21600" o:gfxdata="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0rPWBtgAAAALAQAADwAAAAAA&#10;AAABACAAAAAiAAAAZHJzL2Rvd25yZXYueG1sUEsBAhQAFAAAAAgAh07iQJp15t/aAQAAnwMAAA4A&#10;AAAAAAAAAQAgAAAAJwEAAGRycy9lMm9Eb2MueG1sUEsFBgAAAAAGAAYAWQEAAHMFAAAAAA==&#10;">
                <v:fill on="t" focussize="0,0"/>
                <v:stroke on="f" weight="2pt"/>
                <v:imagedata o:title=""/>
                <o:lock v:ext="edit" aspectratio="f"/>
              </v:rect>
            </w:pict>
          </mc:Fallback>
        </mc:AlternateContent>
      </w:r>
      <w:r>
        <w:rPr>
          <w:rFonts w:hint="eastAsia" w:ascii="宋体" w:hAnsi="宋体" w:eastAsia="宋体" w:cs="宋体"/>
          <w:sz w:val="24"/>
          <w:szCs w:val="21"/>
          <w:highlight w:val="yellow"/>
          <w:lang w:val="en-US" w:eastAsia="zh-CN"/>
        </w:rPr>
        <w:drawing>
          <wp:anchor distT="0" distB="0" distL="114300" distR="114300" simplePos="0" relativeHeight="251672576" behindDoc="0" locked="0" layoutInCell="1" allowOverlap="1">
            <wp:simplePos x="0" y="0"/>
            <wp:positionH relativeFrom="column">
              <wp:posOffset>4405630</wp:posOffset>
            </wp:positionH>
            <wp:positionV relativeFrom="paragraph">
              <wp:posOffset>27940</wp:posOffset>
            </wp:positionV>
            <wp:extent cx="857250" cy="809625"/>
            <wp:effectExtent l="0" t="0" r="0" b="9525"/>
            <wp:wrapNone/>
            <wp:docPr id="15" name="图片 20" descr="双鸭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descr="双鸭山风玫瑰"/>
                    <pic:cNvPicPr>
                      <a:picLocks noChangeAspect="1"/>
                    </pic:cNvPicPr>
                  </pic:nvPicPr>
                  <pic:blipFill>
                    <a:blip r:embed="rId29"/>
                    <a:stretch>
                      <a:fillRect/>
                    </a:stretch>
                  </pic:blipFill>
                  <pic:spPr>
                    <a:xfrm>
                      <a:off x="0" y="0"/>
                      <a:ext cx="857250" cy="809625"/>
                    </a:xfrm>
                    <a:prstGeom prst="rect">
                      <a:avLst/>
                    </a:prstGeom>
                    <a:noFill/>
                    <a:ln>
                      <a:noFill/>
                    </a:ln>
                  </pic:spPr>
                </pic:pic>
              </a:graphicData>
            </a:graphic>
          </wp:anchor>
        </w:drawing>
      </w:r>
      <w:r>
        <w:rPr>
          <w:rFonts w:hint="eastAsia" w:ascii="宋体" w:hAnsi="宋体" w:eastAsia="宋体" w:cs="宋体"/>
          <w:highlight w:val="yellow"/>
        </w:rPr>
        <w:drawing>
          <wp:inline distT="0" distB="0" distL="114300" distR="114300">
            <wp:extent cx="5265420" cy="2925445"/>
            <wp:effectExtent l="0" t="0" r="11430" b="8255"/>
            <wp:docPr id="81"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86"/>
                    <pic:cNvPicPr>
                      <a:picLocks noChangeAspect="1"/>
                    </pic:cNvPicPr>
                  </pic:nvPicPr>
                  <pic:blipFill>
                    <a:blip r:embed="rId95"/>
                    <a:stretch>
                      <a:fillRect/>
                    </a:stretch>
                  </pic:blipFill>
                  <pic:spPr>
                    <a:xfrm>
                      <a:off x="0" y="0"/>
                      <a:ext cx="5265420" cy="2925445"/>
                    </a:xfrm>
                    <a:prstGeom prst="rect">
                      <a:avLst/>
                    </a:prstGeom>
                    <a:noFill/>
                    <a:ln>
                      <a:noFill/>
                    </a:ln>
                  </pic:spPr>
                </pic:pic>
              </a:graphicData>
            </a:graphic>
          </wp:inline>
        </w:drawing>
      </w:r>
    </w:p>
    <w:p w14:paraId="20330D8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ascii="宋体" w:hAnsi="宋体" w:eastAsia="宋体" w:cs="宋体"/>
          <w:b/>
          <w:bCs/>
          <w:sz w:val="21"/>
          <w:szCs w:val="22"/>
          <w:highlight w:val="yellow"/>
          <w:lang w:val="en-US" w:eastAsia="zh-CN"/>
        </w:rPr>
      </w:pPr>
      <w:r>
        <w:rPr>
          <w:rFonts w:hint="eastAsia" w:ascii="宋体" w:hAnsi="宋体" w:eastAsia="宋体" w:cs="宋体"/>
          <w:b/>
          <w:bCs/>
          <w:sz w:val="21"/>
          <w:szCs w:val="22"/>
          <w:highlight w:val="yellow"/>
          <w:lang w:val="en-US" w:eastAsia="zh-CN"/>
        </w:rPr>
        <w:t>图2.8-1 本项目评价范围内植被覆盖图</w:t>
      </w:r>
    </w:p>
    <w:p w14:paraId="40CBCB6D">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yellow"/>
          <w:lang w:val="en-US" w:eastAsia="zh-CN"/>
        </w:rPr>
      </w:pPr>
      <w:r>
        <w:rPr>
          <w:rFonts w:hint="eastAsia" w:ascii="宋体" w:hAnsi="宋体" w:eastAsia="宋体" w:cs="宋体"/>
          <w:b/>
          <w:bCs/>
          <w:sz w:val="24"/>
          <w:szCs w:val="21"/>
          <w:highlight w:val="yellow"/>
          <w:lang w:val="en-US" w:eastAsia="zh-CN"/>
        </w:rPr>
        <w:t>2.9 动物现状调查</w:t>
      </w:r>
    </w:p>
    <w:p w14:paraId="1FD36774">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eastAsia" w:ascii="宋体" w:hAnsi="宋体" w:eastAsia="宋体" w:cs="宋体"/>
          <w:kern w:val="2"/>
          <w:sz w:val="24"/>
          <w:szCs w:val="21"/>
          <w:highlight w:val="yellow"/>
          <w:lang w:val="en-US" w:eastAsia="zh-CN" w:bidi="ar-SA"/>
        </w:rPr>
      </w:pPr>
      <w:r>
        <w:rPr>
          <w:rFonts w:hint="eastAsia" w:ascii="宋体" w:hAnsi="宋体" w:eastAsia="宋体" w:cs="宋体"/>
          <w:kern w:val="2"/>
          <w:sz w:val="24"/>
          <w:szCs w:val="21"/>
          <w:highlight w:val="yellow"/>
          <w:lang w:val="en-US" w:eastAsia="zh-CN" w:bidi="ar-SA"/>
        </w:rPr>
        <w:t>经现场勘查，本项目地处平原地区，所在区域涵盖森林生态系统、农业生态系统以及城镇生态系统，其中以森林占主导。项目涉及的旧路已存在多年，周边区域已形成稳定的生态系统，但由于区内人类活动频繁，整体生态环境受一定程度影响。不过，当前区域生态环境质量仍维持在较好水平。</w:t>
      </w:r>
    </w:p>
    <w:p w14:paraId="7F79BB09">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eastAsia" w:ascii="宋体" w:hAnsi="宋体" w:eastAsia="宋体" w:cs="宋体"/>
          <w:kern w:val="2"/>
          <w:sz w:val="24"/>
          <w:szCs w:val="21"/>
          <w:highlight w:val="yellow"/>
          <w:lang w:val="en-US" w:eastAsia="zh-CN" w:bidi="ar-SA"/>
        </w:rPr>
      </w:pPr>
      <w:r>
        <w:rPr>
          <w:rFonts w:hint="eastAsia" w:ascii="宋体" w:hAnsi="宋体" w:eastAsia="宋体" w:cs="宋体"/>
          <w:kern w:val="2"/>
          <w:sz w:val="24"/>
          <w:szCs w:val="21"/>
          <w:highlight w:val="yellow"/>
          <w:lang w:val="en-US" w:eastAsia="zh-CN" w:bidi="ar-SA"/>
        </w:rPr>
        <w:t>在项目影响区域内，未发现国家级重点保护的珍稀濒危物种、黑龙江省重点保护物种。动物分布相对较少，且无珍稀濒危动物，主要为普通鸟类、小型兽类和两栖类。具体动物资源情况如下：</w:t>
      </w:r>
    </w:p>
    <w:p w14:paraId="1F66FD93">
      <w:pPr>
        <w:keepNext w:val="0"/>
        <w:keepLines w:val="0"/>
        <w:pageBreakBefore w:val="0"/>
        <w:widowControl/>
        <w:numPr>
          <w:ilvl w:val="0"/>
          <w:numId w:val="0"/>
        </w:numPr>
        <w:suppressLineNumbers w:val="0"/>
        <w:pBdr>
          <w:left w:val="none" w:color="auto" w:sz="0" w:space="0"/>
        </w:pBdr>
        <w:kinsoku/>
        <w:wordWrap/>
        <w:overflowPunct/>
        <w:topLinePunct w:val="0"/>
        <w:autoSpaceDE w:val="0"/>
        <w:autoSpaceDN w:val="0"/>
        <w:bidi w:val="0"/>
        <w:adjustRightInd/>
        <w:snapToGrid/>
        <w:spacing w:before="0" w:beforeAutospacing="0" w:after="0" w:afterAutospacing="0" w:line="360" w:lineRule="auto"/>
        <w:ind w:leftChars="0" w:right="0" w:rightChars="0" w:firstLine="480" w:firstLineChars="200"/>
        <w:textAlignment w:val="auto"/>
        <w:rPr>
          <w:rFonts w:hint="eastAsia" w:ascii="宋体" w:hAnsi="宋体" w:eastAsia="宋体" w:cs="宋体"/>
          <w:kern w:val="2"/>
          <w:sz w:val="24"/>
          <w:szCs w:val="21"/>
          <w:highlight w:val="yellow"/>
          <w:lang w:val="en-US" w:eastAsia="zh-CN" w:bidi="ar-SA"/>
        </w:rPr>
      </w:pPr>
      <w:r>
        <w:rPr>
          <w:rFonts w:hint="eastAsia" w:ascii="宋体" w:hAnsi="宋体" w:eastAsia="宋体" w:cs="宋体"/>
          <w:kern w:val="2"/>
          <w:sz w:val="24"/>
          <w:szCs w:val="21"/>
          <w:highlight w:val="yellow"/>
          <w:lang w:val="en-US" w:eastAsia="zh-CN" w:bidi="ar-SA"/>
        </w:rPr>
        <w:t>鸟类资源：经现场调查，山禽主要包括灰喜鹊（Cyanopica cyanus）、大杜鹃（Cuculus canorus）、麻雀（Passer montanus）和大嘴乌鸦（Corvus macrorhynchos）等。</w:t>
      </w:r>
    </w:p>
    <w:p w14:paraId="29D3DF05">
      <w:pPr>
        <w:keepNext w:val="0"/>
        <w:keepLines w:val="0"/>
        <w:pageBreakBefore w:val="0"/>
        <w:widowControl/>
        <w:numPr>
          <w:ilvl w:val="0"/>
          <w:numId w:val="0"/>
        </w:numPr>
        <w:suppressLineNumbers w:val="0"/>
        <w:pBdr>
          <w:left w:val="none" w:color="auto" w:sz="0" w:space="0"/>
        </w:pBdr>
        <w:kinsoku/>
        <w:wordWrap/>
        <w:overflowPunct/>
        <w:topLinePunct w:val="0"/>
        <w:autoSpaceDE w:val="0"/>
        <w:autoSpaceDN w:val="0"/>
        <w:bidi w:val="0"/>
        <w:adjustRightInd/>
        <w:snapToGrid/>
        <w:spacing w:before="0" w:beforeAutospacing="0" w:after="0" w:afterAutospacing="0" w:line="360" w:lineRule="auto"/>
        <w:ind w:leftChars="0" w:right="0" w:rightChars="0" w:firstLine="480" w:firstLineChars="200"/>
        <w:textAlignment w:val="auto"/>
        <w:rPr>
          <w:rFonts w:hint="eastAsia" w:ascii="宋体" w:hAnsi="宋体" w:eastAsia="宋体" w:cs="宋体"/>
          <w:kern w:val="2"/>
          <w:sz w:val="24"/>
          <w:szCs w:val="21"/>
          <w:highlight w:val="yellow"/>
          <w:lang w:val="en-US" w:eastAsia="zh-CN" w:bidi="ar-SA"/>
        </w:rPr>
      </w:pPr>
      <w:r>
        <w:rPr>
          <w:rFonts w:hint="eastAsia" w:ascii="宋体" w:hAnsi="宋体" w:eastAsia="宋体" w:cs="宋体"/>
          <w:kern w:val="2"/>
          <w:sz w:val="24"/>
          <w:szCs w:val="21"/>
          <w:highlight w:val="yellow"/>
          <w:lang w:val="en-US" w:eastAsia="zh-CN" w:bidi="ar-SA"/>
        </w:rPr>
        <w:t>兽类资源：常见哺乳动物以鼠类为主。在农田、森林生境中，主要分布的小型兽类有黑线仓鼠（Cricetulus barabensis）、东方田鼠（Microtus fortis）和小家鼠（Mus musculus）等常见物种。</w:t>
      </w:r>
    </w:p>
    <w:p w14:paraId="4A15AA60">
      <w:pPr>
        <w:keepNext w:val="0"/>
        <w:keepLines w:val="0"/>
        <w:pageBreakBefore w:val="0"/>
        <w:widowControl/>
        <w:numPr>
          <w:ilvl w:val="0"/>
          <w:numId w:val="0"/>
        </w:numPr>
        <w:suppressLineNumbers w:val="0"/>
        <w:pBdr>
          <w:left w:val="none" w:color="auto" w:sz="0" w:space="0"/>
        </w:pBdr>
        <w:kinsoku/>
        <w:wordWrap/>
        <w:overflowPunct/>
        <w:topLinePunct w:val="0"/>
        <w:autoSpaceDE w:val="0"/>
        <w:autoSpaceDN w:val="0"/>
        <w:bidi w:val="0"/>
        <w:adjustRightInd/>
        <w:snapToGrid/>
        <w:spacing w:before="0" w:beforeAutospacing="0" w:after="0" w:afterAutospacing="0" w:line="360" w:lineRule="auto"/>
        <w:ind w:leftChars="0" w:right="0" w:rightChars="0" w:firstLine="480" w:firstLineChars="200"/>
        <w:textAlignment w:val="auto"/>
        <w:rPr>
          <w:rFonts w:hint="eastAsia" w:ascii="宋体" w:hAnsi="宋体" w:eastAsia="宋体" w:cs="宋体"/>
          <w:highlight w:val="yellow"/>
        </w:rPr>
      </w:pPr>
      <w:r>
        <w:rPr>
          <w:rFonts w:hint="eastAsia" w:ascii="宋体" w:hAnsi="宋体" w:eastAsia="宋体" w:cs="宋体"/>
          <w:kern w:val="2"/>
          <w:sz w:val="24"/>
          <w:szCs w:val="21"/>
          <w:highlight w:val="yellow"/>
          <w:lang w:val="en-US" w:eastAsia="zh-CN" w:bidi="ar-SA"/>
        </w:rPr>
        <w:t>两栖类：两栖动物中无国家重点保护动物，主要有东方铃蟾 (Bombina orientalis)、中华大蟾蜍（Bufo bufogargarizans）、东北雨蛙（Hyla japonica），均属于一般野生动物。</w:t>
      </w:r>
    </w:p>
    <w:p w14:paraId="05C7ED71">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yellow"/>
          <w:lang w:val="en-US" w:eastAsia="zh-CN"/>
        </w:rPr>
      </w:pPr>
      <w:r>
        <w:rPr>
          <w:rFonts w:hint="eastAsia" w:ascii="宋体" w:hAnsi="宋体" w:eastAsia="宋体" w:cs="宋体"/>
          <w:b/>
          <w:bCs/>
          <w:sz w:val="24"/>
          <w:szCs w:val="21"/>
          <w:highlight w:val="yellow"/>
          <w:lang w:val="en-US" w:eastAsia="zh-CN"/>
        </w:rPr>
        <w:t>2.1</w:t>
      </w:r>
      <w:r>
        <w:rPr>
          <w:rFonts w:hint="eastAsia" w:ascii="宋体" w:hAnsi="宋体" w:cs="宋体"/>
          <w:b/>
          <w:bCs/>
          <w:sz w:val="24"/>
          <w:szCs w:val="21"/>
          <w:highlight w:val="yellow"/>
          <w:lang w:val="en-US" w:eastAsia="zh-CN"/>
        </w:rPr>
        <w:t>0</w:t>
      </w:r>
      <w:r>
        <w:rPr>
          <w:rFonts w:hint="eastAsia" w:ascii="宋体" w:hAnsi="宋体" w:eastAsia="宋体" w:cs="宋体"/>
          <w:b/>
          <w:bCs/>
          <w:sz w:val="24"/>
          <w:szCs w:val="21"/>
          <w:highlight w:val="yellow"/>
          <w:lang w:val="en-US" w:eastAsia="zh-CN"/>
        </w:rPr>
        <w:t>水土流失现状</w:t>
      </w:r>
    </w:p>
    <w:p w14:paraId="0CC98252">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rPr>
          <w:rFonts w:hint="eastAsia" w:ascii="宋体" w:hAnsi="宋体" w:eastAsia="宋体" w:cs="宋体"/>
          <w:bCs/>
          <w:smallCaps w:val="0"/>
          <w:color w:val="auto"/>
          <w:kern w:val="2"/>
          <w:sz w:val="24"/>
          <w:szCs w:val="24"/>
          <w:highlight w:val="yellow"/>
          <w:lang w:val="en-US" w:eastAsia="zh-CN" w:bidi="ar-SA"/>
        </w:rPr>
      </w:pPr>
      <w:r>
        <w:rPr>
          <w:rFonts w:hint="eastAsia" w:ascii="宋体" w:hAnsi="宋体" w:eastAsia="宋体" w:cs="宋体"/>
          <w:bCs/>
          <w:smallCaps w:val="0"/>
          <w:color w:val="auto"/>
          <w:kern w:val="2"/>
          <w:sz w:val="24"/>
          <w:szCs w:val="24"/>
          <w:highlight w:val="yellow"/>
          <w:lang w:val="en-US" w:eastAsia="zh-CN" w:bidi="ar-SA"/>
        </w:rPr>
        <w:t>根据《2022年黑龙江省水土保持公报》，双鸭山市水土流失为水力侵蚀。水土流失总面积4309.62km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，其中：轻度侵蚀面积3666.23km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，占总面积的85.07%；中度侵蚀面积380.21km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，占总面积8.82%；强烈侵蚀面积151.19kkm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，占总面积3.51%；极强烈侵蚀面积90.07km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，占总面积2.09%；剧烈侵蚀面积21.92km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，占总面积0.51%。双鸭山市岭东区水土流失为水力侵蚀，水土流失总面积223.42km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，其中：轻度侵蚀面积179.23km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，占总面积的80.22%；中度侵蚀面积16.37km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，占总面积7.33%；强烈侵蚀面积16.27kkm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，占总面积7.28%；极强烈侵蚀面积8.18km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，占总面积3.66%；剧烈侵蚀面积3.37km</w:t>
      </w:r>
      <w:r>
        <w:rPr>
          <w:rFonts w:hint="eastAsia" w:ascii="宋体" w:hAnsi="宋体" w:eastAsia="宋体" w:cs="宋体"/>
          <w:bCs/>
          <w:smallCaps w:val="0"/>
          <w:color w:val="auto"/>
          <w:kern w:val="2"/>
          <w:sz w:val="24"/>
          <w:szCs w:val="24"/>
          <w:highlight w:val="yellow"/>
          <w:vertAlign w:val="superscript"/>
          <w:lang w:val="en-US" w:eastAsia="zh-CN" w:bidi="ar-SA"/>
        </w:rPr>
        <w:t>2</w:t>
      </w:r>
      <w:r>
        <w:rPr>
          <w:rFonts w:hint="eastAsia" w:ascii="宋体" w:hAnsi="宋体" w:eastAsia="宋体" w:cs="宋体"/>
          <w:bCs/>
          <w:smallCaps w:val="0"/>
          <w:color w:val="auto"/>
          <w:kern w:val="2"/>
          <w:sz w:val="24"/>
          <w:szCs w:val="24"/>
          <w:highlight w:val="yellow"/>
          <w:lang w:val="en-US" w:eastAsia="zh-CN" w:bidi="ar-SA"/>
        </w:rPr>
        <w:t>，占总面积1.51%。</w:t>
      </w:r>
    </w:p>
    <w:p w14:paraId="4C7E5C51">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160764D4">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77F03F55">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3C8723B3">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5ECE5B8C">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1ADF3D25">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r>
        <w:rPr>
          <w:rFonts w:hint="eastAsia" w:ascii="宋体" w:hAnsi="宋体" w:eastAsia="宋体" w:cs="宋体"/>
          <w:b/>
          <w:bCs/>
          <w:sz w:val="21"/>
          <w:szCs w:val="21"/>
          <w:highlight w:val="yellow"/>
          <w:lang w:val="en-US" w:eastAsia="zh-CN"/>
        </w:rPr>
        <w:t>表2.11-1 双鸭山市水土流失现状统计表</w:t>
      </w:r>
    </w:p>
    <w:tbl>
      <w:tblPr>
        <w:tblStyle w:val="33"/>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1"/>
        <w:gridCol w:w="645"/>
        <w:gridCol w:w="405"/>
        <w:gridCol w:w="710"/>
        <w:gridCol w:w="743"/>
        <w:gridCol w:w="741"/>
        <w:gridCol w:w="656"/>
        <w:gridCol w:w="654"/>
        <w:gridCol w:w="656"/>
        <w:gridCol w:w="654"/>
        <w:gridCol w:w="656"/>
        <w:gridCol w:w="695"/>
        <w:gridCol w:w="626"/>
      </w:tblGrid>
      <w:tr w14:paraId="29821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restart"/>
            <w:tcBorders>
              <w:top w:val="single" w:color="000000" w:sz="12" w:space="0"/>
              <w:left w:val="nil"/>
              <w:bottom w:val="single" w:color="000000" w:sz="4" w:space="0"/>
              <w:right w:val="single" w:color="000000" w:sz="4" w:space="0"/>
            </w:tcBorders>
            <w:noWrap w:val="0"/>
            <w:vAlign w:val="center"/>
          </w:tcPr>
          <w:p w14:paraId="3983B3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项目所在地</w:t>
            </w:r>
          </w:p>
        </w:tc>
        <w:tc>
          <w:tcPr>
            <w:tcW w:w="616" w:type="pct"/>
            <w:gridSpan w:val="2"/>
            <w:vMerge w:val="restart"/>
            <w:tcBorders>
              <w:top w:val="single" w:color="000000" w:sz="12" w:space="0"/>
              <w:left w:val="single" w:color="000000" w:sz="4" w:space="0"/>
              <w:bottom w:val="single" w:color="000000" w:sz="4" w:space="0"/>
              <w:right w:val="single" w:color="000000" w:sz="4" w:space="0"/>
            </w:tcBorders>
            <w:noWrap w:val="0"/>
            <w:vAlign w:val="center"/>
          </w:tcPr>
          <w:p w14:paraId="54EE4F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侵蚀面积（km</w:t>
            </w:r>
            <w:r>
              <w:rPr>
                <w:rStyle w:val="106"/>
                <w:rFonts w:hint="eastAsia" w:ascii="宋体" w:hAnsi="宋体" w:eastAsia="宋体" w:cs="宋体"/>
                <w:sz w:val="21"/>
                <w:szCs w:val="21"/>
                <w:highlight w:val="yellow"/>
                <w:vertAlign w:val="superscript"/>
                <w:lang w:val="en-US" w:eastAsia="zh-CN" w:bidi="ar"/>
              </w:rPr>
              <w:t>2</w:t>
            </w:r>
            <w:r>
              <w:rPr>
                <w:rStyle w:val="106"/>
                <w:rFonts w:hint="eastAsia" w:ascii="宋体" w:hAnsi="宋体" w:eastAsia="宋体" w:cs="宋体"/>
                <w:sz w:val="21"/>
                <w:szCs w:val="21"/>
                <w:highlight w:val="yellow"/>
                <w:lang w:val="en-US" w:eastAsia="zh-CN" w:bidi="ar"/>
              </w:rPr>
              <w:t>)</w:t>
            </w:r>
          </w:p>
        </w:tc>
        <w:tc>
          <w:tcPr>
            <w:tcW w:w="3984" w:type="pct"/>
            <w:gridSpan w:val="10"/>
            <w:tcBorders>
              <w:top w:val="single" w:color="000000" w:sz="12" w:space="0"/>
              <w:left w:val="single" w:color="000000" w:sz="4" w:space="0"/>
              <w:bottom w:val="single" w:color="000000" w:sz="4" w:space="0"/>
              <w:right w:val="nil"/>
            </w:tcBorders>
            <w:noWrap w:val="0"/>
            <w:vAlign w:val="center"/>
          </w:tcPr>
          <w:p w14:paraId="4A0BC5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各级别强度土壤侵蚀面积</w:t>
            </w:r>
          </w:p>
        </w:tc>
      </w:tr>
      <w:tr w14:paraId="77B16A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continue"/>
            <w:tcBorders>
              <w:top w:val="single" w:color="000000" w:sz="4" w:space="0"/>
              <w:left w:val="nil"/>
              <w:bottom w:val="single" w:color="000000" w:sz="4" w:space="0"/>
              <w:right w:val="single" w:color="000000" w:sz="4" w:space="0"/>
            </w:tcBorders>
            <w:noWrap w:val="0"/>
            <w:vAlign w:val="center"/>
          </w:tcPr>
          <w:p w14:paraId="4C87BD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616"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419AE2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bCs/>
                <w:i w:val="0"/>
                <w:iCs w:val="0"/>
                <w:color w:val="000000"/>
                <w:sz w:val="21"/>
                <w:szCs w:val="21"/>
                <w:highlight w:val="yellow"/>
                <w:u w:val="none"/>
              </w:rPr>
            </w:pPr>
          </w:p>
        </w:tc>
        <w:tc>
          <w:tcPr>
            <w:tcW w:w="852" w:type="pct"/>
            <w:gridSpan w:val="2"/>
            <w:tcBorders>
              <w:top w:val="single" w:color="000000" w:sz="4" w:space="0"/>
              <w:left w:val="single" w:color="000000" w:sz="4" w:space="0"/>
              <w:bottom w:val="single" w:color="000000" w:sz="4" w:space="0"/>
              <w:right w:val="single" w:color="000000" w:sz="4" w:space="0"/>
            </w:tcBorders>
            <w:noWrap w:val="0"/>
            <w:vAlign w:val="center"/>
          </w:tcPr>
          <w:p w14:paraId="431F8B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轻度</w:t>
            </w:r>
          </w:p>
        </w:tc>
        <w:tc>
          <w:tcPr>
            <w:tcW w:w="819" w:type="pct"/>
            <w:gridSpan w:val="2"/>
            <w:tcBorders>
              <w:top w:val="single" w:color="000000" w:sz="4" w:space="0"/>
              <w:left w:val="single" w:color="000000" w:sz="4" w:space="0"/>
              <w:bottom w:val="single" w:color="000000" w:sz="4" w:space="0"/>
              <w:right w:val="single" w:color="000000" w:sz="4" w:space="0"/>
            </w:tcBorders>
            <w:noWrap w:val="0"/>
            <w:vAlign w:val="center"/>
          </w:tcPr>
          <w:p w14:paraId="2BC523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中度</w:t>
            </w:r>
          </w:p>
        </w:tc>
        <w:tc>
          <w:tcPr>
            <w:tcW w:w="768" w:type="pct"/>
            <w:gridSpan w:val="2"/>
            <w:tcBorders>
              <w:top w:val="single" w:color="000000" w:sz="4" w:space="0"/>
              <w:left w:val="single" w:color="000000" w:sz="4" w:space="0"/>
              <w:bottom w:val="single" w:color="000000" w:sz="4" w:space="0"/>
              <w:right w:val="single" w:color="000000" w:sz="4" w:space="0"/>
            </w:tcBorders>
            <w:noWrap w:val="0"/>
            <w:vAlign w:val="center"/>
          </w:tcPr>
          <w:p w14:paraId="0DE3D2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强烈</w:t>
            </w:r>
          </w:p>
        </w:tc>
        <w:tc>
          <w:tcPr>
            <w:tcW w:w="768" w:type="pct"/>
            <w:gridSpan w:val="2"/>
            <w:tcBorders>
              <w:top w:val="single" w:color="000000" w:sz="4" w:space="0"/>
              <w:left w:val="single" w:color="000000" w:sz="4" w:space="0"/>
              <w:bottom w:val="single" w:color="000000" w:sz="4" w:space="0"/>
              <w:right w:val="single" w:color="000000" w:sz="4" w:space="0"/>
            </w:tcBorders>
            <w:noWrap w:val="0"/>
            <w:vAlign w:val="center"/>
          </w:tcPr>
          <w:p w14:paraId="257372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极强烈</w:t>
            </w:r>
          </w:p>
        </w:tc>
        <w:tc>
          <w:tcPr>
            <w:tcW w:w="775" w:type="pct"/>
            <w:gridSpan w:val="2"/>
            <w:tcBorders>
              <w:top w:val="single" w:color="000000" w:sz="4" w:space="0"/>
              <w:left w:val="single" w:color="000000" w:sz="4" w:space="0"/>
              <w:bottom w:val="single" w:color="000000" w:sz="4" w:space="0"/>
              <w:right w:val="nil"/>
            </w:tcBorders>
            <w:noWrap w:val="0"/>
            <w:vAlign w:val="center"/>
          </w:tcPr>
          <w:p w14:paraId="1D318C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剧烈</w:t>
            </w:r>
          </w:p>
        </w:tc>
      </w:tr>
      <w:tr w14:paraId="43DBE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continue"/>
            <w:tcBorders>
              <w:top w:val="single" w:color="000000" w:sz="4" w:space="0"/>
              <w:left w:val="nil"/>
              <w:bottom w:val="single" w:color="000000" w:sz="4" w:space="0"/>
              <w:right w:val="single" w:color="000000" w:sz="4" w:space="0"/>
            </w:tcBorders>
            <w:noWrap w:val="0"/>
            <w:vAlign w:val="center"/>
          </w:tcPr>
          <w:p w14:paraId="5F7101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616"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BC59E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bCs/>
                <w:i w:val="0"/>
                <w:iCs w:val="0"/>
                <w:color w:val="000000"/>
                <w:sz w:val="21"/>
                <w:szCs w:val="21"/>
                <w:highlight w:val="yellow"/>
                <w:u w:val="none"/>
              </w:rPr>
            </w:pPr>
          </w:p>
        </w:tc>
        <w:tc>
          <w:tcPr>
            <w:tcW w:w="416" w:type="pct"/>
            <w:tcBorders>
              <w:top w:val="single" w:color="000000" w:sz="4" w:space="0"/>
              <w:left w:val="single" w:color="000000" w:sz="4" w:space="0"/>
              <w:bottom w:val="single" w:color="000000" w:sz="4" w:space="0"/>
              <w:right w:val="single" w:color="000000" w:sz="4" w:space="0"/>
            </w:tcBorders>
            <w:noWrap w:val="0"/>
            <w:vAlign w:val="center"/>
          </w:tcPr>
          <w:p w14:paraId="7AE34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435" w:type="pct"/>
            <w:tcBorders>
              <w:top w:val="single" w:color="000000" w:sz="4" w:space="0"/>
              <w:left w:val="single" w:color="000000" w:sz="4" w:space="0"/>
              <w:bottom w:val="single" w:color="000000" w:sz="4" w:space="0"/>
              <w:right w:val="single" w:color="000000" w:sz="4" w:space="0"/>
            </w:tcBorders>
            <w:noWrap w:val="0"/>
            <w:vAlign w:val="center"/>
          </w:tcPr>
          <w:p w14:paraId="58E6CF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14:paraId="7CF1A0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5701B2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w:t>
            </w:r>
          </w:p>
        </w:tc>
        <w:tc>
          <w:tcPr>
            <w:tcW w:w="383" w:type="pct"/>
            <w:tcBorders>
              <w:top w:val="single" w:color="000000" w:sz="4" w:space="0"/>
              <w:left w:val="single" w:color="000000" w:sz="4" w:space="0"/>
              <w:bottom w:val="single" w:color="000000" w:sz="4" w:space="0"/>
              <w:right w:val="single" w:color="000000" w:sz="4" w:space="0"/>
            </w:tcBorders>
            <w:noWrap w:val="0"/>
            <w:vAlign w:val="center"/>
          </w:tcPr>
          <w:p w14:paraId="5EB94E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13DE30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c>
          <w:tcPr>
            <w:tcW w:w="383" w:type="pct"/>
            <w:tcBorders>
              <w:top w:val="single" w:color="000000" w:sz="4" w:space="0"/>
              <w:left w:val="single" w:color="000000" w:sz="4" w:space="0"/>
              <w:bottom w:val="single" w:color="000000" w:sz="4" w:space="0"/>
              <w:right w:val="single" w:color="000000" w:sz="4" w:space="0"/>
            </w:tcBorders>
            <w:noWrap w:val="0"/>
            <w:vAlign w:val="center"/>
          </w:tcPr>
          <w:p w14:paraId="751B83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33ABD3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w:t>
            </w: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354028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67" w:type="pct"/>
            <w:tcBorders>
              <w:top w:val="single" w:color="000000" w:sz="4" w:space="0"/>
              <w:left w:val="single" w:color="000000" w:sz="4" w:space="0"/>
              <w:bottom w:val="single" w:color="000000" w:sz="4" w:space="0"/>
              <w:right w:val="nil"/>
            </w:tcBorders>
            <w:noWrap w:val="0"/>
            <w:vAlign w:val="center"/>
          </w:tcPr>
          <w:p w14:paraId="6B527D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r>
      <w:tr w14:paraId="26EF8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399" w:type="pct"/>
            <w:tcBorders>
              <w:top w:val="single" w:color="000000" w:sz="4" w:space="0"/>
              <w:left w:val="nil"/>
              <w:bottom w:val="single" w:color="000000" w:sz="12" w:space="0"/>
              <w:right w:val="single" w:color="000000" w:sz="4" w:space="0"/>
            </w:tcBorders>
            <w:noWrap w:val="0"/>
            <w:vAlign w:val="center"/>
          </w:tcPr>
          <w:p w14:paraId="60FCCA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双鸭山市</w:t>
            </w:r>
          </w:p>
        </w:tc>
        <w:tc>
          <w:tcPr>
            <w:tcW w:w="378" w:type="pct"/>
            <w:tcBorders>
              <w:top w:val="single" w:color="000000" w:sz="4" w:space="0"/>
              <w:left w:val="single" w:color="000000" w:sz="4" w:space="0"/>
              <w:bottom w:val="single" w:color="000000" w:sz="12" w:space="0"/>
              <w:right w:val="single" w:color="000000" w:sz="4" w:space="0"/>
            </w:tcBorders>
            <w:noWrap w:val="0"/>
            <w:vAlign w:val="center"/>
          </w:tcPr>
          <w:p w14:paraId="4083BA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4309.62</w:t>
            </w:r>
          </w:p>
        </w:tc>
        <w:tc>
          <w:tcPr>
            <w:tcW w:w="237" w:type="pct"/>
            <w:tcBorders>
              <w:top w:val="single" w:color="000000" w:sz="4" w:space="0"/>
              <w:left w:val="single" w:color="000000" w:sz="4" w:space="0"/>
              <w:bottom w:val="single" w:color="000000" w:sz="12" w:space="0"/>
              <w:right w:val="single" w:color="000000" w:sz="4" w:space="0"/>
            </w:tcBorders>
            <w:noWrap w:val="0"/>
            <w:vAlign w:val="center"/>
          </w:tcPr>
          <w:p w14:paraId="4DAEC6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水蚀</w:t>
            </w:r>
          </w:p>
        </w:tc>
        <w:tc>
          <w:tcPr>
            <w:tcW w:w="416" w:type="pct"/>
            <w:tcBorders>
              <w:top w:val="single" w:color="000000" w:sz="4" w:space="0"/>
              <w:left w:val="single" w:color="000000" w:sz="4" w:space="0"/>
              <w:bottom w:val="single" w:color="000000" w:sz="12" w:space="0"/>
              <w:right w:val="single" w:color="000000" w:sz="4" w:space="0"/>
            </w:tcBorders>
            <w:noWrap w:val="0"/>
            <w:vAlign w:val="center"/>
          </w:tcPr>
          <w:p w14:paraId="281C45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3666.23</w:t>
            </w:r>
          </w:p>
        </w:tc>
        <w:tc>
          <w:tcPr>
            <w:tcW w:w="435" w:type="pct"/>
            <w:tcBorders>
              <w:top w:val="single" w:color="000000" w:sz="4" w:space="0"/>
              <w:left w:val="single" w:color="000000" w:sz="4" w:space="0"/>
              <w:bottom w:val="single" w:color="000000" w:sz="12" w:space="0"/>
              <w:right w:val="single" w:color="000000" w:sz="4" w:space="0"/>
            </w:tcBorders>
            <w:noWrap w:val="0"/>
            <w:vAlign w:val="center"/>
          </w:tcPr>
          <w:p w14:paraId="794AC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85.07</w:t>
            </w:r>
          </w:p>
        </w:tc>
        <w:tc>
          <w:tcPr>
            <w:tcW w:w="434" w:type="pct"/>
            <w:tcBorders>
              <w:top w:val="single" w:color="000000" w:sz="4" w:space="0"/>
              <w:left w:val="single" w:color="000000" w:sz="4" w:space="0"/>
              <w:bottom w:val="single" w:color="000000" w:sz="12" w:space="0"/>
              <w:right w:val="single" w:color="000000" w:sz="4" w:space="0"/>
            </w:tcBorders>
            <w:noWrap w:val="0"/>
            <w:vAlign w:val="center"/>
          </w:tcPr>
          <w:p w14:paraId="40CE2A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kern w:val="0"/>
                <w:sz w:val="21"/>
                <w:szCs w:val="21"/>
                <w:highlight w:val="yellow"/>
                <w:u w:val="none"/>
                <w:lang w:val="en-US" w:eastAsia="zh-CN" w:bidi="ar"/>
              </w:rPr>
              <w:t>380.21</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746FEA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8.82</w:t>
            </w:r>
          </w:p>
        </w:tc>
        <w:tc>
          <w:tcPr>
            <w:tcW w:w="383" w:type="pct"/>
            <w:tcBorders>
              <w:top w:val="single" w:color="000000" w:sz="4" w:space="0"/>
              <w:left w:val="single" w:color="000000" w:sz="4" w:space="0"/>
              <w:bottom w:val="single" w:color="000000" w:sz="12" w:space="0"/>
              <w:right w:val="single" w:color="000000" w:sz="4" w:space="0"/>
            </w:tcBorders>
            <w:noWrap w:val="0"/>
            <w:vAlign w:val="center"/>
          </w:tcPr>
          <w:p w14:paraId="7B8F85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151.19</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13650D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3.51</w:t>
            </w:r>
          </w:p>
        </w:tc>
        <w:tc>
          <w:tcPr>
            <w:tcW w:w="383" w:type="pct"/>
            <w:tcBorders>
              <w:top w:val="single" w:color="000000" w:sz="4" w:space="0"/>
              <w:left w:val="single" w:color="000000" w:sz="4" w:space="0"/>
              <w:bottom w:val="single" w:color="000000" w:sz="12" w:space="0"/>
              <w:right w:val="single" w:color="000000" w:sz="4" w:space="0"/>
            </w:tcBorders>
            <w:noWrap w:val="0"/>
            <w:vAlign w:val="center"/>
          </w:tcPr>
          <w:p w14:paraId="792DB7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90.07</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38DDB9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2.09</w:t>
            </w:r>
          </w:p>
        </w:tc>
        <w:tc>
          <w:tcPr>
            <w:tcW w:w="407" w:type="pct"/>
            <w:tcBorders>
              <w:top w:val="single" w:color="000000" w:sz="4" w:space="0"/>
              <w:left w:val="single" w:color="000000" w:sz="4" w:space="0"/>
              <w:bottom w:val="single" w:color="000000" w:sz="12" w:space="0"/>
              <w:right w:val="single" w:color="000000" w:sz="4" w:space="0"/>
            </w:tcBorders>
            <w:noWrap w:val="0"/>
            <w:vAlign w:val="center"/>
          </w:tcPr>
          <w:p w14:paraId="4FF5D7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21.92</w:t>
            </w:r>
          </w:p>
        </w:tc>
        <w:tc>
          <w:tcPr>
            <w:tcW w:w="367" w:type="pct"/>
            <w:tcBorders>
              <w:top w:val="single" w:color="000000" w:sz="4" w:space="0"/>
              <w:left w:val="single" w:color="000000" w:sz="4" w:space="0"/>
              <w:bottom w:val="single" w:color="000000" w:sz="12" w:space="0"/>
              <w:right w:val="nil"/>
            </w:tcBorders>
            <w:noWrap w:val="0"/>
            <w:vAlign w:val="center"/>
          </w:tcPr>
          <w:p w14:paraId="5767A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0.51</w:t>
            </w:r>
          </w:p>
        </w:tc>
      </w:tr>
    </w:tbl>
    <w:p w14:paraId="3D58F8C9">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p>
    <w:p w14:paraId="07BDD016">
      <w:pPr>
        <w:pStyle w:val="15"/>
        <w:spacing w:line="240" w:lineRule="auto"/>
        <w:ind w:left="0" w:leftChars="0" w:firstLine="0" w:firstLineChars="0"/>
        <w:jc w:val="center"/>
        <w:rPr>
          <w:rFonts w:hint="eastAsia" w:ascii="宋体" w:hAnsi="宋体" w:eastAsia="宋体" w:cs="宋体"/>
          <w:b/>
          <w:bCs/>
          <w:sz w:val="21"/>
          <w:szCs w:val="21"/>
          <w:highlight w:val="yellow"/>
          <w:lang w:val="en-US" w:eastAsia="zh-CN"/>
        </w:rPr>
      </w:pPr>
      <w:r>
        <w:rPr>
          <w:rFonts w:hint="eastAsia" w:ascii="宋体" w:hAnsi="宋体" w:eastAsia="宋体" w:cs="宋体"/>
          <w:b/>
          <w:bCs/>
          <w:sz w:val="21"/>
          <w:szCs w:val="21"/>
          <w:highlight w:val="yellow"/>
          <w:lang w:val="en-US" w:eastAsia="zh-CN"/>
        </w:rPr>
        <w:t>表2.11-2 双鸭山市岭东区水土流失现状统计表</w:t>
      </w:r>
    </w:p>
    <w:tbl>
      <w:tblPr>
        <w:tblStyle w:val="33"/>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1"/>
        <w:gridCol w:w="645"/>
        <w:gridCol w:w="405"/>
        <w:gridCol w:w="710"/>
        <w:gridCol w:w="743"/>
        <w:gridCol w:w="741"/>
        <w:gridCol w:w="656"/>
        <w:gridCol w:w="654"/>
        <w:gridCol w:w="656"/>
        <w:gridCol w:w="654"/>
        <w:gridCol w:w="656"/>
        <w:gridCol w:w="655"/>
        <w:gridCol w:w="666"/>
      </w:tblGrid>
      <w:tr w14:paraId="744F7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restart"/>
            <w:tcBorders>
              <w:top w:val="single" w:color="000000" w:sz="12" w:space="0"/>
              <w:left w:val="nil"/>
              <w:bottom w:val="single" w:color="000000" w:sz="4" w:space="0"/>
              <w:right w:val="single" w:color="000000" w:sz="4" w:space="0"/>
            </w:tcBorders>
            <w:noWrap w:val="0"/>
            <w:vAlign w:val="center"/>
          </w:tcPr>
          <w:p w14:paraId="24EACE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项目所在地</w:t>
            </w:r>
          </w:p>
        </w:tc>
        <w:tc>
          <w:tcPr>
            <w:tcW w:w="616" w:type="pct"/>
            <w:gridSpan w:val="2"/>
            <w:vMerge w:val="restart"/>
            <w:tcBorders>
              <w:top w:val="single" w:color="000000" w:sz="12" w:space="0"/>
              <w:left w:val="single" w:color="000000" w:sz="4" w:space="0"/>
              <w:bottom w:val="single" w:color="000000" w:sz="4" w:space="0"/>
              <w:right w:val="single" w:color="000000" w:sz="4" w:space="0"/>
            </w:tcBorders>
            <w:noWrap w:val="0"/>
            <w:vAlign w:val="center"/>
          </w:tcPr>
          <w:p w14:paraId="1C5746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侵蚀面积（km</w:t>
            </w:r>
            <w:r>
              <w:rPr>
                <w:rStyle w:val="106"/>
                <w:rFonts w:hint="eastAsia" w:ascii="宋体" w:hAnsi="宋体" w:eastAsia="宋体" w:cs="宋体"/>
                <w:sz w:val="21"/>
                <w:szCs w:val="21"/>
                <w:highlight w:val="yellow"/>
                <w:vertAlign w:val="superscript"/>
                <w:lang w:val="en-US" w:eastAsia="zh-CN" w:bidi="ar"/>
              </w:rPr>
              <w:t>2</w:t>
            </w:r>
            <w:r>
              <w:rPr>
                <w:rStyle w:val="106"/>
                <w:rFonts w:hint="eastAsia" w:ascii="宋体" w:hAnsi="宋体" w:eastAsia="宋体" w:cs="宋体"/>
                <w:sz w:val="21"/>
                <w:szCs w:val="21"/>
                <w:highlight w:val="yellow"/>
                <w:lang w:val="en-US" w:eastAsia="zh-CN" w:bidi="ar"/>
              </w:rPr>
              <w:t>)</w:t>
            </w:r>
          </w:p>
        </w:tc>
        <w:tc>
          <w:tcPr>
            <w:tcW w:w="3984" w:type="pct"/>
            <w:gridSpan w:val="10"/>
            <w:tcBorders>
              <w:top w:val="single" w:color="000000" w:sz="12" w:space="0"/>
              <w:left w:val="single" w:color="000000" w:sz="4" w:space="0"/>
              <w:bottom w:val="single" w:color="000000" w:sz="4" w:space="0"/>
              <w:right w:val="nil"/>
            </w:tcBorders>
            <w:noWrap w:val="0"/>
            <w:vAlign w:val="center"/>
          </w:tcPr>
          <w:p w14:paraId="218CC5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各级别强度土壤侵蚀面积</w:t>
            </w:r>
          </w:p>
        </w:tc>
      </w:tr>
      <w:tr w14:paraId="50175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continue"/>
            <w:tcBorders>
              <w:top w:val="single" w:color="000000" w:sz="4" w:space="0"/>
              <w:left w:val="nil"/>
              <w:bottom w:val="single" w:color="000000" w:sz="4" w:space="0"/>
              <w:right w:val="single" w:color="000000" w:sz="4" w:space="0"/>
            </w:tcBorders>
            <w:noWrap w:val="0"/>
            <w:vAlign w:val="center"/>
          </w:tcPr>
          <w:p w14:paraId="2E08BF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616"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3A0AB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bCs/>
                <w:i w:val="0"/>
                <w:iCs w:val="0"/>
                <w:color w:val="000000"/>
                <w:sz w:val="21"/>
                <w:szCs w:val="21"/>
                <w:highlight w:val="yellow"/>
                <w:u w:val="none"/>
              </w:rPr>
            </w:pPr>
          </w:p>
        </w:tc>
        <w:tc>
          <w:tcPr>
            <w:tcW w:w="852" w:type="pct"/>
            <w:gridSpan w:val="2"/>
            <w:tcBorders>
              <w:top w:val="single" w:color="000000" w:sz="4" w:space="0"/>
              <w:left w:val="single" w:color="000000" w:sz="4" w:space="0"/>
              <w:bottom w:val="single" w:color="000000" w:sz="4" w:space="0"/>
              <w:right w:val="single" w:color="000000" w:sz="4" w:space="0"/>
            </w:tcBorders>
            <w:noWrap w:val="0"/>
            <w:vAlign w:val="center"/>
          </w:tcPr>
          <w:p w14:paraId="431B4C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轻度</w:t>
            </w:r>
          </w:p>
        </w:tc>
        <w:tc>
          <w:tcPr>
            <w:tcW w:w="819" w:type="pct"/>
            <w:gridSpan w:val="2"/>
            <w:tcBorders>
              <w:top w:val="single" w:color="000000" w:sz="4" w:space="0"/>
              <w:left w:val="single" w:color="000000" w:sz="4" w:space="0"/>
              <w:bottom w:val="single" w:color="000000" w:sz="4" w:space="0"/>
              <w:right w:val="single" w:color="000000" w:sz="4" w:space="0"/>
            </w:tcBorders>
            <w:noWrap w:val="0"/>
            <w:vAlign w:val="center"/>
          </w:tcPr>
          <w:p w14:paraId="3C1F7D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中度</w:t>
            </w:r>
          </w:p>
        </w:tc>
        <w:tc>
          <w:tcPr>
            <w:tcW w:w="768" w:type="pct"/>
            <w:gridSpan w:val="2"/>
            <w:tcBorders>
              <w:top w:val="single" w:color="000000" w:sz="4" w:space="0"/>
              <w:left w:val="single" w:color="000000" w:sz="4" w:space="0"/>
              <w:bottom w:val="single" w:color="000000" w:sz="4" w:space="0"/>
              <w:right w:val="single" w:color="000000" w:sz="4" w:space="0"/>
            </w:tcBorders>
            <w:noWrap w:val="0"/>
            <w:vAlign w:val="center"/>
          </w:tcPr>
          <w:p w14:paraId="4523C9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强烈</w:t>
            </w:r>
          </w:p>
        </w:tc>
        <w:tc>
          <w:tcPr>
            <w:tcW w:w="768" w:type="pct"/>
            <w:gridSpan w:val="2"/>
            <w:tcBorders>
              <w:top w:val="single" w:color="000000" w:sz="4" w:space="0"/>
              <w:left w:val="single" w:color="000000" w:sz="4" w:space="0"/>
              <w:bottom w:val="single" w:color="000000" w:sz="4" w:space="0"/>
              <w:right w:val="single" w:color="000000" w:sz="4" w:space="0"/>
            </w:tcBorders>
            <w:noWrap w:val="0"/>
            <w:vAlign w:val="center"/>
          </w:tcPr>
          <w:p w14:paraId="73B3B5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极强烈</w:t>
            </w:r>
          </w:p>
        </w:tc>
        <w:tc>
          <w:tcPr>
            <w:tcW w:w="775" w:type="pct"/>
            <w:gridSpan w:val="2"/>
            <w:tcBorders>
              <w:top w:val="single" w:color="000000" w:sz="4" w:space="0"/>
              <w:left w:val="single" w:color="000000" w:sz="4" w:space="0"/>
              <w:bottom w:val="single" w:color="000000" w:sz="4" w:space="0"/>
              <w:right w:val="nil"/>
            </w:tcBorders>
            <w:noWrap w:val="0"/>
            <w:vAlign w:val="center"/>
          </w:tcPr>
          <w:p w14:paraId="69D7F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yellow"/>
                <w:u w:val="none"/>
              </w:rPr>
            </w:pPr>
            <w:r>
              <w:rPr>
                <w:rStyle w:val="106"/>
                <w:rFonts w:hint="eastAsia" w:ascii="宋体" w:hAnsi="宋体" w:eastAsia="宋体" w:cs="宋体"/>
                <w:sz w:val="21"/>
                <w:szCs w:val="21"/>
                <w:highlight w:val="yellow"/>
                <w:lang w:val="en-US" w:eastAsia="zh-CN" w:bidi="ar"/>
              </w:rPr>
              <w:t>剧烈</w:t>
            </w:r>
          </w:p>
        </w:tc>
      </w:tr>
      <w:tr w14:paraId="6F678A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399" w:type="pct"/>
            <w:vMerge w:val="continue"/>
            <w:tcBorders>
              <w:top w:val="single" w:color="000000" w:sz="4" w:space="0"/>
              <w:left w:val="nil"/>
              <w:bottom w:val="single" w:color="000000" w:sz="4" w:space="0"/>
              <w:right w:val="single" w:color="000000" w:sz="4" w:space="0"/>
            </w:tcBorders>
            <w:noWrap w:val="0"/>
            <w:vAlign w:val="center"/>
          </w:tcPr>
          <w:p w14:paraId="5A5EDD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1"/>
                <w:szCs w:val="21"/>
                <w:highlight w:val="yellow"/>
                <w:u w:val="none"/>
              </w:rPr>
            </w:pPr>
          </w:p>
        </w:tc>
        <w:tc>
          <w:tcPr>
            <w:tcW w:w="616"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E3B0B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bCs/>
                <w:i w:val="0"/>
                <w:iCs w:val="0"/>
                <w:color w:val="000000"/>
                <w:sz w:val="21"/>
                <w:szCs w:val="21"/>
                <w:highlight w:val="yellow"/>
                <w:u w:val="none"/>
              </w:rPr>
            </w:pPr>
          </w:p>
        </w:tc>
        <w:tc>
          <w:tcPr>
            <w:tcW w:w="416" w:type="pct"/>
            <w:tcBorders>
              <w:top w:val="single" w:color="000000" w:sz="4" w:space="0"/>
              <w:left w:val="single" w:color="000000" w:sz="4" w:space="0"/>
              <w:bottom w:val="single" w:color="000000" w:sz="4" w:space="0"/>
              <w:right w:val="single" w:color="000000" w:sz="4" w:space="0"/>
            </w:tcBorders>
            <w:noWrap w:val="0"/>
            <w:vAlign w:val="center"/>
          </w:tcPr>
          <w:p w14:paraId="05AE9D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435" w:type="pct"/>
            <w:tcBorders>
              <w:top w:val="single" w:color="000000" w:sz="4" w:space="0"/>
              <w:left w:val="single" w:color="000000" w:sz="4" w:space="0"/>
              <w:bottom w:val="single" w:color="000000" w:sz="4" w:space="0"/>
              <w:right w:val="single" w:color="000000" w:sz="4" w:space="0"/>
            </w:tcBorders>
            <w:noWrap w:val="0"/>
            <w:vAlign w:val="center"/>
          </w:tcPr>
          <w:p w14:paraId="1F5DA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14:paraId="10769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7891E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w:t>
            </w:r>
          </w:p>
        </w:tc>
        <w:tc>
          <w:tcPr>
            <w:tcW w:w="383" w:type="pct"/>
            <w:tcBorders>
              <w:top w:val="single" w:color="000000" w:sz="4" w:space="0"/>
              <w:left w:val="single" w:color="000000" w:sz="4" w:space="0"/>
              <w:bottom w:val="single" w:color="000000" w:sz="4" w:space="0"/>
              <w:right w:val="single" w:color="000000" w:sz="4" w:space="0"/>
            </w:tcBorders>
            <w:noWrap w:val="0"/>
            <w:vAlign w:val="center"/>
          </w:tcPr>
          <w:p w14:paraId="6B71AA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2D1D20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c>
          <w:tcPr>
            <w:tcW w:w="383" w:type="pct"/>
            <w:tcBorders>
              <w:top w:val="single" w:color="000000" w:sz="4" w:space="0"/>
              <w:left w:val="single" w:color="000000" w:sz="4" w:space="0"/>
              <w:bottom w:val="single" w:color="000000" w:sz="4" w:space="0"/>
              <w:right w:val="single" w:color="000000" w:sz="4" w:space="0"/>
            </w:tcBorders>
            <w:noWrap w:val="0"/>
            <w:vAlign w:val="center"/>
          </w:tcPr>
          <w:p w14:paraId="504A62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33EFFD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w:t>
            </w:r>
          </w:p>
        </w:tc>
        <w:tc>
          <w:tcPr>
            <w:tcW w:w="384" w:type="pct"/>
            <w:tcBorders>
              <w:top w:val="single" w:color="000000" w:sz="4" w:space="0"/>
              <w:left w:val="single" w:color="000000" w:sz="4" w:space="0"/>
              <w:bottom w:val="single" w:color="000000" w:sz="4" w:space="0"/>
              <w:right w:val="single" w:color="000000" w:sz="4" w:space="0"/>
            </w:tcBorders>
            <w:noWrap w:val="0"/>
            <w:vAlign w:val="center"/>
          </w:tcPr>
          <w:p w14:paraId="15759D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6"/>
                <w:rFonts w:hint="eastAsia" w:ascii="宋体" w:hAnsi="宋体" w:eastAsia="宋体" w:cs="宋体"/>
                <w:b w:val="0"/>
                <w:bCs w:val="0"/>
                <w:sz w:val="21"/>
                <w:szCs w:val="21"/>
                <w:highlight w:val="yellow"/>
                <w:lang w:val="en-US" w:eastAsia="zh-CN" w:bidi="ar"/>
              </w:rPr>
              <w:t>面积</w:t>
            </w:r>
          </w:p>
        </w:tc>
        <w:tc>
          <w:tcPr>
            <w:tcW w:w="390" w:type="pct"/>
            <w:tcBorders>
              <w:top w:val="single" w:color="000000" w:sz="4" w:space="0"/>
              <w:left w:val="single" w:color="000000" w:sz="4" w:space="0"/>
              <w:bottom w:val="single" w:color="000000" w:sz="4" w:space="0"/>
              <w:right w:val="nil"/>
            </w:tcBorders>
            <w:noWrap w:val="0"/>
            <w:vAlign w:val="center"/>
          </w:tcPr>
          <w:p w14:paraId="6811E9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i w:val="0"/>
                <w:iCs w:val="0"/>
                <w:color w:val="000000"/>
                <w:sz w:val="21"/>
                <w:szCs w:val="21"/>
                <w:highlight w:val="yellow"/>
                <w:u w:val="none"/>
              </w:rPr>
            </w:pPr>
            <w:r>
              <w:rPr>
                <w:rStyle w:val="105"/>
                <w:rFonts w:hint="eastAsia" w:ascii="宋体" w:hAnsi="宋体" w:eastAsia="宋体" w:cs="宋体"/>
                <w:b w:val="0"/>
                <w:bCs w:val="0"/>
                <w:sz w:val="21"/>
                <w:szCs w:val="21"/>
                <w:highlight w:val="yellow"/>
                <w:lang w:val="en-US" w:eastAsia="zh-CN" w:bidi="ar"/>
              </w:rPr>
              <w:t>%</w:t>
            </w:r>
          </w:p>
        </w:tc>
      </w:tr>
      <w:tr w14:paraId="041987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399" w:type="pct"/>
            <w:tcBorders>
              <w:top w:val="single" w:color="000000" w:sz="4" w:space="0"/>
              <w:left w:val="nil"/>
              <w:bottom w:val="single" w:color="000000" w:sz="12" w:space="0"/>
              <w:right w:val="single" w:color="000000" w:sz="4" w:space="0"/>
            </w:tcBorders>
            <w:noWrap w:val="0"/>
            <w:vAlign w:val="center"/>
          </w:tcPr>
          <w:p w14:paraId="7F9037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岭东区</w:t>
            </w:r>
          </w:p>
        </w:tc>
        <w:tc>
          <w:tcPr>
            <w:tcW w:w="378" w:type="pct"/>
            <w:tcBorders>
              <w:top w:val="single" w:color="000000" w:sz="4" w:space="0"/>
              <w:left w:val="single" w:color="000000" w:sz="4" w:space="0"/>
              <w:bottom w:val="single" w:color="000000" w:sz="12" w:space="0"/>
              <w:right w:val="single" w:color="000000" w:sz="4" w:space="0"/>
            </w:tcBorders>
            <w:noWrap w:val="0"/>
            <w:vAlign w:val="center"/>
          </w:tcPr>
          <w:p w14:paraId="2C1A3A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i w:val="0"/>
                <w:iCs w:val="0"/>
                <w:color w:val="000000"/>
                <w:sz w:val="21"/>
                <w:szCs w:val="21"/>
                <w:highlight w:val="yellow"/>
                <w:u w:val="none"/>
                <w:lang w:val="en-US" w:eastAsia="zh-CN"/>
              </w:rPr>
              <w:t>223.42</w:t>
            </w:r>
          </w:p>
        </w:tc>
        <w:tc>
          <w:tcPr>
            <w:tcW w:w="237" w:type="pct"/>
            <w:tcBorders>
              <w:top w:val="single" w:color="000000" w:sz="4" w:space="0"/>
              <w:left w:val="single" w:color="000000" w:sz="4" w:space="0"/>
              <w:bottom w:val="single" w:color="000000" w:sz="12" w:space="0"/>
              <w:right w:val="single" w:color="000000" w:sz="4" w:space="0"/>
            </w:tcBorders>
            <w:noWrap w:val="0"/>
            <w:vAlign w:val="center"/>
          </w:tcPr>
          <w:p w14:paraId="218049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Style w:val="105"/>
                <w:rFonts w:hint="eastAsia" w:ascii="宋体" w:hAnsi="宋体" w:eastAsia="宋体" w:cs="宋体"/>
                <w:sz w:val="21"/>
                <w:szCs w:val="21"/>
                <w:highlight w:val="yellow"/>
                <w:lang w:val="en-US" w:eastAsia="zh-CN" w:bidi="ar"/>
              </w:rPr>
              <w:t>水蚀</w:t>
            </w:r>
          </w:p>
        </w:tc>
        <w:tc>
          <w:tcPr>
            <w:tcW w:w="416" w:type="pct"/>
            <w:tcBorders>
              <w:top w:val="single" w:color="000000" w:sz="4" w:space="0"/>
              <w:left w:val="single" w:color="000000" w:sz="4" w:space="0"/>
              <w:bottom w:val="single" w:color="000000" w:sz="12" w:space="0"/>
              <w:right w:val="single" w:color="000000" w:sz="4" w:space="0"/>
            </w:tcBorders>
            <w:noWrap w:val="0"/>
            <w:vAlign w:val="center"/>
          </w:tcPr>
          <w:p w14:paraId="138E7C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i w:val="0"/>
                <w:iCs w:val="0"/>
                <w:color w:val="000000"/>
                <w:kern w:val="0"/>
                <w:sz w:val="21"/>
                <w:szCs w:val="21"/>
                <w:highlight w:val="yellow"/>
                <w:u w:val="none"/>
                <w:lang w:val="en-US" w:eastAsia="zh-CN" w:bidi="ar"/>
              </w:rPr>
              <w:t>179.23</w:t>
            </w:r>
          </w:p>
        </w:tc>
        <w:tc>
          <w:tcPr>
            <w:tcW w:w="435" w:type="pct"/>
            <w:tcBorders>
              <w:top w:val="single" w:color="000000" w:sz="4" w:space="0"/>
              <w:left w:val="single" w:color="000000" w:sz="4" w:space="0"/>
              <w:bottom w:val="single" w:color="000000" w:sz="12" w:space="0"/>
              <w:right w:val="single" w:color="000000" w:sz="4" w:space="0"/>
            </w:tcBorders>
            <w:noWrap w:val="0"/>
            <w:vAlign w:val="center"/>
          </w:tcPr>
          <w:p w14:paraId="546597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i w:val="0"/>
                <w:iCs w:val="0"/>
                <w:color w:val="000000"/>
                <w:kern w:val="0"/>
                <w:sz w:val="21"/>
                <w:szCs w:val="21"/>
                <w:highlight w:val="yellow"/>
                <w:u w:val="none"/>
                <w:lang w:val="en-US" w:eastAsia="zh-CN" w:bidi="ar"/>
              </w:rPr>
              <w:t>80.22</w:t>
            </w:r>
          </w:p>
        </w:tc>
        <w:tc>
          <w:tcPr>
            <w:tcW w:w="434" w:type="pct"/>
            <w:tcBorders>
              <w:top w:val="single" w:color="000000" w:sz="4" w:space="0"/>
              <w:left w:val="single" w:color="000000" w:sz="4" w:space="0"/>
              <w:bottom w:val="single" w:color="000000" w:sz="12" w:space="0"/>
              <w:right w:val="single" w:color="000000" w:sz="4" w:space="0"/>
            </w:tcBorders>
            <w:noWrap w:val="0"/>
            <w:vAlign w:val="center"/>
          </w:tcPr>
          <w:p w14:paraId="353E28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i w:val="0"/>
                <w:iCs w:val="0"/>
                <w:color w:val="000000"/>
                <w:kern w:val="0"/>
                <w:sz w:val="21"/>
                <w:szCs w:val="21"/>
                <w:highlight w:val="yellow"/>
                <w:u w:val="none"/>
                <w:lang w:val="en-US" w:eastAsia="zh-CN" w:bidi="ar"/>
              </w:rPr>
              <w:t>16.37</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5C7AAF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eastAsia="zh-CN"/>
              </w:rPr>
            </w:pPr>
            <w:r>
              <w:rPr>
                <w:rFonts w:hint="eastAsia" w:ascii="宋体" w:hAnsi="宋体" w:eastAsia="宋体" w:cs="宋体"/>
                <w:i w:val="0"/>
                <w:iCs w:val="0"/>
                <w:color w:val="000000"/>
                <w:sz w:val="21"/>
                <w:szCs w:val="21"/>
                <w:highlight w:val="yellow"/>
                <w:u w:val="none"/>
                <w:lang w:val="en-US" w:eastAsia="zh-CN"/>
              </w:rPr>
              <w:t>7.33</w:t>
            </w:r>
          </w:p>
        </w:tc>
        <w:tc>
          <w:tcPr>
            <w:tcW w:w="383" w:type="pct"/>
            <w:tcBorders>
              <w:top w:val="single" w:color="000000" w:sz="4" w:space="0"/>
              <w:left w:val="single" w:color="000000" w:sz="4" w:space="0"/>
              <w:bottom w:val="single" w:color="000000" w:sz="12" w:space="0"/>
              <w:right w:val="single" w:color="000000" w:sz="4" w:space="0"/>
            </w:tcBorders>
            <w:noWrap w:val="0"/>
            <w:vAlign w:val="center"/>
          </w:tcPr>
          <w:p w14:paraId="1611BD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bCs/>
                <w:smallCaps w:val="0"/>
                <w:color w:val="auto"/>
                <w:kern w:val="2"/>
                <w:sz w:val="21"/>
                <w:szCs w:val="21"/>
                <w:highlight w:val="yellow"/>
                <w:lang w:val="en-US" w:eastAsia="zh-CN" w:bidi="ar-SA"/>
              </w:rPr>
              <w:t>16.27</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0C2111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bCs/>
                <w:smallCaps w:val="0"/>
                <w:color w:val="auto"/>
                <w:kern w:val="2"/>
                <w:sz w:val="21"/>
                <w:szCs w:val="21"/>
                <w:highlight w:val="yellow"/>
                <w:lang w:val="en-US" w:eastAsia="zh-CN" w:bidi="ar-SA"/>
              </w:rPr>
              <w:t>7.28</w:t>
            </w:r>
          </w:p>
        </w:tc>
        <w:tc>
          <w:tcPr>
            <w:tcW w:w="383" w:type="pct"/>
            <w:tcBorders>
              <w:top w:val="single" w:color="000000" w:sz="4" w:space="0"/>
              <w:left w:val="single" w:color="000000" w:sz="4" w:space="0"/>
              <w:bottom w:val="single" w:color="000000" w:sz="12" w:space="0"/>
              <w:right w:val="single" w:color="000000" w:sz="4" w:space="0"/>
            </w:tcBorders>
            <w:noWrap w:val="0"/>
            <w:vAlign w:val="center"/>
          </w:tcPr>
          <w:p w14:paraId="2EFA24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bCs/>
                <w:smallCaps w:val="0"/>
                <w:color w:val="auto"/>
                <w:kern w:val="2"/>
                <w:sz w:val="21"/>
                <w:szCs w:val="21"/>
                <w:highlight w:val="yellow"/>
                <w:lang w:val="en-US" w:eastAsia="zh-CN" w:bidi="ar-SA"/>
              </w:rPr>
              <w:t>8.18</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34A3E5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2.09</w:t>
            </w:r>
          </w:p>
        </w:tc>
        <w:tc>
          <w:tcPr>
            <w:tcW w:w="384" w:type="pct"/>
            <w:tcBorders>
              <w:top w:val="single" w:color="000000" w:sz="4" w:space="0"/>
              <w:left w:val="single" w:color="000000" w:sz="4" w:space="0"/>
              <w:bottom w:val="single" w:color="000000" w:sz="12" w:space="0"/>
              <w:right w:val="single" w:color="000000" w:sz="4" w:space="0"/>
            </w:tcBorders>
            <w:noWrap w:val="0"/>
            <w:vAlign w:val="center"/>
          </w:tcPr>
          <w:p w14:paraId="584315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lang w:val="en-US"/>
              </w:rPr>
            </w:pPr>
            <w:r>
              <w:rPr>
                <w:rFonts w:hint="eastAsia" w:ascii="宋体" w:hAnsi="宋体" w:eastAsia="宋体" w:cs="宋体"/>
                <w:bCs/>
                <w:smallCaps w:val="0"/>
                <w:color w:val="auto"/>
                <w:kern w:val="2"/>
                <w:sz w:val="21"/>
                <w:szCs w:val="21"/>
                <w:highlight w:val="yellow"/>
                <w:lang w:val="en-US" w:eastAsia="zh-CN" w:bidi="ar-SA"/>
              </w:rPr>
              <w:t>3.37</w:t>
            </w:r>
          </w:p>
        </w:tc>
        <w:tc>
          <w:tcPr>
            <w:tcW w:w="390" w:type="pct"/>
            <w:tcBorders>
              <w:top w:val="single" w:color="000000" w:sz="4" w:space="0"/>
              <w:left w:val="single" w:color="000000" w:sz="4" w:space="0"/>
              <w:bottom w:val="single" w:color="000000" w:sz="12" w:space="0"/>
              <w:right w:val="nil"/>
            </w:tcBorders>
            <w:noWrap w:val="0"/>
            <w:vAlign w:val="center"/>
          </w:tcPr>
          <w:p w14:paraId="4C6EE1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yellow"/>
                <w:u w:val="none"/>
              </w:rPr>
            </w:pPr>
            <w:r>
              <w:rPr>
                <w:rFonts w:hint="eastAsia" w:ascii="宋体" w:hAnsi="宋体" w:eastAsia="宋体" w:cs="宋体"/>
                <w:bCs/>
                <w:smallCaps w:val="0"/>
                <w:color w:val="auto"/>
                <w:kern w:val="2"/>
                <w:sz w:val="21"/>
                <w:szCs w:val="21"/>
                <w:highlight w:val="yellow"/>
                <w:lang w:val="en-US" w:eastAsia="zh-CN" w:bidi="ar-SA"/>
              </w:rPr>
              <w:t>1.51</w:t>
            </w:r>
          </w:p>
        </w:tc>
      </w:tr>
    </w:tbl>
    <w:p w14:paraId="1F5DC25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val="0"/>
          <w:smallCaps w:val="0"/>
          <w:color w:val="auto"/>
          <w:sz w:val="24"/>
          <w:szCs w:val="24"/>
          <w:highlight w:val="yellow"/>
          <w:lang w:val="en-US" w:eastAsia="zh-CN"/>
        </w:rPr>
      </w:pPr>
      <w:r>
        <w:rPr>
          <w:rFonts w:hint="eastAsia" w:ascii="宋体" w:hAnsi="宋体" w:eastAsia="宋体" w:cs="宋体"/>
          <w:b/>
          <w:bCs w:val="0"/>
          <w:smallCaps w:val="0"/>
          <w:color w:val="auto"/>
          <w:sz w:val="24"/>
          <w:szCs w:val="24"/>
          <w:highlight w:val="yellow"/>
          <w:lang w:val="en-US" w:eastAsia="zh-CN"/>
        </w:rPr>
        <w:t>2.1</w:t>
      </w:r>
      <w:r>
        <w:rPr>
          <w:rFonts w:hint="eastAsia" w:ascii="宋体" w:hAnsi="宋体" w:cs="宋体"/>
          <w:b/>
          <w:bCs w:val="0"/>
          <w:smallCaps w:val="0"/>
          <w:color w:val="auto"/>
          <w:sz w:val="24"/>
          <w:szCs w:val="24"/>
          <w:highlight w:val="yellow"/>
          <w:lang w:val="en-US" w:eastAsia="zh-CN"/>
        </w:rPr>
        <w:t>1</w:t>
      </w:r>
      <w:r>
        <w:rPr>
          <w:rFonts w:hint="eastAsia" w:ascii="宋体" w:hAnsi="宋体" w:eastAsia="宋体" w:cs="宋体"/>
          <w:b/>
          <w:bCs w:val="0"/>
          <w:smallCaps w:val="0"/>
          <w:color w:val="auto"/>
          <w:sz w:val="24"/>
          <w:szCs w:val="24"/>
          <w:highlight w:val="yellow"/>
          <w:lang w:val="en-US" w:eastAsia="zh-CN"/>
        </w:rPr>
        <w:t xml:space="preserve"> 评价区现有生态保护措施评价及问题</w:t>
      </w:r>
    </w:p>
    <w:p w14:paraId="0B11948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bCs/>
          <w:smallCaps w:val="0"/>
          <w:color w:val="auto"/>
          <w:sz w:val="24"/>
          <w:szCs w:val="24"/>
          <w:highlight w:val="yellow"/>
          <w:lang w:val="en-US" w:eastAsia="zh-CN"/>
        </w:rPr>
        <w:t>根据</w:t>
      </w:r>
      <w:r>
        <w:rPr>
          <w:rFonts w:hint="eastAsia" w:ascii="宋体" w:hAnsi="宋体" w:eastAsia="宋体" w:cs="宋体"/>
          <w:sz w:val="24"/>
          <w:szCs w:val="28"/>
          <w:highlight w:val="yellow"/>
          <w:lang w:val="en-US" w:eastAsia="zh-CN"/>
        </w:rPr>
        <w:t>《环境影响评价技术导则—生态影响》（HJ 19-2022），对于改扩建、分期实施的建设项目，应对既有工程、前期已实施工程的实际生态影响、已采取的生态保护措施的有效性和存在问题进行评价。本项目为改建工程，现有道路前期施工生态保护措施如下：</w:t>
      </w:r>
    </w:p>
    <w:p w14:paraId="35993E01">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sz w:val="24"/>
          <w:szCs w:val="28"/>
          <w:highlight w:val="yellow"/>
          <w:lang w:val="en-US" w:eastAsia="zh-CN"/>
        </w:rPr>
        <w:t>植被保护与恢复措施：在道路建设初期，对施工区域内的植被进行详细调查。对于无法避让的植被，采取移栽措施。同时，在道路两侧和施工临时占地范围内，根据当地的生态环境和植被类型，选择合适的本地植物进行绿化种植，如适合本地生长的草本植物、灌木和乔木等，以恢复因施工破坏的植被覆盖，减少水土流失。</w:t>
      </w:r>
    </w:p>
    <w:p w14:paraId="1334EBFC">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sz w:val="24"/>
          <w:szCs w:val="28"/>
          <w:highlight w:val="yellow"/>
          <w:lang w:val="en-US" w:eastAsia="zh-CN"/>
        </w:rPr>
        <w:t>动物保护措施：考虑到区域内存在普通鸟类、小型兽类和两栖类动物，在施工前对施工人员进行生态保护知识培训，增强施工人员对动物保护的意识。在施工过程中，合理安排施工时间，避免在动物繁殖期和迁徙期进行高强度施工活动。保证动物的正常活动不受阻碍。</w:t>
      </w:r>
    </w:p>
    <w:p w14:paraId="1C8BAC18">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sz w:val="24"/>
          <w:szCs w:val="28"/>
          <w:highlight w:val="yellow"/>
          <w:lang w:val="en-US" w:eastAsia="zh-CN"/>
        </w:rPr>
        <w:t>水土流失防治措施：道路建设初期，为防止因土方开挖和填筑导致的水土流失，在施工场地周边设置临时挡土墙和截排水沟，拦截和疏导地表径流，避免雨水直接冲刷施工坡面。对于临时堆放的土方，采用密目网覆盖或种植速生草皮进行防护。</w:t>
      </w:r>
    </w:p>
    <w:p w14:paraId="44A23DC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8"/>
          <w:highlight w:val="yellow"/>
          <w:lang w:val="en-US" w:eastAsia="zh-CN"/>
        </w:rPr>
      </w:pPr>
      <w:r>
        <w:rPr>
          <w:rFonts w:hint="eastAsia" w:ascii="宋体" w:hAnsi="宋体" w:eastAsia="宋体" w:cs="宋体"/>
          <w:sz w:val="24"/>
          <w:szCs w:val="28"/>
          <w:highlight w:val="yellow"/>
          <w:lang w:val="en-US" w:eastAsia="zh-CN"/>
        </w:rPr>
        <w:t>生态监测措施：在道路建设初期，建立生态监测体系，对施工区域及周边的生态环境进行定期监测。</w:t>
      </w:r>
    </w:p>
    <w:p w14:paraId="66EC1CE9">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highlight w:val="yellow"/>
          <w:lang w:val="en-US" w:eastAsia="zh-CN"/>
        </w:rPr>
      </w:pPr>
      <w:r>
        <w:rPr>
          <w:rFonts w:hint="eastAsia" w:ascii="宋体" w:hAnsi="宋体" w:eastAsia="宋体" w:cs="宋体"/>
          <w:sz w:val="24"/>
          <w:szCs w:val="24"/>
          <w:highlight w:val="yellow"/>
          <w:lang w:val="en-US" w:eastAsia="zh-CN"/>
        </w:rPr>
        <w:t>根据现有生态现状调查，现有道路施工期生态防护措施良好，未造成重大生态影响，生态系统总体稳定。</w:t>
      </w:r>
    </w:p>
    <w:p w14:paraId="561B443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21"/>
          <w:highlight w:val="yellow"/>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618C923B">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2"/>
          <w:highlight w:val="none"/>
          <w:lang w:val="en-US" w:eastAsia="zh-CN"/>
        </w:rPr>
      </w:pPr>
      <w:r>
        <w:rPr>
          <w:rFonts w:hint="eastAsia" w:ascii="宋体" w:hAnsi="宋体" w:eastAsia="宋体" w:cs="宋体"/>
          <w:b/>
          <w:bCs/>
          <w:sz w:val="28"/>
          <w:szCs w:val="22"/>
          <w:highlight w:val="none"/>
          <w:lang w:val="en-US" w:eastAsia="zh-CN"/>
        </w:rPr>
        <w:t>三、生态影响预测与评价</w:t>
      </w:r>
    </w:p>
    <w:p w14:paraId="14E8E1F2">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3.1施工期生态影响预测与评价</w:t>
      </w:r>
    </w:p>
    <w:p w14:paraId="53E7322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3.1.1 占地影响</w:t>
      </w:r>
    </w:p>
    <w:p w14:paraId="6508D4F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position w:val="0"/>
          <w:sz w:val="24"/>
          <w:szCs w:val="24"/>
          <w:highlight w:val="none"/>
        </w:rPr>
      </w:pPr>
      <w:r>
        <w:rPr>
          <w:rFonts w:hint="eastAsia" w:ascii="宋体" w:hAnsi="宋体" w:eastAsia="宋体" w:cs="宋体"/>
          <w:color w:val="auto"/>
          <w:sz w:val="24"/>
          <w:szCs w:val="24"/>
          <w:highlight w:val="none"/>
          <w:lang w:val="en-US" w:eastAsia="zh-CN"/>
        </w:rPr>
        <w:t>本项目</w:t>
      </w:r>
      <w:r>
        <w:rPr>
          <w:rFonts w:hint="eastAsia" w:ascii="宋体" w:hAnsi="宋体" w:eastAsia="宋体" w:cs="宋体"/>
          <w:smallCaps w:val="0"/>
          <w:color w:val="auto"/>
          <w:kern w:val="2"/>
          <w:sz w:val="24"/>
          <w:szCs w:val="24"/>
          <w:highlight w:val="none"/>
          <w:lang w:val="en-US" w:eastAsia="zh-CN" w:bidi="ar-SA"/>
        </w:rPr>
        <w:t>用地总规模3.7864公顷，其中公路用地3.2012公顷、耕地0.3903公顷、建设用地0.0618公顷、未利用地0.1331公顷。</w:t>
      </w:r>
      <w:r>
        <w:rPr>
          <w:rFonts w:hint="eastAsia" w:ascii="宋体" w:hAnsi="宋体" w:eastAsia="宋体" w:cs="宋体"/>
          <w:color w:val="auto"/>
          <w:spacing w:val="0"/>
          <w:w w:val="100"/>
          <w:position w:val="0"/>
          <w:sz w:val="24"/>
          <w:szCs w:val="24"/>
          <w:highlight w:val="none"/>
        </w:rPr>
        <w:t>本项目所在施工区域，运输便捷，土石方均从市场采购成品。本项目不设取土场，施工现场不设临时性</w:t>
      </w:r>
      <w:r>
        <w:rPr>
          <w:rFonts w:hint="eastAsia" w:ascii="宋体" w:hAnsi="宋体" w:eastAsia="宋体" w:cs="宋体"/>
          <w:color w:val="auto"/>
          <w:spacing w:val="0"/>
          <w:w w:val="100"/>
          <w:position w:val="0"/>
          <w:sz w:val="24"/>
          <w:szCs w:val="24"/>
          <w:highlight w:val="none"/>
          <w:lang w:eastAsia="zh-CN"/>
        </w:rPr>
        <w:t>拌和站</w:t>
      </w:r>
      <w:r>
        <w:rPr>
          <w:rFonts w:hint="eastAsia" w:ascii="宋体" w:hAnsi="宋体" w:eastAsia="宋体" w:cs="宋体"/>
          <w:color w:val="auto"/>
          <w:spacing w:val="0"/>
          <w:w w:val="100"/>
          <w:position w:val="0"/>
          <w:sz w:val="24"/>
          <w:szCs w:val="24"/>
          <w:highlight w:val="none"/>
        </w:rPr>
        <w:t>；物料临时堆放场位于道路红线内；临时便道依托附近其他城市道路；不设施工生活营地，施工人员每日施工结束后撤场。本项目临时占地均位于道路规划红线范围内，临时占地选址合理。</w:t>
      </w:r>
      <w:r>
        <w:rPr>
          <w:rFonts w:hint="eastAsia" w:ascii="宋体" w:hAnsi="宋体" w:eastAsia="宋体" w:cs="宋体"/>
          <w:color w:val="auto"/>
          <w:spacing w:val="0"/>
          <w:w w:val="100"/>
          <w:position w:val="0"/>
          <w:sz w:val="24"/>
          <w:szCs w:val="24"/>
          <w:highlight w:val="none"/>
          <w:lang w:val="en-US" w:eastAsia="zh-CN"/>
        </w:rPr>
        <w:t>从区域层面分析，本项目占地面积较小，建设完成后，各类土地利用类型的面积和占比基本维持现状。项目建设不会对生态系统的稳定性产生负面影响，生态结构能够保持稳定状态，对生态环境的影响处于可接受范围。</w:t>
      </w:r>
    </w:p>
    <w:p w14:paraId="172BBAE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3.1.2植被影响</w:t>
      </w:r>
    </w:p>
    <w:p w14:paraId="54E86062">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0"/>
          <w:sz w:val="24"/>
          <w:highlight w:val="none"/>
          <w:lang w:eastAsia="zh-CN" w:bidi="ar"/>
        </w:rPr>
      </w:pPr>
      <w:r>
        <w:rPr>
          <w:rFonts w:hint="eastAsia" w:ascii="宋体" w:hAnsi="宋体" w:eastAsia="宋体" w:cs="宋体"/>
          <w:sz w:val="24"/>
          <w:szCs w:val="21"/>
          <w:highlight w:val="none"/>
          <w:lang w:val="en-US" w:eastAsia="zh-CN"/>
        </w:rPr>
        <w:t>本项目施工期不进行砍伐，利用现有道路进行改造，影响植被主要为道路两侧羊草、星星草及鹅绒委陵菜等；施工期主要影响为</w:t>
      </w:r>
      <w:r>
        <w:rPr>
          <w:rFonts w:hint="eastAsia" w:ascii="宋体" w:hAnsi="宋体" w:eastAsia="宋体" w:cs="宋体"/>
          <w:color w:val="auto"/>
          <w:kern w:val="0"/>
          <w:sz w:val="24"/>
          <w:highlight w:val="none"/>
          <w:lang w:bidi="ar"/>
        </w:rPr>
        <w:t>植物密度较高，不利于粉尘和大气污染物的扩散，仅在施工场地及其周边50m左右的范围内，总悬浮颗粒物暂时阶段性升高，粉尘降落在植物的叶子上，阻碍了植物的光合作用和</w:t>
      </w:r>
      <w:r>
        <w:rPr>
          <w:rFonts w:hint="eastAsia" w:ascii="宋体" w:hAnsi="宋体" w:eastAsia="宋体" w:cs="宋体"/>
          <w:color w:val="auto"/>
          <w:kern w:val="0"/>
          <w:sz w:val="24"/>
          <w:highlight w:val="none"/>
          <w:lang w:val="en-US" w:eastAsia="zh-CN" w:bidi="ar"/>
        </w:rPr>
        <w:t>呼吸</w:t>
      </w:r>
      <w:r>
        <w:rPr>
          <w:rFonts w:hint="eastAsia" w:ascii="宋体" w:hAnsi="宋体" w:eastAsia="宋体" w:cs="宋体"/>
          <w:color w:val="auto"/>
          <w:kern w:val="0"/>
          <w:sz w:val="24"/>
          <w:highlight w:val="none"/>
          <w:lang w:bidi="ar"/>
        </w:rPr>
        <w:t>作用，影响植物生长，随着施工的结束，消除了粉尘污染源，这些影响也将消失，不会对植物产生长期影响</w:t>
      </w:r>
      <w:r>
        <w:rPr>
          <w:rFonts w:hint="eastAsia" w:ascii="宋体" w:hAnsi="宋体" w:eastAsia="宋体" w:cs="宋体"/>
          <w:color w:val="auto"/>
          <w:kern w:val="0"/>
          <w:sz w:val="24"/>
          <w:highlight w:val="none"/>
          <w:lang w:eastAsia="zh-CN" w:bidi="ar"/>
        </w:rPr>
        <w:t>。</w:t>
      </w:r>
    </w:p>
    <w:p w14:paraId="09BE7E1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0"/>
          <w:sz w:val="24"/>
          <w:highlight w:val="none"/>
          <w:lang w:val="en-US" w:eastAsia="zh-CN" w:bidi="ar"/>
        </w:rPr>
      </w:pPr>
      <w:r>
        <w:rPr>
          <w:rFonts w:hint="eastAsia" w:ascii="宋体" w:hAnsi="宋体" w:eastAsia="宋体" w:cs="宋体"/>
          <w:b/>
          <w:bCs/>
          <w:color w:val="auto"/>
          <w:kern w:val="0"/>
          <w:sz w:val="24"/>
          <w:highlight w:val="none"/>
          <w:lang w:val="en-US" w:eastAsia="zh-CN" w:bidi="ar"/>
        </w:rPr>
        <w:t>3.1.3动物影响</w:t>
      </w:r>
    </w:p>
    <w:p w14:paraId="36691222">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position w:val="0"/>
          <w:sz w:val="24"/>
          <w:szCs w:val="24"/>
          <w:highlight w:val="none"/>
        </w:rPr>
      </w:pPr>
      <w:r>
        <w:rPr>
          <w:rFonts w:hint="eastAsia" w:ascii="宋体" w:hAnsi="宋体" w:eastAsia="宋体" w:cs="宋体"/>
          <w:color w:val="auto"/>
          <w:spacing w:val="0"/>
          <w:w w:val="100"/>
          <w:position w:val="0"/>
          <w:sz w:val="24"/>
          <w:szCs w:val="24"/>
          <w:highlight w:val="none"/>
        </w:rPr>
        <w:t>评价区内野生动物很少，本项目范围内野生动物主要以麻雀、家燕、喜鹊等居民点常见鸟类为主，此外还有鼠类和农田啮齿类哺乳动物，经调查没有发现珍稀濒危野生动物及其栖息繁殖。</w:t>
      </w:r>
      <w:r>
        <w:rPr>
          <w:rFonts w:hint="eastAsia" w:ascii="宋体" w:hAnsi="宋体" w:eastAsia="宋体" w:cs="宋体"/>
          <w:sz w:val="24"/>
          <w:szCs w:val="24"/>
          <w:highlight w:val="none"/>
        </w:rPr>
        <w:t>鸟类的飞行高度远大于路基和车辆高度，飞行距离远大于公路宽度，施工期间，人为活动频繁，施工噪声等会惊吓干扰上述鸟类，其将通过迁移和飞翔来避免项目施工对其栖息和觅食的影响。</w:t>
      </w:r>
      <w:r>
        <w:rPr>
          <w:rFonts w:hint="eastAsia" w:ascii="宋体" w:hAnsi="宋体" w:eastAsia="宋体" w:cs="宋体"/>
          <w:color w:val="auto"/>
          <w:spacing w:val="0"/>
          <w:w w:val="100"/>
          <w:position w:val="0"/>
          <w:sz w:val="24"/>
          <w:szCs w:val="24"/>
          <w:highlight w:val="none"/>
          <w:lang w:val="en-US" w:eastAsia="zh-CN"/>
        </w:rPr>
        <w:t>由于项目区域或类似生境丰富，且野生动物可随道路建设结束而逐渐回迁到公路两边地域，故道路施工期对其影响是暂时的。</w:t>
      </w:r>
    </w:p>
    <w:p w14:paraId="5D99D8E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3.1.4土石方平衡影响</w:t>
      </w:r>
    </w:p>
    <w:p w14:paraId="3B21636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mallCaps w:val="0"/>
          <w:color w:val="auto"/>
          <w:kern w:val="0"/>
          <w:sz w:val="24"/>
          <w:szCs w:val="24"/>
          <w:highlight w:val="none"/>
          <w:lang w:val="en-US" w:eastAsia="zh-CN"/>
        </w:rPr>
        <w:t>本项目挖方总量为11531.9m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，表土方挖方量2263.28m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，产生弃方量10101.9m</w:t>
      </w:r>
      <w:r>
        <w:rPr>
          <w:rFonts w:hint="eastAsia" w:ascii="宋体" w:hAnsi="宋体" w:eastAsia="宋体" w:cs="宋体"/>
          <w:smallCaps w:val="0"/>
          <w:color w:val="auto"/>
          <w:kern w:val="0"/>
          <w:sz w:val="24"/>
          <w:szCs w:val="24"/>
          <w:highlight w:val="none"/>
          <w:vertAlign w:val="superscript"/>
          <w:lang w:val="en-US" w:eastAsia="zh-CN"/>
        </w:rPr>
        <w:t>3</w:t>
      </w:r>
      <w:r>
        <w:rPr>
          <w:rFonts w:hint="eastAsia" w:ascii="宋体" w:hAnsi="宋体" w:eastAsia="宋体" w:cs="宋体"/>
          <w:smallCaps w:val="0"/>
          <w:color w:val="auto"/>
          <w:kern w:val="0"/>
          <w:sz w:val="24"/>
          <w:szCs w:val="24"/>
          <w:highlight w:val="none"/>
          <w:lang w:val="en-US" w:eastAsia="zh-CN"/>
        </w:rPr>
        <w:t>，产生弃方拉运至建筑垃圾处置消纳场，表土转运用于植被恢复。</w:t>
      </w:r>
    </w:p>
    <w:p w14:paraId="74B8335C">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3.1</w:t>
      </w:r>
      <w:r>
        <w:rPr>
          <w:rFonts w:hint="eastAsia" w:ascii="宋体" w:hAnsi="宋体" w:cs="宋体"/>
          <w:b/>
          <w:bCs/>
          <w:sz w:val="24"/>
          <w:szCs w:val="21"/>
          <w:highlight w:val="none"/>
          <w:lang w:val="en-US" w:eastAsia="zh-CN"/>
        </w:rPr>
        <w:t>.</w:t>
      </w:r>
      <w:r>
        <w:rPr>
          <w:rFonts w:hint="eastAsia" w:ascii="宋体" w:hAnsi="宋体" w:eastAsia="宋体" w:cs="宋体"/>
          <w:b/>
          <w:bCs/>
          <w:sz w:val="24"/>
          <w:szCs w:val="21"/>
          <w:highlight w:val="none"/>
          <w:lang w:val="en-US" w:eastAsia="zh-CN"/>
        </w:rPr>
        <w:t>5水土流失影响</w:t>
      </w:r>
    </w:p>
    <w:p w14:paraId="2AEC955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①水土流失因素分析</w:t>
      </w:r>
    </w:p>
    <w:p w14:paraId="1A763FF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w:t>
      </w:r>
      <w:r>
        <w:rPr>
          <w:rFonts w:hint="eastAsia" w:ascii="宋体" w:hAnsi="宋体" w:eastAsia="宋体" w:cs="宋体"/>
          <w:color w:val="auto"/>
          <w:sz w:val="24"/>
          <w:szCs w:val="24"/>
          <w:highlight w:val="none"/>
          <w:lang w:val="en-US" w:eastAsia="zh-CN"/>
        </w:rPr>
        <w:t>项目</w:t>
      </w:r>
      <w:r>
        <w:rPr>
          <w:rFonts w:hint="eastAsia" w:ascii="宋体" w:hAnsi="宋体" w:eastAsia="宋体" w:cs="宋体"/>
          <w:color w:val="auto"/>
          <w:sz w:val="24"/>
          <w:szCs w:val="24"/>
          <w:highlight w:val="none"/>
        </w:rPr>
        <w:t>特点、施工方法及工期，</w:t>
      </w:r>
      <w:r>
        <w:rPr>
          <w:rFonts w:hint="eastAsia" w:ascii="宋体" w:hAnsi="宋体" w:eastAsia="宋体" w:cs="宋体"/>
          <w:color w:val="auto"/>
          <w:sz w:val="24"/>
          <w:szCs w:val="24"/>
          <w:highlight w:val="none"/>
          <w:lang w:val="en-US" w:eastAsia="zh-CN"/>
        </w:rPr>
        <w:t>在施工期</w:t>
      </w:r>
      <w:r>
        <w:rPr>
          <w:rFonts w:hint="eastAsia" w:ascii="宋体" w:hAnsi="宋体" w:eastAsia="宋体" w:cs="宋体"/>
          <w:color w:val="auto"/>
          <w:sz w:val="24"/>
          <w:szCs w:val="24"/>
          <w:highlight w:val="none"/>
        </w:rPr>
        <w:t>内由于道路工程的施工以及临时工程占地将扰动土壤，引起水土流失，而工程道路营运后已经对上述责任区采取了缓解措施，一些植被得到恢复，防治水土流失措施也得到落实，不再涉及水土流失问题，因此确定工程水土流失预测时段为</w:t>
      </w:r>
      <w:r>
        <w:rPr>
          <w:rFonts w:hint="eastAsia" w:ascii="宋体" w:hAnsi="宋体" w:eastAsia="宋体" w:cs="宋体"/>
          <w:color w:val="auto"/>
          <w:sz w:val="24"/>
          <w:szCs w:val="24"/>
          <w:highlight w:val="none"/>
          <w:lang w:val="en-US" w:eastAsia="zh-CN"/>
        </w:rPr>
        <w:t>施工期</w:t>
      </w:r>
      <w:r>
        <w:rPr>
          <w:rFonts w:hint="eastAsia" w:ascii="宋体" w:hAnsi="宋体" w:eastAsia="宋体" w:cs="宋体"/>
          <w:color w:val="auto"/>
          <w:sz w:val="24"/>
          <w:szCs w:val="24"/>
          <w:highlight w:val="none"/>
        </w:rPr>
        <w:t>。</w:t>
      </w:r>
    </w:p>
    <w:p w14:paraId="0F66770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施工期的水土流失</w:t>
      </w:r>
      <w:r>
        <w:rPr>
          <w:rFonts w:hint="eastAsia" w:ascii="宋体" w:hAnsi="宋体" w:eastAsia="宋体" w:cs="宋体"/>
          <w:color w:val="auto"/>
          <w:sz w:val="24"/>
          <w:szCs w:val="24"/>
          <w:highlight w:val="none"/>
          <w:lang w:val="en-US" w:eastAsia="zh-CN"/>
        </w:rPr>
        <w:t>属于</w:t>
      </w:r>
      <w:r>
        <w:rPr>
          <w:rFonts w:hint="eastAsia" w:ascii="宋体" w:hAnsi="宋体" w:eastAsia="宋体" w:cs="宋体"/>
          <w:color w:val="auto"/>
          <w:sz w:val="24"/>
          <w:szCs w:val="24"/>
          <w:highlight w:val="none"/>
        </w:rPr>
        <w:t>短期行为，本</w:t>
      </w:r>
      <w:r>
        <w:rPr>
          <w:rFonts w:hint="eastAsia" w:ascii="宋体" w:hAnsi="宋体" w:eastAsia="宋体" w:cs="宋体"/>
          <w:color w:val="auto"/>
          <w:sz w:val="24"/>
          <w:szCs w:val="24"/>
          <w:highlight w:val="none"/>
          <w:lang w:val="en-US" w:eastAsia="zh-CN"/>
        </w:rPr>
        <w:t>项目</w:t>
      </w:r>
      <w:r>
        <w:rPr>
          <w:rFonts w:hint="eastAsia" w:ascii="宋体" w:hAnsi="宋体" w:eastAsia="宋体" w:cs="宋体"/>
          <w:color w:val="auto"/>
          <w:sz w:val="24"/>
          <w:szCs w:val="24"/>
          <w:highlight w:val="none"/>
        </w:rPr>
        <w:t>评价重点放在对水土流失产生的原因、水土流失的发生时期等分析上，寻求合理的施工方案，尽可能地减少水土流失量。</w:t>
      </w:r>
    </w:p>
    <w:p w14:paraId="42022B09">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工程在建设过程中，一方面破坏原有土地的水土保持植被，另一方面在施工过程中，地表裸露后被雨水冲刷将造成水土流失。产生水土流失主要表现在以下几个方面：施工时破坏植被产生水土流失；基础开挖产生水土流失；</w:t>
      </w:r>
      <w:r>
        <w:rPr>
          <w:rFonts w:hint="eastAsia" w:ascii="宋体" w:hAnsi="宋体" w:eastAsia="宋体" w:cs="宋体"/>
          <w:color w:val="auto"/>
          <w:sz w:val="24"/>
          <w:szCs w:val="24"/>
          <w:highlight w:val="none"/>
          <w:lang w:val="en-US" w:eastAsia="zh-CN"/>
        </w:rPr>
        <w:t>表土堆存不当，未设置防护措施导致水土流失</w:t>
      </w:r>
      <w:r>
        <w:rPr>
          <w:rFonts w:hint="eastAsia" w:ascii="宋体" w:hAnsi="宋体" w:eastAsia="宋体" w:cs="宋体"/>
          <w:color w:val="auto"/>
          <w:sz w:val="24"/>
          <w:szCs w:val="24"/>
          <w:highlight w:val="none"/>
        </w:rPr>
        <w:t>。</w:t>
      </w:r>
    </w:p>
    <w:p w14:paraId="415F0AC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因此，施工期的水土流失原因主要是施工期</w:t>
      </w:r>
      <w:r>
        <w:rPr>
          <w:rFonts w:hint="eastAsia" w:ascii="宋体" w:hAnsi="宋体" w:eastAsia="宋体" w:cs="宋体"/>
          <w:color w:val="auto"/>
          <w:sz w:val="24"/>
          <w:szCs w:val="24"/>
          <w:highlight w:val="none"/>
          <w:lang w:val="en-US" w:eastAsia="zh-CN"/>
        </w:rPr>
        <w:t>产生</w:t>
      </w:r>
      <w:r>
        <w:rPr>
          <w:rFonts w:hint="eastAsia" w:ascii="宋体" w:hAnsi="宋体" w:eastAsia="宋体" w:cs="宋体"/>
          <w:color w:val="auto"/>
          <w:sz w:val="24"/>
          <w:szCs w:val="24"/>
          <w:highlight w:val="none"/>
        </w:rPr>
        <w:t>挖方、填方和</w:t>
      </w:r>
      <w:r>
        <w:rPr>
          <w:rFonts w:hint="eastAsia" w:ascii="宋体" w:hAnsi="宋体" w:eastAsia="宋体" w:cs="宋体"/>
          <w:color w:val="auto"/>
          <w:sz w:val="24"/>
          <w:szCs w:val="24"/>
          <w:highlight w:val="none"/>
          <w:lang w:val="en-US" w:eastAsia="zh-CN"/>
        </w:rPr>
        <w:t>表土堆场的表</w:t>
      </w:r>
      <w:r>
        <w:rPr>
          <w:rFonts w:hint="eastAsia" w:ascii="宋体" w:hAnsi="宋体" w:eastAsia="宋体" w:cs="宋体"/>
          <w:color w:val="auto"/>
          <w:sz w:val="24"/>
          <w:szCs w:val="24"/>
          <w:highlight w:val="none"/>
        </w:rPr>
        <w:t>土较为疏松</w:t>
      </w:r>
      <w:r>
        <w:rPr>
          <w:rFonts w:hint="eastAsia" w:ascii="宋体" w:hAnsi="宋体" w:eastAsia="宋体" w:cs="宋体"/>
          <w:color w:val="auto"/>
          <w:sz w:val="24"/>
          <w:szCs w:val="24"/>
          <w:highlight w:val="none"/>
          <w:lang w:val="en-US" w:eastAsia="zh-CN"/>
        </w:rPr>
        <w:t>或未进行表土剥离硬化地面，或未铺设防水层导致水土流失</w:t>
      </w:r>
      <w:r>
        <w:rPr>
          <w:rFonts w:hint="eastAsia" w:ascii="宋体" w:hAnsi="宋体" w:eastAsia="宋体" w:cs="宋体"/>
          <w:color w:val="auto"/>
          <w:sz w:val="24"/>
          <w:szCs w:val="24"/>
          <w:highlight w:val="none"/>
        </w:rPr>
        <w:t>，降雨期间很容易使松散的表土随雨水径流流失，在一定程度上加剧了当地的水土流失。营运期水土流失量将有所减少，原因是城市道路营运后，一些植被得到恢复，防治水土流失措施也得到落实。</w:t>
      </w:r>
    </w:p>
    <w:p w14:paraId="6EBC69C9">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②水土流失危害性分析</w:t>
      </w:r>
    </w:p>
    <w:p w14:paraId="71C8656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在本项目的施工进程中，征地所覆盖的区域其地表将会面临不同程度的</w:t>
      </w:r>
      <w:r>
        <w:rPr>
          <w:rFonts w:hint="eastAsia" w:ascii="宋体" w:hAnsi="宋体" w:eastAsia="宋体" w:cs="宋体"/>
          <w:color w:val="auto"/>
          <w:sz w:val="24"/>
          <w:szCs w:val="24"/>
          <w:highlight w:val="none"/>
          <w:lang w:val="en-US" w:eastAsia="zh-CN"/>
        </w:rPr>
        <w:t>破坏</w:t>
      </w:r>
      <w:r>
        <w:rPr>
          <w:rFonts w:hint="eastAsia" w:ascii="宋体" w:hAnsi="宋体" w:eastAsia="宋体" w:cs="宋体"/>
          <w:color w:val="auto"/>
          <w:sz w:val="24"/>
          <w:szCs w:val="24"/>
          <w:highlight w:val="none"/>
        </w:rPr>
        <w:t>，地形地貌发生显著变化。若未能实施有效的水土保持举措，将会引发水土流失问题，进而对该地区的土地资源及生态环境造成不同程度的负面影响。</w:t>
      </w:r>
    </w:p>
    <w:p w14:paraId="0875218F">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③对土地生产力的影响</w:t>
      </w:r>
    </w:p>
    <w:p w14:paraId="164C5870">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水土流失最为直接的后果是导致土层逐渐变薄。在长期的雨水冲刷和风蚀作用下，地表土壤被大量带走，使得原本肥沃的土层变得贫瘠。减少了土地资源的有效厚度，破坏了土壤的结构和肥力，导致土壤退化。这种退化现象会降低土地的农业利用价值，使得作物生长受限，进而影响土地的整体生产力。水土流失不仅影响土地本身的生产力，还会对整个生态环境造成负面影响。例如，水土流失会加剧旱灾和洪涝灾害的发生频率和严重程度，破坏生态平衡，影响生物多样性。</w:t>
      </w:r>
    </w:p>
    <w:p w14:paraId="0D243EB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④对工程本身的影响</w:t>
      </w:r>
    </w:p>
    <w:p w14:paraId="32A8626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水土流失对工程影响严重：导致进度受阻、成本增加、质量受损及人员安全受威胁。地表扰动和植被破坏加剧水土流失，泥土沙石进入现场影响施工，排水系统失效拖延工期；土方流失和坍塌增加修复成本，影响周边农业生产；土体坍塌破坏工程基础，降低稳定性；土方坍塌和滑落威胁人员安全。需加强水土流失防治，采取水土保持措施，加强安全管理和人员培训。</w:t>
      </w:r>
    </w:p>
    <w:p w14:paraId="1C7538E5">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⑤对周边环境的影响</w:t>
      </w:r>
    </w:p>
    <w:p w14:paraId="5F000BFC">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在项目的建设施工过程中，如果未能及时对临时堆土等采取有效防护措施，也未对开挖扰动区域进行及时处理，那么径流冲刷下的泥沙就有可能进入地表水体，导致河水含沙量上升，进而对水质产生不良影响。</w:t>
      </w:r>
    </w:p>
    <w:p w14:paraId="6688415D">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3.1.6对生态系统的影响</w:t>
      </w:r>
    </w:p>
    <w:p w14:paraId="5214CA1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本项目的永久占地是沿用已有的道路，不涉及树木砍伐。至于临时用地，则主要选用的是未被充分利用的耕地、建设用地和未利用地。这些临时用地多已有人为活动的痕迹，植被主要由人工种植的草本植物构成。在施工期间，这些草本植物会被暂时移除，从而导致一定的植被覆盖减少。但施工完成后，施工单位会按照原有的植被类型重新播种草种，以恢复植被。鉴于本项目的施工周期相对较短，因此对当地的生态系统产生负面影响较小，在可接受范围内。</w:t>
      </w:r>
    </w:p>
    <w:p w14:paraId="2328BAA3">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3.1.7对生物多样性影响</w:t>
      </w:r>
    </w:p>
    <w:p w14:paraId="21735246">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施工占地造成局部地段植被破坏，对生态环境产生干扰与影响，工程占地范围内未发现国家重点保护植物分布，分布植被基本均为常见物种，该物种在周边区域都有大量分布，所以工程施工和运行对评价范围内植物物种多样性基本无影响。工程施工时，可能会影响公路周围分布的普通田鼠等啮齿类动物和中小型动物的生存，也会影响灰喜鹊、麻雀等鸟类动物的活动，导致施工区域内的野生动物迁移到其他区域，野生动物数量在一定的时期内有所变化。但施工结束后，施工区域生态环境基本恢复，野生动物会逐渐恢复原有状态，对评价范围内动物物种多样性影响不大。施工结束后，进入运营期，道路车辆产生的噪声和汽车尾气依然会对野生动物造成影响，噪声将对公路两侧区域分布动物的生活习性产生一定的影响，使生活在宁静环境中的动物受噪声干扰而烦躁不安，也会对范围内的动物产卵产生一定的影响，但项目为改建项目，既有公路产生的影响该区域动物已适应，工程完成后，对动物产卵的影响程度变化不大，可被动物所接受。</w:t>
      </w:r>
    </w:p>
    <w:p w14:paraId="288F112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3.2运营期生态影响预测</w:t>
      </w:r>
    </w:p>
    <w:p w14:paraId="16C24601">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3.2.1植物</w:t>
      </w:r>
    </w:p>
    <w:p w14:paraId="6D2B2E35">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项目建成后，除公路路面、建筑物及硬化防护措施外，对路基边沟等用地，都将进行植被恢复。同时，在施工结束后也将对施工临时用地进行恢复植被。以上措施可有效减缓公路占地对植被产生的影响。且项目运营期间，不会有新的自然植被遭到破坏，项目区内的工程活动全部结束，施工道路等临时占地内受影响的植物群落和植物物种也进入恢复期，运行期工程对植物和植被的影响降到工程建设前的水平。</w:t>
      </w:r>
    </w:p>
    <w:p w14:paraId="74B8D5DA">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3.2.2动物</w:t>
      </w:r>
    </w:p>
    <w:p w14:paraId="265BDEE7">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营运期对陆生动物的影响主要为交通噪声和夜间车辆行驶时灯光对动物的栖息和繁殖有一定的不利影响，例如影响动物的交配和产卵。公路交通产生很多干扰因子（噪声污染、视觉污染、污染物的排放）其中噪声污染影响显著，动物选择生境和建立巢区时通常会回避和远离公路。可能迫使一些动物向公路两侧迁徙，但对该地区陆栖脊椎动物整体的物种数量和个体数量不会产生明显的不良影响。</w:t>
      </w:r>
    </w:p>
    <w:p w14:paraId="7334ED90">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1"/>
          <w:highlight w:val="none"/>
          <w:lang w:val="en-US" w:eastAsia="zh-CN"/>
        </w:rPr>
      </w:pPr>
      <w:r>
        <w:rPr>
          <w:rFonts w:hint="eastAsia" w:ascii="宋体" w:hAnsi="宋体" w:eastAsia="宋体" w:cs="宋体"/>
          <w:sz w:val="24"/>
          <w:szCs w:val="21"/>
          <w:highlight w:val="none"/>
          <w:lang w:val="en-US" w:eastAsia="zh-CN"/>
        </w:rPr>
        <w:t>根据沿线生态环境现状调查情况可知，项目建设直接经过地区没有受国家保护的珍稀濒危野生动物存在，也没有大型的野生动物栖息地。因此，该项目对野生动物的栖息生存影响较小。</w:t>
      </w:r>
    </w:p>
    <w:p w14:paraId="366DD82E">
      <w:pPr>
        <w:keepNext w:val="0"/>
        <w:keepLines w:val="0"/>
        <w:widowControl/>
        <w:suppressLineNumbers w:val="0"/>
        <w:spacing w:line="360" w:lineRule="auto"/>
        <w:ind w:left="0" w:leftChars="0" w:firstLine="0" w:firstLineChars="0"/>
        <w:jc w:val="left"/>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3.2.3</w:t>
      </w:r>
      <w:r>
        <w:rPr>
          <w:rFonts w:hint="eastAsia" w:ascii="宋体" w:hAnsi="宋体" w:eastAsia="宋体" w:cs="宋体"/>
          <w:b/>
          <w:bCs/>
          <w:color w:val="000000"/>
          <w:kern w:val="0"/>
          <w:sz w:val="24"/>
          <w:szCs w:val="24"/>
          <w:highlight w:val="none"/>
          <w:lang w:val="en-US" w:eastAsia="zh-CN" w:bidi="ar"/>
        </w:rPr>
        <w:t xml:space="preserve">景观 </w:t>
      </w:r>
    </w:p>
    <w:p w14:paraId="0A11BD71">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本项目涉及的旧路已投入运行多年，公路两侧已形成稳定的生态系统，植物群落状态稳定。此次改建工程属于大中修工程，道路选线维持不变，因此不会对周围景观环境产生新的分割影响，工程所造成的阻隔效应与边缘化效应并不显著。整体而言，该工程对景观环境的破碎化程度较低，对景观生态环境的影响较小。</w:t>
      </w:r>
    </w:p>
    <w:p w14:paraId="157D15FD">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0B7F591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2"/>
          <w:highlight w:val="none"/>
          <w:lang w:val="en-US" w:eastAsia="zh-CN"/>
        </w:rPr>
      </w:pPr>
      <w:r>
        <w:rPr>
          <w:rFonts w:hint="eastAsia" w:ascii="宋体" w:hAnsi="宋体" w:eastAsia="宋体" w:cs="宋体"/>
          <w:b/>
          <w:bCs/>
          <w:sz w:val="28"/>
          <w:szCs w:val="22"/>
          <w:highlight w:val="none"/>
          <w:lang w:val="en-US" w:eastAsia="zh-CN"/>
        </w:rPr>
        <w:t>四、生态保护与恢复措施</w:t>
      </w:r>
    </w:p>
    <w:p w14:paraId="51AA0C5F">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1"/>
          <w:highlight w:val="none"/>
          <w:lang w:val="en-US" w:eastAsia="zh-CN"/>
        </w:rPr>
      </w:pPr>
      <w:r>
        <w:rPr>
          <w:rFonts w:hint="eastAsia" w:ascii="宋体" w:hAnsi="宋体" w:eastAsia="宋体" w:cs="宋体"/>
          <w:b/>
          <w:bCs/>
          <w:sz w:val="24"/>
          <w:szCs w:val="21"/>
          <w:highlight w:val="none"/>
          <w:lang w:val="en-US" w:eastAsia="zh-CN"/>
        </w:rPr>
        <w:t>4.1 施工期生态保护与恢复措施</w:t>
      </w:r>
    </w:p>
    <w:p w14:paraId="2425D1E8">
      <w:pPr>
        <w:pStyle w:val="14"/>
        <w:ind w:left="0" w:leftChars="0" w:firstLine="0" w:firstLineChars="0"/>
        <w:rPr>
          <w:rFonts w:hint="eastAsia" w:ascii="宋体" w:hAnsi="宋体" w:eastAsia="宋体" w:cs="宋体"/>
          <w:b/>
          <w:bCs/>
          <w:kern w:val="2"/>
          <w:sz w:val="24"/>
          <w:szCs w:val="21"/>
          <w:highlight w:val="none"/>
          <w:lang w:val="en-US" w:eastAsia="zh-CN" w:bidi="ar-SA"/>
        </w:rPr>
      </w:pPr>
      <w:r>
        <w:rPr>
          <w:rFonts w:hint="eastAsia" w:ascii="宋体" w:hAnsi="宋体" w:eastAsia="宋体" w:cs="宋体"/>
          <w:b/>
          <w:bCs/>
          <w:kern w:val="2"/>
          <w:sz w:val="24"/>
          <w:szCs w:val="21"/>
          <w:highlight w:val="none"/>
          <w:lang w:val="en-US" w:eastAsia="zh-CN" w:bidi="ar-SA"/>
        </w:rPr>
        <w:t>4.1.1施工期植被保护措施</w:t>
      </w:r>
    </w:p>
    <w:p w14:paraId="7B531DD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rPr>
        <w:t>①</w:t>
      </w:r>
      <w:r>
        <w:rPr>
          <w:rFonts w:hint="eastAsia" w:ascii="宋体" w:hAnsi="宋体" w:eastAsia="宋体" w:cs="宋体"/>
          <w:color w:val="auto"/>
          <w:sz w:val="24"/>
          <w:szCs w:val="24"/>
          <w:highlight w:val="none"/>
        </w:rPr>
        <w:t>严格按照设计文件确定施工范围，进行地表植被清理工作；禁止施工人员、车辆进入非施工占地区域。</w:t>
      </w:r>
    </w:p>
    <w:p w14:paraId="4998BEFF">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②优化施工方案，合理安排施工进度，加快施工进程，缩短周期，减少影响的时间；避开雨天施工。</w:t>
      </w:r>
    </w:p>
    <w:p w14:paraId="754481BD">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③严格控制路基开挖施工作业面，避免超挖破坏周围植被；对于坡面工程应及时采取工程或植物措施加以防护以减少水土流失现象发生。</w:t>
      </w:r>
    </w:p>
    <w:p w14:paraId="536B2D6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④各种机械、车辆应定期检查维护，减少跑、冒、滴、漏等环节对土壤的污染。</w:t>
      </w:r>
    </w:p>
    <w:p w14:paraId="40E31DE4">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⑤及时处理固体废物如生活垃圾、施工物料和施工垃圾等，杜绝超范围用地。</w:t>
      </w:r>
    </w:p>
    <w:p w14:paraId="28ADE17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⑥本项目</w:t>
      </w:r>
      <w:r>
        <w:rPr>
          <w:rFonts w:hint="eastAsia" w:ascii="宋体" w:hAnsi="宋体" w:eastAsia="宋体" w:cs="宋体"/>
          <w:lang w:val="en-US" w:eastAsia="zh-CN"/>
        </w:rPr>
        <w:t>临时</w:t>
      </w:r>
      <w:r>
        <w:rPr>
          <w:rFonts w:hint="eastAsia" w:ascii="宋体" w:hAnsi="宋体" w:eastAsia="宋体" w:cs="宋体"/>
          <w:color w:val="auto"/>
          <w:sz w:val="24"/>
          <w:szCs w:val="24"/>
          <w:highlight w:val="none"/>
          <w:lang w:val="en-US" w:eastAsia="zh-CN"/>
        </w:rPr>
        <w:t>弃渣场、施工工场</w:t>
      </w:r>
      <w:r>
        <w:rPr>
          <w:rFonts w:hint="eastAsia" w:ascii="宋体" w:hAnsi="宋体" w:eastAsia="宋体" w:cs="宋体"/>
          <w:color w:val="auto"/>
          <w:sz w:val="24"/>
          <w:szCs w:val="24"/>
          <w:highlight w:val="none"/>
        </w:rPr>
        <w:t>设置</w:t>
      </w:r>
      <w:r>
        <w:rPr>
          <w:rFonts w:hint="eastAsia" w:ascii="宋体" w:hAnsi="宋体" w:eastAsia="宋体" w:cs="宋体"/>
          <w:color w:val="auto"/>
          <w:sz w:val="24"/>
          <w:szCs w:val="24"/>
          <w:highlight w:val="none"/>
          <w:lang w:val="en-US" w:eastAsia="zh-CN"/>
        </w:rPr>
        <w:t>临时占地范围内，施工结束后恢复原有地貌</w:t>
      </w:r>
      <w:r>
        <w:rPr>
          <w:rFonts w:hint="eastAsia" w:ascii="宋体" w:hAnsi="宋体" w:eastAsia="宋体" w:cs="宋体"/>
          <w:color w:val="auto"/>
          <w:sz w:val="24"/>
          <w:szCs w:val="24"/>
          <w:highlight w:val="none"/>
        </w:rPr>
        <w:t>；本项目土方采用外购方式，本工程不设置取土场；本项目</w:t>
      </w:r>
      <w:r>
        <w:rPr>
          <w:rFonts w:hint="eastAsia" w:ascii="宋体" w:hAnsi="宋体" w:eastAsia="宋体" w:cs="宋体"/>
          <w:color w:val="auto"/>
          <w:sz w:val="24"/>
          <w:szCs w:val="24"/>
          <w:highlight w:val="none"/>
          <w:lang w:val="en-US" w:eastAsia="zh-CN"/>
        </w:rPr>
        <w:t>不</w:t>
      </w:r>
      <w:r>
        <w:rPr>
          <w:rFonts w:hint="eastAsia" w:ascii="宋体" w:hAnsi="宋体" w:eastAsia="宋体" w:cs="宋体"/>
          <w:color w:val="auto"/>
          <w:sz w:val="24"/>
          <w:szCs w:val="24"/>
          <w:highlight w:val="none"/>
        </w:rPr>
        <w:t>设置</w:t>
      </w:r>
      <w:r>
        <w:rPr>
          <w:rFonts w:hint="eastAsia" w:ascii="宋体" w:hAnsi="宋体" w:eastAsia="宋体" w:cs="宋体"/>
          <w:color w:val="auto"/>
          <w:sz w:val="24"/>
          <w:szCs w:val="24"/>
          <w:highlight w:val="none"/>
          <w:lang w:val="en-US" w:eastAsia="zh-CN"/>
        </w:rPr>
        <w:t>永久</w:t>
      </w:r>
      <w:r>
        <w:rPr>
          <w:rFonts w:hint="eastAsia" w:ascii="宋体" w:hAnsi="宋体" w:eastAsia="宋体" w:cs="宋体"/>
          <w:color w:val="auto"/>
          <w:sz w:val="24"/>
          <w:szCs w:val="24"/>
          <w:highlight w:val="none"/>
        </w:rPr>
        <w:t>弃土场；本工程不设置施工驻地</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本项目不设置基层、面层拌合站，所用水泥混凝土、沥青混凝土及桥梁预制件等外购，可以通过车辆直接运输至项目场地，在施工结束后将临时便道拆除，及时清理施工痕迹，恢复地表原貌。</w:t>
      </w:r>
    </w:p>
    <w:p w14:paraId="73056422">
      <w:pPr>
        <w:pStyle w:val="25"/>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color w:val="auto"/>
          <w:sz w:val="24"/>
          <w:szCs w:val="24"/>
          <w:highlight w:val="none"/>
        </w:rPr>
        <w:t>⑦在施工过程中发现国家或省级重点保护野生植物时，应报告当地林业和环境保护部门，并立即实施抢救和妥善保护，并在最近区域内寻找相似生境进行移栽。</w:t>
      </w:r>
    </w:p>
    <w:p w14:paraId="141E4A8A">
      <w:pPr>
        <w:keepNext w:val="0"/>
        <w:keepLines w:val="0"/>
        <w:pageBreakBefore w:val="0"/>
        <w:widowControl/>
        <w:suppressLineNumbers w:val="0"/>
        <w:kinsoku/>
        <w:wordWrap/>
        <w:overflowPunct/>
        <w:topLinePunct w:val="0"/>
        <w:autoSpaceDE w:val="0"/>
        <w:autoSpaceDN w:val="0"/>
        <w:bidi w:val="0"/>
        <w:adjustRightInd/>
        <w:spacing w:before="0" w:after="0" w:line="360" w:lineRule="auto"/>
        <w:ind w:left="0" w:leftChars="0" w:right="0" w:firstLine="0" w:firstLineChars="0"/>
        <w:jc w:val="both"/>
        <w:textAlignment w:val="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4.1.2施工期动物保护措施</w:t>
      </w:r>
    </w:p>
    <w:p w14:paraId="563E202E">
      <w:pPr>
        <w:keepNext w:val="0"/>
        <w:keepLines w:val="0"/>
        <w:pageBreakBefore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rPr>
        <w:t>①</w:t>
      </w:r>
      <w:r>
        <w:rPr>
          <w:rFonts w:hint="eastAsia" w:ascii="宋体" w:hAnsi="宋体" w:eastAsia="宋体" w:cs="宋体"/>
          <w:snapToGrid w:val="0"/>
          <w:color w:val="auto"/>
          <w:kern w:val="0"/>
          <w:sz w:val="24"/>
          <w:szCs w:val="24"/>
          <w:highlight w:val="none"/>
          <w:lang w:eastAsia="zh-CN"/>
        </w:rPr>
        <w:t>增强</w:t>
      </w:r>
      <w:r>
        <w:rPr>
          <w:rFonts w:hint="eastAsia" w:ascii="宋体" w:hAnsi="宋体" w:eastAsia="宋体" w:cs="宋体"/>
          <w:color w:val="auto"/>
          <w:sz w:val="24"/>
          <w:szCs w:val="24"/>
          <w:highlight w:val="none"/>
        </w:rPr>
        <w:t>施工人员的保护意识，使其必须遵守《中华人民共和国野生动物保护法》，严禁在施工区及其周围捕猎野生动物；施工过程中若发现国家级及省级重点保护动物，应及时进行护养或放归。</w:t>
      </w:r>
    </w:p>
    <w:p w14:paraId="49737136">
      <w:pPr>
        <w:keepNext w:val="0"/>
        <w:keepLines w:val="0"/>
        <w:pageBreakBefore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rPr>
        <w:t>②</w:t>
      </w:r>
      <w:r>
        <w:rPr>
          <w:rFonts w:hint="eastAsia" w:ascii="宋体" w:hAnsi="宋体" w:eastAsia="宋体" w:cs="宋体"/>
          <w:color w:val="auto"/>
          <w:sz w:val="24"/>
          <w:szCs w:val="24"/>
          <w:highlight w:val="none"/>
        </w:rPr>
        <w:t>根据施工总平面布置图确定施工用地范围，进行标桩划界，禁止施工人员、施工机械进入非施工占地区域；非施工区严禁烟火、狩猎和垂钓等活动；禁止施工人员野外用火，使对野生动物的干扰降至最低程度。</w:t>
      </w:r>
    </w:p>
    <w:p w14:paraId="51615976">
      <w:pPr>
        <w:keepNext w:val="0"/>
        <w:keepLines w:val="0"/>
        <w:pageBreakBefore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rPr>
        <w:t>③</w:t>
      </w:r>
      <w:r>
        <w:rPr>
          <w:rFonts w:hint="eastAsia" w:ascii="宋体" w:hAnsi="宋体" w:eastAsia="宋体" w:cs="宋体"/>
          <w:color w:val="auto"/>
          <w:sz w:val="24"/>
          <w:szCs w:val="24"/>
          <w:highlight w:val="none"/>
        </w:rPr>
        <w:t>做好施工方案和工序安排，合理安排施工时间，尽可能避开野生动物繁殖期施工，避开晨昏、正午进行大规模、高噪声设备集中作业；加强施工管理，减少工程施工噪声对野生动物的惊扰。选用噪声低的施工机械，减少噪声对动物的影响。</w:t>
      </w:r>
    </w:p>
    <w:p w14:paraId="7DB19EB6">
      <w:pPr>
        <w:keepNext w:val="0"/>
        <w:keepLines w:val="0"/>
        <w:pageBreakBefore w:val="0"/>
        <w:widowControl/>
        <w:suppressLineNumbers w:val="0"/>
        <w:kinsoku/>
        <w:wordWrap/>
        <w:overflowPunct/>
        <w:topLinePunct w:val="0"/>
        <w:autoSpaceDE w:val="0"/>
        <w:autoSpaceDN w:val="0"/>
        <w:bidi w:val="0"/>
        <w:adjustRightInd/>
        <w:snapToGrid/>
        <w:spacing w:before="0" w:after="0" w:line="360" w:lineRule="auto"/>
        <w:ind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bCs/>
          <w:color w:val="auto"/>
          <w:sz w:val="24"/>
          <w:szCs w:val="24"/>
          <w:highlight w:val="none"/>
        </w:rPr>
        <w:t>④加强工程建设环境保护监督管理、统筹安排，设立环境保护监督机构和环保专职人员，加强对施工人员的环保教育，严禁施工人员盗猎野生动物，对违法行为进行依法处置。</w:t>
      </w:r>
    </w:p>
    <w:p w14:paraId="1F9818D1">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0" w:firstLineChars="0"/>
        <w:jc w:val="both"/>
        <w:textAlignment w:val="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 xml:space="preserve">4.1.3占地恢复措施 </w:t>
      </w:r>
    </w:p>
    <w:p w14:paraId="3BB3F044">
      <w:pPr>
        <w:pStyle w:val="8"/>
        <w:spacing w:line="360" w:lineRule="auto"/>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①施工单位要严格按照施工图设计文件进行施工，严禁任何单位、个人、机械设备占用施工图范围以外的用地，尽可能减少占地面积。</w:t>
      </w:r>
    </w:p>
    <w:p w14:paraId="21674962">
      <w:pPr>
        <w:pStyle w:val="8"/>
        <w:spacing w:line="360" w:lineRule="auto"/>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②严格执行施工监理，施工监理单位要严格按照国家有关标准、规范以及施工图设计文件监督施工过程。</w:t>
      </w:r>
    </w:p>
    <w:p w14:paraId="6ADAFC80">
      <w:pPr>
        <w:pStyle w:val="8"/>
        <w:spacing w:line="360" w:lineRule="auto"/>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③施工前，应将表土（30cm～40cm）剥离，集中堆存，采取覆盖措施，防止水土流失，用于后期绿化。</w:t>
      </w:r>
    </w:p>
    <w:p w14:paraId="7E3FC3C3">
      <w:pPr>
        <w:pStyle w:val="8"/>
        <w:spacing w:line="360" w:lineRule="auto"/>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④本项目临时占地建设单位要依法、依规办理相关用地手续后方可继续进行工程建设</w:t>
      </w:r>
      <w:r>
        <w:rPr>
          <w:rFonts w:hint="eastAsia" w:ascii="宋体" w:hAnsi="宋体" w:eastAsia="宋体" w:cs="宋体"/>
          <w:bCs/>
          <w:color w:val="auto"/>
          <w:sz w:val="24"/>
          <w:szCs w:val="24"/>
          <w:highlight w:val="none"/>
          <w:lang w:eastAsia="zh-CN"/>
        </w:rPr>
        <w:t>，</w:t>
      </w:r>
      <w:r>
        <w:rPr>
          <w:rFonts w:hint="eastAsia" w:ascii="宋体" w:hAnsi="宋体" w:eastAsia="宋体" w:cs="宋体"/>
          <w:bCs/>
          <w:color w:val="auto"/>
          <w:sz w:val="24"/>
          <w:szCs w:val="24"/>
          <w:highlight w:val="none"/>
        </w:rPr>
        <w:t>施工结束后要恢复临时占地施工前的土地功能，恢复原有地貌。</w:t>
      </w:r>
    </w:p>
    <w:p w14:paraId="57F3CB23">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rPr>
      </w:pPr>
      <w:r>
        <w:rPr>
          <w:rFonts w:hint="eastAsia" w:ascii="宋体" w:hAnsi="宋体" w:eastAsia="宋体" w:cs="宋体"/>
          <w:bCs/>
          <w:color w:val="auto"/>
          <w:sz w:val="24"/>
          <w:szCs w:val="24"/>
          <w:highlight w:val="none"/>
          <w:lang w:val="en-US" w:eastAsia="zh-CN"/>
        </w:rPr>
        <w:t>⑥</w:t>
      </w:r>
      <w:r>
        <w:rPr>
          <w:rFonts w:hint="eastAsia" w:ascii="宋体" w:hAnsi="宋体" w:eastAsia="宋体" w:cs="宋体"/>
          <w:bCs/>
          <w:color w:val="auto"/>
          <w:sz w:val="24"/>
          <w:szCs w:val="24"/>
          <w:highlight w:val="none"/>
        </w:rPr>
        <w:t>根据《中华人民共和国土地管理法》《国务院关于深化改革严格土地管理的规定》（国发〔2004〕28）对耕地开垦费的缴纳和使用有专门要求。本项目在投资估算中考虑占地补偿及耕地复垦费用，按照省政府规定的标准按时缴纳耕地开垦费、土地复垦费等，沿线耕地补偿可在省政府、省自然资源厅的统一部署下来补偿本项目造成的耕地损失，弥补本项目占用耕地带来的不利影响。</w:t>
      </w:r>
    </w:p>
    <w:p w14:paraId="41BE54F5">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0" w:firstLineChars="0"/>
        <w:jc w:val="both"/>
        <w:textAlignment w:val="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4.1.4</w:t>
      </w:r>
      <w:r>
        <w:rPr>
          <w:rFonts w:hint="eastAsia" w:ascii="宋体" w:hAnsi="宋体" w:eastAsia="宋体" w:cs="宋体"/>
          <w:b/>
          <w:bCs/>
          <w:sz w:val="24"/>
          <w:szCs w:val="24"/>
          <w:highlight w:val="none"/>
        </w:rPr>
        <w:t>水土保持措施</w:t>
      </w:r>
    </w:p>
    <w:p w14:paraId="6CA9464F">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做好公路沿线水土保持工作，减少水土流失，施工中合理安排工期，尽量避免和减少雨季进行路基开挖，减少土石方堆放量，严格按照设计和水保措施进行施工，施工中应完善边沟、排截水沟等排水工程，保持排水通畅，施工中若造成堵塞，应及时清除。</w:t>
      </w:r>
      <w:r>
        <w:rPr>
          <w:rFonts w:hint="eastAsia" w:ascii="宋体" w:hAnsi="宋体" w:eastAsia="宋体" w:cs="宋体"/>
          <w:sz w:val="24"/>
          <w:szCs w:val="24"/>
          <w:highlight w:val="none"/>
          <w:lang w:val="en-US" w:eastAsia="zh-CN"/>
        </w:rPr>
        <w:t>具体水土保持措施如下：</w:t>
      </w:r>
    </w:p>
    <w:p w14:paraId="2987F245">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1、路基工程区</w:t>
      </w:r>
    </w:p>
    <w:p w14:paraId="75944185">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工程措施：主体设计施工前路基工程区进行</w:t>
      </w:r>
      <w:r>
        <w:rPr>
          <w:rFonts w:hint="eastAsia" w:ascii="宋体" w:hAnsi="宋体" w:eastAsia="宋体" w:cs="宋体"/>
          <w:sz w:val="24"/>
          <w:szCs w:val="24"/>
          <w:highlight w:val="none"/>
          <w:lang w:val="en-US" w:eastAsia="zh-CN"/>
        </w:rPr>
        <w:t>对原有路面进行开挖</w:t>
      </w:r>
      <w:r>
        <w:rPr>
          <w:rFonts w:hint="eastAsia" w:ascii="宋体" w:hAnsi="宋体" w:eastAsia="宋体" w:cs="宋体"/>
          <w:sz w:val="24"/>
          <w:szCs w:val="24"/>
          <w:highlight w:val="none"/>
          <w:lang w:val="zh-CN"/>
        </w:rPr>
        <w:t>；路基两侧布设边沟等排水工程，与自然沟道衔接；施工结束后对路基边坡进行表土回覆用于路基边坡防护，采用边坡流水带拱形防护等方式进行边坡防护。</w:t>
      </w:r>
    </w:p>
    <w:p w14:paraId="66588854">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临时措施：路基工程区</w:t>
      </w:r>
      <w:r>
        <w:rPr>
          <w:rFonts w:hint="eastAsia" w:ascii="宋体" w:hAnsi="宋体" w:eastAsia="宋体" w:cs="宋体"/>
          <w:sz w:val="24"/>
          <w:szCs w:val="24"/>
          <w:highlight w:val="none"/>
          <w:lang w:val="en-US" w:eastAsia="zh-CN"/>
        </w:rPr>
        <w:t>挖方产生弃渣</w:t>
      </w:r>
      <w:r>
        <w:rPr>
          <w:rFonts w:hint="eastAsia" w:ascii="宋体" w:hAnsi="宋体" w:eastAsia="宋体" w:cs="宋体"/>
          <w:sz w:val="24"/>
          <w:szCs w:val="24"/>
          <w:highlight w:val="none"/>
          <w:lang w:val="zh-CN"/>
        </w:rPr>
        <w:t>临时堆放到</w:t>
      </w:r>
      <w:r>
        <w:rPr>
          <w:rFonts w:hint="eastAsia" w:ascii="宋体" w:hAnsi="宋体" w:eastAsia="宋体" w:cs="宋体"/>
          <w:sz w:val="24"/>
          <w:szCs w:val="24"/>
          <w:highlight w:val="none"/>
          <w:lang w:val="en-US" w:eastAsia="zh-CN"/>
        </w:rPr>
        <w:t>临时堆场</w:t>
      </w:r>
      <w:r>
        <w:rPr>
          <w:rFonts w:hint="eastAsia" w:ascii="宋体" w:hAnsi="宋体" w:eastAsia="宋体" w:cs="宋体"/>
          <w:sz w:val="24"/>
          <w:szCs w:val="24"/>
          <w:highlight w:val="none"/>
          <w:lang w:val="zh-CN"/>
        </w:rPr>
        <w:t>，做好临时拦挡</w:t>
      </w:r>
      <w:r>
        <w:rPr>
          <w:rFonts w:hint="eastAsia" w:ascii="宋体" w:hAnsi="宋体" w:eastAsia="宋体" w:cs="宋体"/>
          <w:sz w:val="24"/>
          <w:szCs w:val="24"/>
          <w:highlight w:val="none"/>
          <w:lang w:val="en-US" w:eastAsia="zh-CN"/>
        </w:rPr>
        <w:t>和</w:t>
      </w:r>
      <w:r>
        <w:rPr>
          <w:rFonts w:hint="eastAsia" w:ascii="宋体" w:hAnsi="宋体" w:eastAsia="宋体" w:cs="宋体"/>
          <w:sz w:val="24"/>
          <w:szCs w:val="24"/>
          <w:highlight w:val="none"/>
          <w:lang w:val="zh-CN"/>
        </w:rPr>
        <w:t>苫盖措施。</w:t>
      </w:r>
    </w:p>
    <w:p w14:paraId="77ACB728">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en-US" w:eastAsia="zh-CN"/>
        </w:rPr>
        <w:t>2</w:t>
      </w:r>
      <w:r>
        <w:rPr>
          <w:rFonts w:hint="eastAsia" w:ascii="宋体" w:hAnsi="宋体" w:eastAsia="宋体" w:cs="宋体"/>
          <w:sz w:val="24"/>
          <w:szCs w:val="24"/>
          <w:highlight w:val="none"/>
          <w:lang w:val="zh-CN"/>
        </w:rPr>
        <w:t>、表土暂存场区</w:t>
      </w:r>
    </w:p>
    <w:p w14:paraId="487714A0">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植物措施：施工结束后对表土暂存场可绿化区域全面整地、撒播种草恢复植被。</w:t>
      </w:r>
    </w:p>
    <w:p w14:paraId="28CF8492">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临时措施：表土暂存场区内临时堆土做好临时拦挡和苫盖，表土暂存场区周围布设临时排水、沉砂措施。</w:t>
      </w:r>
    </w:p>
    <w:p w14:paraId="1DB8FCBF">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lang w:val="zh-CN"/>
        </w:rPr>
        <w:t>、施工</w:t>
      </w:r>
      <w:r>
        <w:rPr>
          <w:rFonts w:hint="eastAsia" w:ascii="宋体" w:hAnsi="宋体" w:eastAsia="宋体" w:cs="宋体"/>
          <w:sz w:val="24"/>
          <w:szCs w:val="24"/>
          <w:highlight w:val="none"/>
          <w:lang w:val="en-US" w:eastAsia="zh-CN"/>
        </w:rPr>
        <w:t>工场</w:t>
      </w:r>
    </w:p>
    <w:p w14:paraId="0D72E5F6">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工程措施：施工前对施工</w:t>
      </w:r>
      <w:r>
        <w:rPr>
          <w:rFonts w:hint="eastAsia" w:ascii="宋体" w:hAnsi="宋体" w:eastAsia="宋体" w:cs="宋体"/>
          <w:sz w:val="24"/>
          <w:szCs w:val="24"/>
          <w:highlight w:val="none"/>
          <w:lang w:val="en-US" w:eastAsia="zh-CN"/>
        </w:rPr>
        <w:t>工场临时用地处</w:t>
      </w:r>
      <w:r>
        <w:rPr>
          <w:rFonts w:hint="eastAsia" w:ascii="宋体" w:hAnsi="宋体" w:eastAsia="宋体" w:cs="宋体"/>
          <w:sz w:val="24"/>
          <w:szCs w:val="24"/>
          <w:highlight w:val="none"/>
          <w:lang w:val="zh-CN"/>
        </w:rPr>
        <w:t>进行表土剥离；施工结束后表土回覆用于植被恢复。</w:t>
      </w:r>
    </w:p>
    <w:p w14:paraId="655BCDF1">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植物措施：施工结束后回覆表土，</w:t>
      </w:r>
      <w:r>
        <w:rPr>
          <w:rFonts w:hint="eastAsia" w:ascii="宋体" w:hAnsi="宋体" w:eastAsia="宋体" w:cs="宋体"/>
          <w:sz w:val="24"/>
          <w:szCs w:val="24"/>
          <w:highlight w:val="none"/>
          <w:lang w:val="en-US" w:eastAsia="zh-CN"/>
        </w:rPr>
        <w:t>进行播撒草种进行植被恢复</w:t>
      </w:r>
      <w:r>
        <w:rPr>
          <w:rFonts w:hint="eastAsia" w:ascii="宋体" w:hAnsi="宋体" w:eastAsia="宋体" w:cs="宋体"/>
          <w:sz w:val="24"/>
          <w:szCs w:val="24"/>
          <w:highlight w:val="none"/>
          <w:lang w:val="zh-CN"/>
        </w:rPr>
        <w:t>。</w:t>
      </w:r>
    </w:p>
    <w:p w14:paraId="5CAAE408">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临时措施：</w:t>
      </w:r>
      <w:r>
        <w:rPr>
          <w:rFonts w:hint="eastAsia" w:ascii="宋体" w:hAnsi="宋体" w:eastAsia="宋体" w:cs="宋体"/>
          <w:sz w:val="24"/>
          <w:szCs w:val="24"/>
          <w:highlight w:val="none"/>
          <w:lang w:val="en-US" w:eastAsia="zh-CN"/>
        </w:rPr>
        <w:t>施工工场</w:t>
      </w:r>
      <w:r>
        <w:rPr>
          <w:rFonts w:hint="eastAsia" w:ascii="宋体" w:hAnsi="宋体" w:eastAsia="宋体" w:cs="宋体"/>
          <w:sz w:val="24"/>
          <w:szCs w:val="24"/>
          <w:highlight w:val="none"/>
          <w:lang w:val="zh-CN"/>
        </w:rPr>
        <w:t>剥离的表土临时堆放到</w:t>
      </w:r>
      <w:r>
        <w:rPr>
          <w:rFonts w:hint="eastAsia" w:ascii="宋体" w:hAnsi="宋体" w:eastAsia="宋体" w:cs="宋体"/>
          <w:sz w:val="24"/>
          <w:szCs w:val="24"/>
          <w:highlight w:val="none"/>
          <w:lang w:val="en-US" w:eastAsia="zh-CN"/>
        </w:rPr>
        <w:t>临时表土堆场</w:t>
      </w:r>
      <w:r>
        <w:rPr>
          <w:rFonts w:hint="eastAsia" w:ascii="宋体" w:hAnsi="宋体" w:eastAsia="宋体" w:cs="宋体"/>
          <w:sz w:val="24"/>
          <w:szCs w:val="24"/>
          <w:highlight w:val="none"/>
          <w:lang w:val="zh-CN"/>
        </w:rPr>
        <w:t>，</w:t>
      </w:r>
      <w:r>
        <w:rPr>
          <w:rFonts w:hint="eastAsia" w:ascii="宋体" w:hAnsi="宋体" w:eastAsia="宋体" w:cs="宋体"/>
          <w:sz w:val="24"/>
          <w:szCs w:val="24"/>
          <w:highlight w:val="none"/>
          <w:lang w:val="en-US" w:eastAsia="zh-CN"/>
        </w:rPr>
        <w:t>对</w:t>
      </w:r>
      <w:r>
        <w:rPr>
          <w:rFonts w:hint="eastAsia" w:ascii="宋体" w:hAnsi="宋体" w:eastAsia="宋体" w:cs="宋体"/>
          <w:sz w:val="24"/>
          <w:szCs w:val="24"/>
          <w:highlight w:val="none"/>
          <w:lang w:val="zh-CN"/>
        </w:rPr>
        <w:t>临时堆土进行临时拦挡、苫盖措施；</w:t>
      </w:r>
      <w:r>
        <w:rPr>
          <w:rFonts w:hint="eastAsia" w:ascii="宋体" w:hAnsi="宋体" w:eastAsia="宋体" w:cs="宋体"/>
          <w:sz w:val="24"/>
          <w:szCs w:val="24"/>
          <w:highlight w:val="none"/>
          <w:lang w:val="en-US" w:eastAsia="zh-CN"/>
        </w:rPr>
        <w:t>施工工场</w:t>
      </w:r>
      <w:r>
        <w:rPr>
          <w:rFonts w:hint="eastAsia" w:ascii="宋体" w:hAnsi="宋体" w:eastAsia="宋体" w:cs="宋体"/>
          <w:sz w:val="24"/>
          <w:szCs w:val="24"/>
          <w:highlight w:val="none"/>
          <w:lang w:val="zh-CN"/>
        </w:rPr>
        <w:t>周边设置排水沟，在排水沟下游设置沉砂池。</w:t>
      </w:r>
    </w:p>
    <w:p w14:paraId="2615661F">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0" w:firstLineChars="0"/>
        <w:jc w:val="both"/>
        <w:textAlignment w:val="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4.2 运营期生态保护措施</w:t>
      </w:r>
    </w:p>
    <w:p w14:paraId="21FFCFE7">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①加强道路的维护工作能起到保护沿线森林的作用。例如，加强排水工程维护防止植被受淹；维护</w:t>
      </w:r>
      <w:r>
        <w:rPr>
          <w:rFonts w:hint="eastAsia" w:ascii="宋体" w:hAnsi="宋体" w:eastAsia="宋体" w:cs="宋体"/>
          <w:sz w:val="24"/>
          <w:szCs w:val="24"/>
          <w:highlight w:val="none"/>
          <w:lang w:val="en-US" w:eastAsia="zh-CN"/>
        </w:rPr>
        <w:t>桥涵</w:t>
      </w:r>
      <w:r>
        <w:rPr>
          <w:rFonts w:hint="eastAsia" w:ascii="宋体" w:hAnsi="宋体" w:eastAsia="宋体" w:cs="宋体"/>
          <w:sz w:val="24"/>
          <w:szCs w:val="24"/>
          <w:highlight w:val="none"/>
        </w:rPr>
        <w:t>能够保证了水路的畅通，既不影响沿线植被用水，又有利排水。</w:t>
      </w:r>
    </w:p>
    <w:p w14:paraId="48D70802">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②加强运输车辆管理、加强对自然生态的保护，保护一草一木及野生动物，防止林火和树木病虫害的发生。</w:t>
      </w:r>
    </w:p>
    <w:p w14:paraId="10ABE088">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③防止侵占</w:t>
      </w:r>
    </w:p>
    <w:p w14:paraId="75D4F3F6">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在道路沿线设置明显的标识牌，明确禁止在林地范围内进行非法开垦、放牧、砍伐等破坏植被的行为。</w:t>
      </w:r>
    </w:p>
    <w:p w14:paraId="5CEFEEB8">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④施工结束后，各种临时用地必须尽快进行土地整治、覆土植被或复耕，避免形成新的水土流失。</w:t>
      </w:r>
    </w:p>
    <w:p w14:paraId="06052D7C">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加强道路巡查，及时发现并制止侵占林地、破坏植被的行为。</w:t>
      </w:r>
    </w:p>
    <w:p w14:paraId="3D212790">
      <w:pPr>
        <w:pStyle w:val="32"/>
        <w:keepNext w:val="0"/>
        <w:keepLines w:val="0"/>
        <w:pageBreakBefore w:val="0"/>
        <w:kinsoku/>
        <w:wordWrap/>
        <w:overflowPunct/>
        <w:topLinePunct w:val="0"/>
        <w:autoSpaceDE w:val="0"/>
        <w:autoSpaceDN w:val="0"/>
        <w:bidi w:val="0"/>
        <w:adjustRightInd/>
        <w:spacing w:before="0" w:after="0" w:line="360" w:lineRule="auto"/>
        <w:ind w:left="0" w:leftChars="0" w:right="0" w:firstLine="480" w:firstLineChars="200"/>
        <w:jc w:val="both"/>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对于因道路建设或运营过程中造成的局部植被破坏，及时进行恢复种植。选择与周边林地相似的植物种类，确保生态的连贯性</w:t>
      </w:r>
      <w:r>
        <w:rPr>
          <w:rFonts w:hint="eastAsia" w:ascii="宋体" w:hAnsi="宋体" w:cs="宋体"/>
          <w:sz w:val="24"/>
          <w:szCs w:val="24"/>
          <w:highlight w:val="none"/>
          <w:lang w:val="en-US" w:eastAsia="zh-CN"/>
        </w:rPr>
        <w:t>。</w:t>
      </w:r>
    </w:p>
    <w:p w14:paraId="69F75FCB">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2"/>
          <w:highlight w:val="none"/>
          <w:lang w:val="en-US" w:eastAsia="zh-CN"/>
        </w:rPr>
      </w:pPr>
      <w:r>
        <w:rPr>
          <w:rFonts w:hint="eastAsia" w:ascii="宋体" w:hAnsi="宋体" w:eastAsia="宋体" w:cs="宋体"/>
          <w:b/>
          <w:bCs/>
          <w:sz w:val="28"/>
          <w:szCs w:val="22"/>
          <w:highlight w:val="none"/>
          <w:lang w:val="en-US" w:eastAsia="zh-CN"/>
        </w:rPr>
        <w:t>五、结论</w:t>
      </w:r>
    </w:p>
    <w:p w14:paraId="0CFDF966">
      <w:pPr>
        <w:pStyle w:val="25"/>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right="0" w:firstLine="480" w:firstLineChars="200"/>
        <w:textAlignment w:val="auto"/>
        <w:rPr>
          <w:rFonts w:hint="eastAsia" w:ascii="宋体" w:hAnsi="宋体" w:eastAsia="宋体" w:cs="宋体"/>
          <w:sz w:val="24"/>
          <w:szCs w:val="24"/>
          <w:highlight w:val="none"/>
        </w:rPr>
      </w:pPr>
      <w:r>
        <w:rPr>
          <w:rFonts w:hint="eastAsia" w:ascii="宋体" w:hAnsi="宋体" w:eastAsia="宋体" w:cs="宋体"/>
          <w:smallCaps w:val="0"/>
          <w:color w:val="auto"/>
          <w:kern w:val="2"/>
          <w:sz w:val="24"/>
          <w:szCs w:val="24"/>
          <w:highlight w:val="none"/>
          <w:lang w:val="en-US" w:eastAsia="zh-CN" w:bidi="ar-SA"/>
        </w:rPr>
        <w:t>用地总规模3.7864公顷，其中公路用地3.2012公顷、耕地0.3903公顷、建设用地0.0618公顷、未利用地0.1331公顷。</w:t>
      </w:r>
      <w:r>
        <w:rPr>
          <w:rFonts w:hint="eastAsia" w:ascii="宋体" w:hAnsi="宋体" w:eastAsia="宋体" w:cs="宋体"/>
          <w:smallCaps w:val="0"/>
          <w:color w:val="auto"/>
          <w:sz w:val="24"/>
          <w:szCs w:val="24"/>
          <w:highlight w:val="yellow"/>
          <w:vertAlign w:val="baseline"/>
          <w:lang w:val="en-US" w:eastAsia="zh-CN"/>
        </w:rPr>
        <w:t>永久占地32055.8m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，其中包括道路改造占地面积21250m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；弯道特殊路段加宽占地面积6565m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；边沟工程占地面积4197.6m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；路基永久防护墙占地面积43.2m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。临时占地5808.2m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，其中包括临时施工工场占地面积2131m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；临时弃渣场占地面积1897.2m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；临时表土堆场占地面积500m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sz w:val="24"/>
          <w:szCs w:val="24"/>
          <w:highlight w:val="yellow"/>
          <w:vertAlign w:val="baseline"/>
          <w:lang w:val="en-US" w:eastAsia="zh-CN"/>
        </w:rPr>
        <w:t>；临时施工便道占地面积1280m</w:t>
      </w:r>
      <w:r>
        <w:rPr>
          <w:rFonts w:hint="eastAsia" w:ascii="宋体" w:hAnsi="宋体" w:eastAsia="宋体" w:cs="宋体"/>
          <w:smallCaps w:val="0"/>
          <w:color w:val="auto"/>
          <w:sz w:val="24"/>
          <w:szCs w:val="24"/>
          <w:highlight w:val="yellow"/>
          <w:vertAlign w:val="superscript"/>
          <w:lang w:val="en-US" w:eastAsia="zh-CN"/>
        </w:rPr>
        <w:t>2</w:t>
      </w:r>
      <w:r>
        <w:rPr>
          <w:rFonts w:hint="eastAsia" w:ascii="宋体" w:hAnsi="宋体" w:eastAsia="宋体" w:cs="宋体"/>
          <w:smallCaps w:val="0"/>
          <w:color w:val="auto"/>
          <w:kern w:val="0"/>
          <w:sz w:val="24"/>
          <w:szCs w:val="28"/>
          <w:highlight w:val="none"/>
          <w:lang w:val="en-US" w:eastAsia="zh-CN"/>
        </w:rPr>
        <w:t>。</w:t>
      </w:r>
    </w:p>
    <w:p w14:paraId="394D1242">
      <w:pPr>
        <w:pStyle w:val="25"/>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right="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项目的建设会对沿线动物的生存环境产生一定的干扰，但是对其生存及种群数量、种类影响很小。工程建成后，随着植被的逐渐恢复，生态环境的好转，人为干扰逐渐减少，许多外迁的动物会陆续回到原来的栖息地。对该地区陆栖动物整体的物种数量和个体数量不会产生明显的不良影响。</w:t>
      </w:r>
    </w:p>
    <w:p w14:paraId="24E7B26F">
      <w:pPr>
        <w:pStyle w:val="25"/>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right="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根据沿线生态环境现状调查情况可知，项目建设直接经过地区没有受国家保护的珍稀濒危野生动物存在，也没有大型的野生动物栖息地。综上所述，在采取有效防控措施，加强管理的情况下，可有效降低本项目对周边环境的影响。项目建设对周边的生态环境产生的影响较小，项目的建设对周边生态环境的影响是可接受的，项目建设是可行的。</w:t>
      </w:r>
    </w:p>
    <w:p w14:paraId="24FC35D6">
      <w:pPr>
        <w:pStyle w:val="25"/>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right="0" w:firstLine="480" w:firstLineChars="200"/>
        <w:textAlignment w:val="auto"/>
        <w:rPr>
          <w:rFonts w:hint="eastAsia" w:ascii="宋体" w:hAnsi="宋体" w:eastAsia="宋体" w:cs="宋体"/>
          <w:sz w:val="24"/>
          <w:szCs w:val="24"/>
          <w:highlight w:val="none"/>
          <w:lang w:val="en-US" w:eastAsia="zh-CN"/>
        </w:rPr>
      </w:pPr>
    </w:p>
    <w:p w14:paraId="51926AF5">
      <w:pPr>
        <w:pStyle w:val="25"/>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right="0" w:firstLine="480" w:firstLineChars="200"/>
        <w:textAlignment w:val="auto"/>
        <w:rPr>
          <w:rFonts w:hint="eastAsia" w:ascii="宋体" w:hAnsi="宋体" w:eastAsia="宋体" w:cs="宋体"/>
          <w:sz w:val="24"/>
          <w:szCs w:val="24"/>
          <w:highlight w:val="none"/>
          <w:lang w:val="en-US" w:eastAsia="zh-CN"/>
        </w:rPr>
      </w:pPr>
    </w:p>
    <w:p w14:paraId="29CD646D">
      <w:pPr>
        <w:pStyle w:val="25"/>
        <w:keepNext w:val="0"/>
        <w:keepLines w:val="0"/>
        <w:pageBreakBefore w:val="0"/>
        <w:kinsoku/>
        <w:wordWrap/>
        <w:overflowPunct/>
        <w:topLinePunct w:val="0"/>
        <w:autoSpaceDE w:val="0"/>
        <w:autoSpaceDN w:val="0"/>
        <w:bidi w:val="0"/>
        <w:adjustRightInd/>
        <w:spacing w:before="0" w:after="0" w:line="360" w:lineRule="auto"/>
        <w:ind w:left="0" w:leftChars="0" w:right="0" w:firstLine="0"/>
        <w:textAlignment w:val="auto"/>
        <w:rPr>
          <w:rFonts w:hint="eastAsia" w:ascii="宋体" w:hAnsi="宋体" w:eastAsia="宋体" w:cs="宋体"/>
          <w:sz w:val="24"/>
          <w:szCs w:val="24"/>
          <w:highlight w:val="none"/>
          <w:lang w:val="en-US" w:eastAsia="zh-CN"/>
        </w:rPr>
        <w:sectPr>
          <w:footerReference r:id="rId14" w:type="firs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26" w:charSpace="0"/>
        </w:sectPr>
      </w:pPr>
    </w:p>
    <w:p w14:paraId="519190D9">
      <w:pPr>
        <w:spacing w:before="163" w:beforeLines="50" w:after="163" w:afterLines="50"/>
        <w:ind w:firstLine="0" w:firstLineChars="0"/>
        <w:jc w:val="center"/>
        <w:outlineLvl w:val="9"/>
        <w:rPr>
          <w:rFonts w:hint="eastAsia" w:ascii="宋体" w:hAnsi="宋体" w:eastAsia="宋体" w:cs="宋体"/>
          <w:b/>
          <w:bCs/>
          <w:color w:val="auto"/>
          <w:sz w:val="44"/>
          <w:szCs w:val="44"/>
          <w:highlight w:val="none"/>
          <w:u w:val="none"/>
          <w:lang w:eastAsia="zh-CN"/>
        </w:rPr>
      </w:pPr>
    </w:p>
    <w:p w14:paraId="5E4D039C">
      <w:pPr>
        <w:spacing w:before="163" w:beforeLines="50" w:after="163" w:afterLines="50"/>
        <w:ind w:firstLine="0" w:firstLineChars="0"/>
        <w:jc w:val="center"/>
        <w:outlineLvl w:val="9"/>
        <w:rPr>
          <w:rFonts w:hint="eastAsia" w:ascii="宋体" w:hAnsi="宋体" w:eastAsia="宋体" w:cs="宋体"/>
          <w:b/>
          <w:bCs/>
          <w:color w:val="auto"/>
          <w:sz w:val="44"/>
          <w:szCs w:val="44"/>
          <w:highlight w:val="none"/>
          <w:u w:val="none"/>
          <w:lang w:eastAsia="zh-CN"/>
        </w:rPr>
      </w:pPr>
      <w:r>
        <w:rPr>
          <w:rFonts w:hint="eastAsia" w:ascii="宋体" w:hAnsi="宋体" w:eastAsia="宋体" w:cs="宋体"/>
          <w:b/>
          <w:bCs/>
          <w:color w:val="auto"/>
          <w:sz w:val="44"/>
          <w:szCs w:val="44"/>
          <w:highlight w:val="none"/>
          <w:u w:val="none"/>
          <w:lang w:eastAsia="zh-CN"/>
        </w:rPr>
        <w:t>双鸭山至时代公路提质改造工程</w:t>
      </w:r>
    </w:p>
    <w:p w14:paraId="5D224875">
      <w:pPr>
        <w:spacing w:before="163" w:beforeLines="50" w:after="163" w:afterLines="50"/>
        <w:ind w:firstLine="0" w:firstLineChars="0"/>
        <w:jc w:val="center"/>
        <w:outlineLvl w:val="0"/>
        <w:rPr>
          <w:rFonts w:hint="eastAsia" w:ascii="宋体" w:hAnsi="宋体" w:eastAsia="宋体" w:cs="宋体"/>
          <w:b/>
          <w:bCs/>
          <w:color w:val="auto"/>
          <w:kern w:val="2"/>
          <w:sz w:val="44"/>
          <w:szCs w:val="44"/>
          <w:highlight w:val="none"/>
          <w:u w:val="none"/>
          <w:lang w:val="en-US" w:eastAsia="zh-CN" w:bidi="ar-SA"/>
        </w:rPr>
      </w:pPr>
      <w:r>
        <w:rPr>
          <w:rFonts w:hint="eastAsia" w:ascii="宋体" w:hAnsi="宋体" w:eastAsia="宋体" w:cs="宋体"/>
          <w:b/>
          <w:bCs/>
          <w:color w:val="auto"/>
          <w:kern w:val="2"/>
          <w:sz w:val="44"/>
          <w:szCs w:val="44"/>
          <w:highlight w:val="none"/>
          <w:u w:val="none"/>
          <w:lang w:val="en-US" w:eastAsia="zh-CN" w:bidi="ar-SA"/>
        </w:rPr>
        <w:t>声环境影响专项评价</w:t>
      </w:r>
    </w:p>
    <w:p w14:paraId="6F8EAB3F">
      <w:pPr>
        <w:ind w:firstLine="880"/>
        <w:jc w:val="center"/>
        <w:rPr>
          <w:rFonts w:hint="eastAsia" w:ascii="宋体" w:hAnsi="宋体" w:eastAsia="宋体" w:cs="宋体"/>
          <w:b/>
          <w:bCs/>
          <w:color w:val="auto"/>
          <w:sz w:val="44"/>
          <w:szCs w:val="44"/>
          <w:highlight w:val="none"/>
          <w:u w:val="none"/>
        </w:rPr>
      </w:pPr>
    </w:p>
    <w:p w14:paraId="7B3854A4">
      <w:pPr>
        <w:ind w:firstLine="880"/>
        <w:jc w:val="center"/>
        <w:rPr>
          <w:rFonts w:hint="eastAsia" w:ascii="宋体" w:hAnsi="宋体" w:eastAsia="宋体" w:cs="宋体"/>
          <w:b/>
          <w:bCs/>
          <w:color w:val="auto"/>
          <w:sz w:val="44"/>
          <w:szCs w:val="44"/>
          <w:highlight w:val="none"/>
          <w:u w:val="none"/>
        </w:rPr>
      </w:pPr>
    </w:p>
    <w:p w14:paraId="0E0D15AF">
      <w:pPr>
        <w:ind w:firstLine="880"/>
        <w:jc w:val="center"/>
        <w:rPr>
          <w:rFonts w:hint="eastAsia" w:ascii="宋体" w:hAnsi="宋体" w:eastAsia="宋体" w:cs="宋体"/>
          <w:b/>
          <w:bCs/>
          <w:color w:val="auto"/>
          <w:sz w:val="44"/>
          <w:szCs w:val="44"/>
          <w:highlight w:val="none"/>
          <w:u w:val="none"/>
        </w:rPr>
      </w:pPr>
    </w:p>
    <w:p w14:paraId="514554FC">
      <w:pPr>
        <w:ind w:firstLine="0" w:firstLineChars="0"/>
        <w:rPr>
          <w:rFonts w:hint="eastAsia" w:ascii="宋体" w:hAnsi="宋体" w:eastAsia="宋体" w:cs="宋体"/>
          <w:b/>
          <w:bCs/>
          <w:color w:val="auto"/>
          <w:sz w:val="44"/>
          <w:szCs w:val="44"/>
          <w:highlight w:val="none"/>
          <w:u w:val="none"/>
        </w:rPr>
      </w:pPr>
    </w:p>
    <w:p w14:paraId="3E6F87C4">
      <w:pPr>
        <w:ind w:firstLine="880"/>
        <w:jc w:val="center"/>
        <w:rPr>
          <w:rFonts w:hint="eastAsia" w:ascii="宋体" w:hAnsi="宋体" w:eastAsia="宋体" w:cs="宋体"/>
          <w:b/>
          <w:bCs/>
          <w:color w:val="auto"/>
          <w:sz w:val="44"/>
          <w:szCs w:val="44"/>
          <w:highlight w:val="none"/>
          <w:u w:val="none"/>
        </w:rPr>
      </w:pPr>
    </w:p>
    <w:p w14:paraId="31CE3D53">
      <w:pPr>
        <w:ind w:firstLine="880"/>
        <w:jc w:val="center"/>
        <w:rPr>
          <w:rFonts w:hint="eastAsia" w:ascii="宋体" w:hAnsi="宋体" w:eastAsia="宋体" w:cs="宋体"/>
          <w:b/>
          <w:bCs/>
          <w:color w:val="auto"/>
          <w:sz w:val="44"/>
          <w:szCs w:val="44"/>
          <w:highlight w:val="none"/>
          <w:u w:val="none"/>
        </w:rPr>
      </w:pPr>
    </w:p>
    <w:p w14:paraId="715C1AC3">
      <w:pPr>
        <w:pStyle w:val="2"/>
        <w:rPr>
          <w:rFonts w:hint="eastAsia" w:ascii="宋体" w:hAnsi="宋体" w:eastAsia="宋体" w:cs="宋体"/>
          <w:b/>
          <w:bCs/>
          <w:color w:val="auto"/>
          <w:sz w:val="44"/>
          <w:szCs w:val="44"/>
          <w:highlight w:val="none"/>
          <w:u w:val="none"/>
        </w:rPr>
      </w:pPr>
    </w:p>
    <w:p w14:paraId="46F25120">
      <w:pPr>
        <w:rPr>
          <w:rFonts w:hint="eastAsia" w:ascii="宋体" w:hAnsi="宋体" w:eastAsia="宋体" w:cs="宋体"/>
          <w:b/>
          <w:bCs/>
          <w:color w:val="auto"/>
          <w:sz w:val="44"/>
          <w:szCs w:val="44"/>
          <w:highlight w:val="none"/>
          <w:u w:val="none"/>
        </w:rPr>
      </w:pPr>
    </w:p>
    <w:p w14:paraId="382FFD19">
      <w:pPr>
        <w:pStyle w:val="2"/>
        <w:rPr>
          <w:rFonts w:hint="eastAsia" w:ascii="宋体" w:hAnsi="宋体" w:eastAsia="宋体" w:cs="宋体"/>
          <w:b/>
          <w:bCs/>
          <w:color w:val="auto"/>
          <w:sz w:val="44"/>
          <w:szCs w:val="44"/>
          <w:highlight w:val="none"/>
          <w:u w:val="none"/>
        </w:rPr>
      </w:pPr>
    </w:p>
    <w:p w14:paraId="473793EF">
      <w:pPr>
        <w:rPr>
          <w:rFonts w:hint="eastAsia" w:ascii="宋体" w:hAnsi="宋体" w:eastAsia="宋体" w:cs="宋体"/>
          <w:b/>
          <w:bCs/>
          <w:color w:val="auto"/>
          <w:sz w:val="44"/>
          <w:szCs w:val="44"/>
          <w:highlight w:val="none"/>
          <w:u w:val="none"/>
        </w:rPr>
      </w:pPr>
    </w:p>
    <w:p w14:paraId="153EE9DA">
      <w:pPr>
        <w:pStyle w:val="2"/>
        <w:rPr>
          <w:rFonts w:hint="eastAsia" w:ascii="宋体" w:hAnsi="宋体" w:eastAsia="宋体" w:cs="宋体"/>
          <w:b/>
          <w:bCs/>
          <w:color w:val="auto"/>
          <w:sz w:val="44"/>
          <w:szCs w:val="44"/>
          <w:highlight w:val="none"/>
          <w:u w:val="none"/>
        </w:rPr>
      </w:pPr>
    </w:p>
    <w:p w14:paraId="29E78EF9">
      <w:pPr>
        <w:rPr>
          <w:rFonts w:hint="eastAsia" w:ascii="宋体" w:hAnsi="宋体" w:eastAsia="宋体" w:cs="宋体"/>
          <w:b/>
          <w:bCs/>
          <w:color w:val="auto"/>
          <w:sz w:val="44"/>
          <w:szCs w:val="44"/>
          <w:highlight w:val="none"/>
          <w:u w:val="none"/>
        </w:rPr>
      </w:pPr>
    </w:p>
    <w:p w14:paraId="5E6DE709">
      <w:pPr>
        <w:pStyle w:val="2"/>
        <w:rPr>
          <w:rFonts w:hint="eastAsia" w:ascii="宋体" w:hAnsi="宋体" w:eastAsia="宋体" w:cs="宋体"/>
          <w:b/>
          <w:bCs/>
          <w:color w:val="auto"/>
          <w:sz w:val="44"/>
          <w:szCs w:val="44"/>
          <w:highlight w:val="none"/>
          <w:u w:val="none"/>
        </w:rPr>
      </w:pPr>
    </w:p>
    <w:p w14:paraId="3F9D8610">
      <w:pPr>
        <w:rPr>
          <w:rFonts w:hint="eastAsia" w:ascii="宋体" w:hAnsi="宋体" w:eastAsia="宋体" w:cs="宋体"/>
          <w:b/>
          <w:bCs/>
          <w:color w:val="auto"/>
          <w:sz w:val="44"/>
          <w:szCs w:val="44"/>
          <w:highlight w:val="none"/>
          <w:u w:val="none"/>
        </w:rPr>
      </w:pPr>
    </w:p>
    <w:p w14:paraId="56D4D58D">
      <w:pPr>
        <w:pStyle w:val="2"/>
        <w:rPr>
          <w:rFonts w:hint="eastAsia" w:ascii="宋体" w:hAnsi="宋体" w:eastAsia="宋体" w:cs="宋体"/>
          <w:highlight w:val="none"/>
        </w:rPr>
      </w:pPr>
    </w:p>
    <w:p w14:paraId="0D7934C9">
      <w:pPr>
        <w:pStyle w:val="25"/>
        <w:rPr>
          <w:rFonts w:hint="eastAsia" w:ascii="宋体" w:hAnsi="宋体" w:eastAsia="宋体" w:cs="宋体"/>
          <w:b/>
          <w:bCs/>
          <w:color w:val="auto"/>
          <w:sz w:val="44"/>
          <w:szCs w:val="44"/>
          <w:highlight w:val="none"/>
        </w:rPr>
      </w:pPr>
    </w:p>
    <w:p w14:paraId="36AB07F0">
      <w:pPr>
        <w:ind w:left="0" w:leftChars="0" w:firstLine="0" w:firstLineChars="0"/>
        <w:jc w:val="center"/>
        <w:rPr>
          <w:rFonts w:hint="eastAsia" w:ascii="宋体" w:hAnsi="宋体" w:eastAsia="宋体" w:cs="宋体"/>
          <w:b/>
          <w:bCs/>
          <w:color w:val="auto"/>
          <w:sz w:val="44"/>
          <w:szCs w:val="44"/>
          <w:highlight w:val="none"/>
          <w:u w:val="none"/>
        </w:rPr>
      </w:pPr>
      <w:r>
        <w:rPr>
          <w:rFonts w:hint="eastAsia" w:ascii="宋体" w:hAnsi="宋体" w:eastAsia="宋体" w:cs="宋体"/>
          <w:b/>
          <w:bCs/>
          <w:color w:val="auto"/>
          <w:sz w:val="44"/>
          <w:szCs w:val="44"/>
          <w:highlight w:val="none"/>
          <w:u w:val="none"/>
        </w:rPr>
        <w:t>202</w:t>
      </w:r>
      <w:r>
        <w:rPr>
          <w:rFonts w:hint="eastAsia" w:ascii="宋体" w:hAnsi="宋体" w:eastAsia="宋体" w:cs="宋体"/>
          <w:b/>
          <w:bCs/>
          <w:color w:val="auto"/>
          <w:sz w:val="44"/>
          <w:szCs w:val="44"/>
          <w:highlight w:val="none"/>
          <w:u w:val="none"/>
          <w:lang w:val="en-US" w:eastAsia="zh-CN"/>
        </w:rPr>
        <w:t>5</w:t>
      </w:r>
      <w:r>
        <w:rPr>
          <w:rFonts w:hint="eastAsia" w:ascii="宋体" w:hAnsi="宋体" w:eastAsia="宋体" w:cs="宋体"/>
          <w:b/>
          <w:bCs/>
          <w:color w:val="auto"/>
          <w:sz w:val="44"/>
          <w:szCs w:val="44"/>
          <w:highlight w:val="none"/>
          <w:u w:val="none"/>
        </w:rPr>
        <w:t>年</w:t>
      </w:r>
      <w:r>
        <w:rPr>
          <w:rFonts w:hint="eastAsia" w:ascii="宋体" w:hAnsi="宋体" w:eastAsia="宋体" w:cs="宋体"/>
          <w:b/>
          <w:bCs/>
          <w:color w:val="auto"/>
          <w:sz w:val="44"/>
          <w:szCs w:val="44"/>
          <w:highlight w:val="none"/>
          <w:u w:val="none"/>
          <w:lang w:val="en-US" w:eastAsia="zh-CN"/>
        </w:rPr>
        <w:t>2</w:t>
      </w:r>
      <w:r>
        <w:rPr>
          <w:rFonts w:hint="eastAsia" w:ascii="宋体" w:hAnsi="宋体" w:eastAsia="宋体" w:cs="宋体"/>
          <w:b/>
          <w:bCs/>
          <w:color w:val="auto"/>
          <w:sz w:val="44"/>
          <w:szCs w:val="44"/>
          <w:highlight w:val="none"/>
          <w:u w:val="none"/>
        </w:rPr>
        <w:t>月</w:t>
      </w:r>
    </w:p>
    <w:p w14:paraId="36F4E469">
      <w:pPr>
        <w:ind w:firstLine="560"/>
        <w:jc w:val="center"/>
        <w:rPr>
          <w:rFonts w:hint="eastAsia" w:ascii="宋体" w:hAnsi="宋体" w:eastAsia="宋体" w:cs="宋体"/>
          <w:b/>
          <w:bCs/>
          <w:color w:val="auto"/>
          <w:sz w:val="44"/>
          <w:szCs w:val="44"/>
          <w:highlight w:val="none"/>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26" w:charSpace="0"/>
        </w:sectPr>
      </w:pPr>
    </w:p>
    <w:p w14:paraId="3D7369D9">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1、建设项目概况</w:t>
      </w:r>
    </w:p>
    <w:p w14:paraId="4380B988">
      <w:pPr>
        <w:keepNext/>
        <w:keepLines/>
        <w:spacing w:line="360" w:lineRule="auto"/>
        <w:ind w:left="0" w:leftChars="0" w:firstLine="0" w:firstLineChars="0"/>
        <w:outlineLvl w:val="9"/>
        <w:rPr>
          <w:rFonts w:hint="eastAsia" w:ascii="宋体" w:hAnsi="宋体" w:eastAsia="宋体" w:cs="宋体"/>
          <w:b/>
          <w:bCs/>
          <w:color w:val="auto"/>
          <w:sz w:val="24"/>
          <w:szCs w:val="24"/>
          <w:highlight w:val="none"/>
        </w:rPr>
      </w:pPr>
      <w:bookmarkStart w:id="14" w:name="_Toc98751635"/>
      <w:bookmarkStart w:id="15" w:name="_Toc22092"/>
      <w:bookmarkStart w:id="16" w:name="_Toc99349897"/>
      <w:bookmarkStart w:id="17" w:name="_Toc258572790"/>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.1建设项目名称、性质、建设地点</w:t>
      </w:r>
      <w:bookmarkEnd w:id="14"/>
      <w:bookmarkEnd w:id="15"/>
      <w:bookmarkEnd w:id="16"/>
      <w:bookmarkEnd w:id="17"/>
    </w:p>
    <w:p w14:paraId="6A4C53B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r>
        <w:rPr>
          <w:rFonts w:hint="eastAsia" w:ascii="宋体" w:hAnsi="宋体" w:eastAsia="宋体" w:cs="宋体"/>
          <w:color w:val="auto"/>
          <w:sz w:val="24"/>
          <w:szCs w:val="24"/>
          <w:highlight w:val="none"/>
          <w:lang w:eastAsia="zh-CN"/>
        </w:rPr>
        <w:t>双鸭山至时代公路提质改造工程</w:t>
      </w:r>
    </w:p>
    <w:p w14:paraId="62FA076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建设性质：</w:t>
      </w:r>
      <w:bookmarkStart w:id="18" w:name="_Hlk118808558"/>
      <w:r>
        <w:rPr>
          <w:rFonts w:hint="eastAsia" w:ascii="宋体" w:hAnsi="宋体" w:eastAsia="宋体" w:cs="宋体"/>
          <w:color w:val="auto"/>
          <w:sz w:val="24"/>
          <w:szCs w:val="24"/>
          <w:highlight w:val="none"/>
        </w:rPr>
        <w:t>改建</w:t>
      </w:r>
      <w:bookmarkEnd w:id="18"/>
    </w:p>
    <w:p w14:paraId="4A906140">
      <w:pPr>
        <w:spacing w:line="360" w:lineRule="auto"/>
        <w:ind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建设单位：</w:t>
      </w:r>
      <w:r>
        <w:rPr>
          <w:rFonts w:hint="eastAsia" w:ascii="宋体" w:hAnsi="宋体" w:eastAsia="宋体" w:cs="宋体"/>
          <w:color w:val="auto"/>
          <w:sz w:val="24"/>
          <w:szCs w:val="24"/>
          <w:highlight w:val="none"/>
          <w:lang w:eastAsia="zh-CN"/>
        </w:rPr>
        <w:t>双鸭山市岭东区住房和城乡建设局</w:t>
      </w:r>
    </w:p>
    <w:p w14:paraId="1CB54C9B">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建设地点：本项目位于</w:t>
      </w:r>
      <w:r>
        <w:rPr>
          <w:rFonts w:hint="eastAsia" w:ascii="宋体" w:hAnsi="宋体" w:eastAsia="宋体" w:cs="宋体"/>
          <w:color w:val="auto"/>
          <w:sz w:val="24"/>
          <w:szCs w:val="24"/>
          <w:highlight w:val="none"/>
          <w:lang w:val="en-US" w:eastAsia="zh-CN"/>
        </w:rPr>
        <w:t>双鸭山市岭东区</w:t>
      </w:r>
      <w:r>
        <w:rPr>
          <w:rFonts w:hint="eastAsia" w:ascii="宋体" w:hAnsi="宋体" w:eastAsia="宋体" w:cs="宋体"/>
          <w:color w:val="auto"/>
          <w:sz w:val="24"/>
          <w:szCs w:val="24"/>
          <w:highlight w:val="none"/>
        </w:rPr>
        <w:t>。</w:t>
      </w:r>
      <w:r>
        <w:rPr>
          <w:rFonts w:hint="eastAsia" w:ascii="宋体" w:hAnsi="宋体" w:eastAsia="宋体" w:cs="宋体"/>
          <w:smallCaps w:val="0"/>
          <w:color w:val="auto"/>
          <w:sz w:val="24"/>
          <w:szCs w:val="24"/>
          <w:highlight w:val="none"/>
          <w:lang w:val="en-US" w:eastAsia="zh-CN"/>
        </w:rPr>
        <w:t>起点为双鸭山至时代公路钢铁桥桥尾，终点与水泥厂水泥混凝土硬化路相接</w:t>
      </w:r>
      <w:r>
        <w:rPr>
          <w:rFonts w:hint="eastAsia" w:ascii="宋体" w:hAnsi="宋体" w:eastAsia="宋体" w:cs="宋体"/>
          <w:color w:val="auto"/>
          <w:sz w:val="24"/>
          <w:szCs w:val="24"/>
          <w:highlight w:val="none"/>
        </w:rPr>
        <w:t>。</w:t>
      </w:r>
    </w:p>
    <w:p w14:paraId="3E7C912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主要控制点：</w:t>
      </w:r>
      <w:r>
        <w:rPr>
          <w:rFonts w:hint="eastAsia" w:ascii="宋体" w:hAnsi="宋体" w:eastAsia="宋体" w:cs="宋体"/>
          <w:color w:val="auto"/>
          <w:sz w:val="24"/>
          <w:szCs w:val="24"/>
          <w:highlight w:val="none"/>
          <w:lang w:val="en-US" w:eastAsia="zh-CN"/>
        </w:rPr>
        <w:t>南侧平房居民</w:t>
      </w:r>
      <w:r>
        <w:rPr>
          <w:rFonts w:hint="eastAsia" w:ascii="宋体" w:hAnsi="宋体" w:eastAsia="宋体" w:cs="宋体"/>
          <w:color w:val="auto"/>
          <w:sz w:val="24"/>
          <w:szCs w:val="24"/>
          <w:highlight w:val="none"/>
        </w:rPr>
        <w:t>。</w:t>
      </w:r>
    </w:p>
    <w:p w14:paraId="199677EA">
      <w:pPr>
        <w:keepNext/>
        <w:keepLines/>
        <w:spacing w:line="360" w:lineRule="auto"/>
        <w:ind w:left="0" w:leftChars="0" w:firstLine="0" w:firstLineChars="0"/>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1.2项目建设内容及规模</w:t>
      </w:r>
    </w:p>
    <w:p w14:paraId="0E729C69">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本项目道路长度2125m</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工程组成详见下表。</w:t>
      </w:r>
    </w:p>
    <w:p w14:paraId="4C540E4C">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1</w:t>
      </w:r>
      <w:r>
        <w:rPr>
          <w:rFonts w:hint="eastAsia" w:ascii="宋体" w:hAnsi="宋体" w:eastAsia="宋体" w:cs="宋体"/>
          <w:b/>
          <w:color w:val="auto"/>
          <w:sz w:val="21"/>
          <w:szCs w:val="21"/>
          <w:highlight w:val="none"/>
        </w:rPr>
        <w:t xml:space="preserve">  本项目工程组成一览表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4"/>
        <w:gridCol w:w="439"/>
        <w:gridCol w:w="704"/>
        <w:gridCol w:w="542"/>
        <w:gridCol w:w="711"/>
        <w:gridCol w:w="853"/>
        <w:gridCol w:w="707"/>
        <w:gridCol w:w="646"/>
        <w:gridCol w:w="561"/>
        <w:gridCol w:w="879"/>
        <w:gridCol w:w="870"/>
        <w:gridCol w:w="826"/>
      </w:tblGrid>
      <w:tr w14:paraId="45100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noWrap w:val="0"/>
            <w:vAlign w:val="center"/>
          </w:tcPr>
          <w:p w14:paraId="00817BE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项目</w:t>
            </w:r>
          </w:p>
        </w:tc>
        <w:tc>
          <w:tcPr>
            <w:tcW w:w="1060" w:type="dxa"/>
            <w:gridSpan w:val="2"/>
            <w:noWrap w:val="0"/>
            <w:vAlign w:val="center"/>
          </w:tcPr>
          <w:p w14:paraId="79BB0D2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工程内容</w:t>
            </w:r>
          </w:p>
        </w:tc>
        <w:tc>
          <w:tcPr>
            <w:tcW w:w="6115" w:type="dxa"/>
            <w:gridSpan w:val="9"/>
            <w:noWrap w:val="0"/>
            <w:vAlign w:val="center"/>
          </w:tcPr>
          <w:p w14:paraId="23B79CC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b/>
                <w:bCs/>
                <w:smallCaps w:val="0"/>
                <w:snapToGrid w:val="0"/>
                <w:color w:val="auto"/>
                <w:kern w:val="0"/>
                <w:sz w:val="21"/>
                <w:szCs w:val="21"/>
                <w:highlight w:val="none"/>
              </w:rPr>
            </w:pPr>
            <w:r>
              <w:rPr>
                <w:rFonts w:hint="eastAsia" w:ascii="宋体" w:hAnsi="宋体" w:eastAsia="宋体" w:cs="宋体"/>
                <w:b/>
                <w:bCs/>
                <w:smallCaps w:val="0"/>
                <w:snapToGrid w:val="0"/>
                <w:color w:val="auto"/>
                <w:kern w:val="0"/>
                <w:sz w:val="21"/>
                <w:szCs w:val="21"/>
                <w:highlight w:val="none"/>
              </w:rPr>
              <w:t>主要建设内容</w:t>
            </w:r>
          </w:p>
        </w:tc>
      </w:tr>
      <w:tr w14:paraId="2D658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176D48C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r>
              <w:rPr>
                <w:rFonts w:hint="eastAsia" w:ascii="宋体" w:hAnsi="宋体" w:eastAsia="宋体" w:cs="宋体"/>
                <w:smallCaps w:val="0"/>
                <w:snapToGrid w:val="0"/>
                <w:color w:val="auto"/>
                <w:kern w:val="0"/>
                <w:sz w:val="21"/>
                <w:szCs w:val="21"/>
                <w:highlight w:val="none"/>
                <w:lang w:val="en-US"/>
              </w:rPr>
              <w:t>主体工程</w:t>
            </w:r>
          </w:p>
        </w:tc>
        <w:tc>
          <w:tcPr>
            <w:tcW w:w="1060" w:type="dxa"/>
            <w:gridSpan w:val="2"/>
            <w:vMerge w:val="restart"/>
            <w:noWrap w:val="0"/>
            <w:vAlign w:val="center"/>
          </w:tcPr>
          <w:p w14:paraId="21263BC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道路工程</w:t>
            </w:r>
          </w:p>
        </w:tc>
        <w:tc>
          <w:tcPr>
            <w:tcW w:w="503" w:type="dxa"/>
            <w:vMerge w:val="restart"/>
            <w:noWrap w:val="0"/>
            <w:vAlign w:val="center"/>
          </w:tcPr>
          <w:p w14:paraId="172CB9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路面工程</w:t>
            </w:r>
          </w:p>
        </w:tc>
        <w:tc>
          <w:tcPr>
            <w:tcW w:w="659" w:type="dxa"/>
            <w:noWrap w:val="0"/>
            <w:vAlign w:val="center"/>
          </w:tcPr>
          <w:p w14:paraId="6D870B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长度</w:t>
            </w:r>
          </w:p>
        </w:tc>
        <w:tc>
          <w:tcPr>
            <w:tcW w:w="791" w:type="dxa"/>
            <w:noWrap w:val="0"/>
            <w:vAlign w:val="center"/>
          </w:tcPr>
          <w:p w14:paraId="2F0000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宽度</w:t>
            </w:r>
          </w:p>
        </w:tc>
        <w:tc>
          <w:tcPr>
            <w:tcW w:w="656" w:type="dxa"/>
            <w:noWrap w:val="0"/>
            <w:vAlign w:val="center"/>
          </w:tcPr>
          <w:p w14:paraId="6B649A5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设计车速</w:t>
            </w:r>
          </w:p>
        </w:tc>
        <w:tc>
          <w:tcPr>
            <w:tcW w:w="599" w:type="dxa"/>
            <w:noWrap w:val="0"/>
            <w:vAlign w:val="center"/>
          </w:tcPr>
          <w:p w14:paraId="31F9D63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等级</w:t>
            </w:r>
          </w:p>
        </w:tc>
        <w:tc>
          <w:tcPr>
            <w:tcW w:w="520" w:type="dxa"/>
            <w:noWrap w:val="0"/>
            <w:vAlign w:val="center"/>
          </w:tcPr>
          <w:p w14:paraId="2D08586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车道</w:t>
            </w:r>
          </w:p>
        </w:tc>
        <w:tc>
          <w:tcPr>
            <w:tcW w:w="815" w:type="dxa"/>
            <w:noWrap w:val="0"/>
            <w:vAlign w:val="center"/>
          </w:tcPr>
          <w:p w14:paraId="6D6432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车流量比%</w:t>
            </w:r>
          </w:p>
        </w:tc>
        <w:tc>
          <w:tcPr>
            <w:tcW w:w="807" w:type="dxa"/>
            <w:noWrap w:val="0"/>
            <w:vAlign w:val="center"/>
          </w:tcPr>
          <w:p w14:paraId="5D3D6E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昼夜比</w:t>
            </w:r>
          </w:p>
        </w:tc>
        <w:tc>
          <w:tcPr>
            <w:tcW w:w="765" w:type="dxa"/>
            <w:noWrap w:val="0"/>
            <w:vAlign w:val="center"/>
          </w:tcPr>
          <w:p w14:paraId="750EC5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lang w:val="en-US" w:eastAsia="zh-CN"/>
              </w:rPr>
              <w:t>备注</w:t>
            </w:r>
          </w:p>
        </w:tc>
      </w:tr>
      <w:tr w14:paraId="3DA7D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1DC9E7A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val="en-US"/>
              </w:rPr>
            </w:pPr>
          </w:p>
        </w:tc>
        <w:tc>
          <w:tcPr>
            <w:tcW w:w="1060" w:type="dxa"/>
            <w:gridSpan w:val="2"/>
            <w:vMerge w:val="continue"/>
            <w:noWrap w:val="0"/>
            <w:vAlign w:val="center"/>
          </w:tcPr>
          <w:p w14:paraId="142B21E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2F62E65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restart"/>
            <w:noWrap w:val="0"/>
            <w:vAlign w:val="center"/>
          </w:tcPr>
          <w:p w14:paraId="10BDC1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2125m</w:t>
            </w:r>
          </w:p>
        </w:tc>
        <w:tc>
          <w:tcPr>
            <w:tcW w:w="791" w:type="dxa"/>
            <w:vMerge w:val="restart"/>
            <w:noWrap w:val="0"/>
            <w:vAlign w:val="center"/>
          </w:tcPr>
          <w:p w14:paraId="2E3C9E9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路面宽度9m，两侧路肩宽度1m</w:t>
            </w:r>
          </w:p>
        </w:tc>
        <w:tc>
          <w:tcPr>
            <w:tcW w:w="656" w:type="dxa"/>
            <w:vMerge w:val="restart"/>
            <w:noWrap w:val="0"/>
            <w:vAlign w:val="center"/>
          </w:tcPr>
          <w:p w14:paraId="52A323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40km/h</w:t>
            </w:r>
          </w:p>
        </w:tc>
        <w:tc>
          <w:tcPr>
            <w:tcW w:w="599" w:type="dxa"/>
            <w:vMerge w:val="restart"/>
            <w:noWrap w:val="0"/>
            <w:vAlign w:val="center"/>
          </w:tcPr>
          <w:p w14:paraId="2816AA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二级公路</w:t>
            </w:r>
          </w:p>
        </w:tc>
        <w:tc>
          <w:tcPr>
            <w:tcW w:w="520" w:type="dxa"/>
            <w:vMerge w:val="restart"/>
            <w:noWrap w:val="0"/>
            <w:vAlign w:val="center"/>
          </w:tcPr>
          <w:p w14:paraId="3F8B885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对向双车道</w:t>
            </w:r>
          </w:p>
        </w:tc>
        <w:tc>
          <w:tcPr>
            <w:tcW w:w="815" w:type="dxa"/>
            <w:noWrap w:val="0"/>
            <w:vAlign w:val="center"/>
          </w:tcPr>
          <w:p w14:paraId="499105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小型车55</w:t>
            </w:r>
          </w:p>
        </w:tc>
        <w:tc>
          <w:tcPr>
            <w:tcW w:w="807" w:type="dxa"/>
            <w:vMerge w:val="restart"/>
            <w:noWrap w:val="0"/>
            <w:vAlign w:val="center"/>
          </w:tcPr>
          <w:p w14:paraId="1D546DF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昼夜比为8</w:t>
            </w:r>
            <w:r>
              <w:rPr>
                <w:rFonts w:hint="eastAsia" w:ascii="宋体" w:hAnsi="宋体" w:eastAsia="宋体" w:cs="宋体"/>
                <w:b/>
                <w:bCs/>
                <w:smallCaps w:val="0"/>
                <w:color w:val="auto"/>
                <w:sz w:val="21"/>
                <w:szCs w:val="21"/>
                <w:highlight w:val="none"/>
                <w:lang w:val="en-US" w:eastAsia="zh-CN"/>
              </w:rPr>
              <w:t>:</w:t>
            </w:r>
            <w:r>
              <w:rPr>
                <w:rFonts w:hint="eastAsia" w:ascii="宋体" w:hAnsi="宋体" w:eastAsia="宋体" w:cs="宋体"/>
                <w:smallCaps w:val="0"/>
                <w:color w:val="auto"/>
                <w:sz w:val="21"/>
                <w:szCs w:val="21"/>
                <w:highlight w:val="none"/>
                <w:lang w:val="en-US" w:eastAsia="zh-CN"/>
              </w:rPr>
              <w:t>2</w:t>
            </w:r>
          </w:p>
        </w:tc>
        <w:tc>
          <w:tcPr>
            <w:tcW w:w="765" w:type="dxa"/>
            <w:vMerge w:val="restart"/>
            <w:noWrap w:val="0"/>
            <w:vAlign w:val="center"/>
          </w:tcPr>
          <w:p w14:paraId="76E802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道路改造路面面积21250m</w:t>
            </w:r>
            <w:r>
              <w:rPr>
                <w:rFonts w:hint="eastAsia" w:ascii="宋体" w:hAnsi="宋体" w:eastAsia="宋体" w:cs="宋体"/>
                <w:smallCaps w:val="0"/>
                <w:color w:val="auto"/>
                <w:sz w:val="21"/>
                <w:szCs w:val="21"/>
                <w:highlight w:val="none"/>
                <w:vertAlign w:val="superscript"/>
                <w:lang w:val="en-US" w:eastAsia="zh-CN"/>
              </w:rPr>
              <w:t>2</w:t>
            </w:r>
          </w:p>
        </w:tc>
      </w:tr>
      <w:tr w14:paraId="710E8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73A7A5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1060" w:type="dxa"/>
            <w:gridSpan w:val="2"/>
            <w:vMerge w:val="continue"/>
            <w:noWrap w:val="0"/>
            <w:vAlign w:val="center"/>
          </w:tcPr>
          <w:p w14:paraId="68CFA8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03" w:type="dxa"/>
            <w:vMerge w:val="continue"/>
            <w:noWrap w:val="0"/>
            <w:vAlign w:val="center"/>
          </w:tcPr>
          <w:p w14:paraId="2B1C37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659" w:type="dxa"/>
            <w:vMerge w:val="continue"/>
            <w:noWrap w:val="0"/>
            <w:vAlign w:val="center"/>
          </w:tcPr>
          <w:p w14:paraId="2BAFBE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791" w:type="dxa"/>
            <w:vMerge w:val="continue"/>
            <w:noWrap w:val="0"/>
            <w:vAlign w:val="center"/>
          </w:tcPr>
          <w:p w14:paraId="0C97B9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656" w:type="dxa"/>
            <w:vMerge w:val="continue"/>
            <w:noWrap w:val="0"/>
            <w:vAlign w:val="center"/>
          </w:tcPr>
          <w:p w14:paraId="0201F0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99" w:type="dxa"/>
            <w:vMerge w:val="continue"/>
            <w:noWrap w:val="0"/>
            <w:vAlign w:val="center"/>
          </w:tcPr>
          <w:p w14:paraId="58BD44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520" w:type="dxa"/>
            <w:vMerge w:val="continue"/>
            <w:noWrap w:val="0"/>
            <w:vAlign w:val="center"/>
          </w:tcPr>
          <w:p w14:paraId="3C72306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z w:val="21"/>
                <w:szCs w:val="21"/>
                <w:highlight w:val="none"/>
              </w:rPr>
            </w:pPr>
          </w:p>
        </w:tc>
        <w:tc>
          <w:tcPr>
            <w:tcW w:w="815" w:type="dxa"/>
            <w:noWrap w:val="0"/>
            <w:vAlign w:val="center"/>
          </w:tcPr>
          <w:p w14:paraId="7F436E2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中型车15</w:t>
            </w:r>
          </w:p>
        </w:tc>
        <w:tc>
          <w:tcPr>
            <w:tcW w:w="807" w:type="dxa"/>
            <w:vMerge w:val="continue"/>
            <w:noWrap w:val="0"/>
            <w:vAlign w:val="center"/>
          </w:tcPr>
          <w:p w14:paraId="787097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65" w:type="dxa"/>
            <w:vMerge w:val="continue"/>
            <w:noWrap w:val="0"/>
            <w:vAlign w:val="center"/>
          </w:tcPr>
          <w:p w14:paraId="0841C6D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6E516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5EE03F0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1060" w:type="dxa"/>
            <w:gridSpan w:val="2"/>
            <w:vMerge w:val="continue"/>
            <w:noWrap w:val="0"/>
            <w:vAlign w:val="center"/>
          </w:tcPr>
          <w:p w14:paraId="1AEF87B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vMerge w:val="continue"/>
            <w:noWrap w:val="0"/>
            <w:vAlign w:val="center"/>
          </w:tcPr>
          <w:p w14:paraId="5CDEC6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9" w:type="dxa"/>
            <w:vMerge w:val="continue"/>
            <w:noWrap w:val="0"/>
            <w:vAlign w:val="center"/>
          </w:tcPr>
          <w:p w14:paraId="7FCFB32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91" w:type="dxa"/>
            <w:vMerge w:val="continue"/>
            <w:noWrap w:val="0"/>
            <w:vAlign w:val="center"/>
          </w:tcPr>
          <w:p w14:paraId="5B19DB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656" w:type="dxa"/>
            <w:vMerge w:val="continue"/>
            <w:noWrap w:val="0"/>
            <w:vAlign w:val="center"/>
          </w:tcPr>
          <w:p w14:paraId="70AE8C0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99" w:type="dxa"/>
            <w:vMerge w:val="continue"/>
            <w:noWrap w:val="0"/>
            <w:vAlign w:val="center"/>
          </w:tcPr>
          <w:p w14:paraId="6CF296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20" w:type="dxa"/>
            <w:vMerge w:val="continue"/>
            <w:noWrap w:val="0"/>
            <w:vAlign w:val="center"/>
          </w:tcPr>
          <w:p w14:paraId="0CAB9F4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815" w:type="dxa"/>
            <w:noWrap w:val="0"/>
            <w:vAlign w:val="center"/>
          </w:tcPr>
          <w:p w14:paraId="7E7AD9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大型车30</w:t>
            </w:r>
          </w:p>
        </w:tc>
        <w:tc>
          <w:tcPr>
            <w:tcW w:w="807" w:type="dxa"/>
            <w:vMerge w:val="continue"/>
            <w:noWrap w:val="0"/>
            <w:vAlign w:val="center"/>
          </w:tcPr>
          <w:p w14:paraId="59F256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765" w:type="dxa"/>
            <w:vMerge w:val="continue"/>
            <w:noWrap w:val="0"/>
            <w:vAlign w:val="center"/>
          </w:tcPr>
          <w:p w14:paraId="3F23A33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r>
      <w:tr w14:paraId="4874C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0" w:hRule="atLeast"/>
          <w:jc w:val="center"/>
        </w:trPr>
        <w:tc>
          <w:tcPr>
            <w:tcW w:w="727" w:type="dxa"/>
            <w:vMerge w:val="continue"/>
            <w:noWrap w:val="0"/>
            <w:vAlign w:val="center"/>
          </w:tcPr>
          <w:p w14:paraId="22107B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vMerge w:val="continue"/>
            <w:noWrap w:val="0"/>
            <w:vAlign w:val="center"/>
          </w:tcPr>
          <w:p w14:paraId="303F222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p>
        </w:tc>
        <w:tc>
          <w:tcPr>
            <w:tcW w:w="503" w:type="dxa"/>
            <w:noWrap w:val="0"/>
            <w:vAlign w:val="center"/>
          </w:tcPr>
          <w:p w14:paraId="22CC46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路基工程</w:t>
            </w:r>
          </w:p>
        </w:tc>
        <w:tc>
          <w:tcPr>
            <w:tcW w:w="5612" w:type="dxa"/>
            <w:gridSpan w:val="8"/>
            <w:noWrap w:val="0"/>
            <w:vAlign w:val="center"/>
          </w:tcPr>
          <w:p w14:paraId="4D3799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本项目主体道路路基利用现有道路路基，现有旧路基可满足《公路技术状况评定标准》及《公路养护技术规范》要求，可以利用。对现有旧路基进行找平碾压，路基宽度10m，路基填筑采用级配较好的砂性土、砂类土等粗粒土作为填料，最大粒径应小于100mm。</w:t>
            </w:r>
          </w:p>
          <w:p w14:paraId="6C9ABE80">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弯道处为特殊路段，需对内侧弯道进行路基加宽处理，防止车辆行驶时减少因内侧弯道路基宽度不足导致行驶空间不足。增加转弯半径，本项目路段多为大型货车行驶，转弯半径较大，需增加路基宽度保证更大空间来完成车辆转弯。也能保证在转弯会车时提高通行能力，较少交通拥堵。弯道处路基加宽也能延长道路使用寿命。增加防护墙，增加道路的整体稳定性。特殊路段路基占地面积</w:t>
            </w:r>
            <w:r>
              <w:rPr>
                <w:rFonts w:hint="eastAsia" w:ascii="宋体" w:hAnsi="宋体" w:eastAsia="宋体" w:cs="宋体"/>
                <w:smallCaps w:val="0"/>
                <w:color w:val="auto"/>
                <w:kern w:val="0"/>
                <w:sz w:val="21"/>
                <w:szCs w:val="21"/>
                <w:highlight w:val="none"/>
                <w:lang w:val="en-US" w:eastAsia="zh-CN"/>
              </w:rPr>
              <w:t>6565m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；路基防护墙永久占地面积43.2m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sz w:val="21"/>
                <w:szCs w:val="21"/>
                <w:highlight w:val="none"/>
                <w:lang w:val="en-US" w:eastAsia="zh-CN"/>
              </w:rPr>
              <w:t>。</w:t>
            </w:r>
          </w:p>
        </w:tc>
      </w:tr>
      <w:tr w14:paraId="4A77A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6C718C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3F5FC02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桥涵工程</w:t>
            </w:r>
          </w:p>
        </w:tc>
        <w:tc>
          <w:tcPr>
            <w:tcW w:w="6115" w:type="dxa"/>
            <w:gridSpan w:val="9"/>
            <w:noWrap w:val="0"/>
            <w:vAlign w:val="center"/>
          </w:tcPr>
          <w:p w14:paraId="495AA9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改造现有道路涵洞，现有涵洞已不能满足泄洪能力，将K6+240、K6+757处波纹管涵改建为1-5.0x2.0m钢筋混凝土箱涵。</w:t>
            </w:r>
          </w:p>
        </w:tc>
      </w:tr>
      <w:tr w14:paraId="7D45A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27" w:type="dxa"/>
            <w:vMerge w:val="continue"/>
            <w:noWrap w:val="0"/>
            <w:vAlign w:val="center"/>
          </w:tcPr>
          <w:p w14:paraId="025483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p>
        </w:tc>
        <w:tc>
          <w:tcPr>
            <w:tcW w:w="1060" w:type="dxa"/>
            <w:gridSpan w:val="2"/>
            <w:noWrap w:val="0"/>
            <w:vAlign w:val="center"/>
          </w:tcPr>
          <w:p w14:paraId="64CD7E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边沟工程</w:t>
            </w:r>
          </w:p>
        </w:tc>
        <w:tc>
          <w:tcPr>
            <w:tcW w:w="6115" w:type="dxa"/>
            <w:gridSpan w:val="9"/>
            <w:noWrap w:val="0"/>
            <w:vAlign w:val="center"/>
          </w:tcPr>
          <w:p w14:paraId="506E70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在K6+760~K8+100路段右侧建设1340m排水边沟，在K7+775~K8+025左侧建设250m排水边沟。用于路基路面排水。边沟工程永久占地面积4197.6m</w:t>
            </w:r>
            <w:r>
              <w:rPr>
                <w:rFonts w:hint="eastAsia" w:ascii="宋体" w:hAnsi="宋体" w:eastAsia="宋体" w:cs="宋体"/>
                <w:smallCaps w:val="0"/>
                <w:color w:val="auto"/>
                <w:sz w:val="21"/>
                <w:szCs w:val="21"/>
                <w:highlight w:val="none"/>
                <w:vertAlign w:val="superscript"/>
                <w:lang w:val="en-US" w:eastAsia="zh-CN"/>
              </w:rPr>
              <w:t>2</w:t>
            </w:r>
          </w:p>
        </w:tc>
      </w:tr>
      <w:tr w14:paraId="3F2E7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0E68C06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征地拆迁</w:t>
            </w:r>
          </w:p>
        </w:tc>
        <w:tc>
          <w:tcPr>
            <w:tcW w:w="1060" w:type="dxa"/>
            <w:gridSpan w:val="2"/>
            <w:noWrap w:val="0"/>
            <w:vAlign w:val="center"/>
          </w:tcPr>
          <w:p w14:paraId="118B88B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征地</w:t>
            </w:r>
          </w:p>
        </w:tc>
        <w:tc>
          <w:tcPr>
            <w:tcW w:w="6115" w:type="dxa"/>
            <w:gridSpan w:val="9"/>
            <w:noWrap w:val="0"/>
            <w:vAlign w:val="center"/>
          </w:tcPr>
          <w:p w14:paraId="585F27B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用地总规模3.7864公顷，其中公路用地3.2012公顷、耕地0.3903公顷、建设用地0.0618公顷、未利用地0.1331公顷。已取得双鸭山市自然资源局出具的黑龙江省双鸭山至时代公路提质改造工程建设项目用地预审与选址意见书（双自然资用字第230503202300001号）。本项目占用耕地为闲置耕地，不占用水田，不占用永久基本农田。永久占地32055.8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，其中包括道路永久占地面积21250m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，边沟永久占地面积4197.6m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，特殊路段为弯道处路段，弯道处需进行路基加宽方式处理，加宽方式见附图11。特殊路段路基占地面积6565m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；路基防护墙永久占地面积43.2m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。临时占地5808.2m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，临时施工工场占地面积2131m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；临时弃渣场占地1897.2m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。临时表土堆场占地面积500m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。桥涵施工临时便道面积1280m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55DBE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252A8EB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1060" w:type="dxa"/>
            <w:gridSpan w:val="2"/>
            <w:noWrap w:val="0"/>
            <w:vAlign w:val="center"/>
          </w:tcPr>
          <w:p w14:paraId="67BC6DA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拆迁</w:t>
            </w:r>
          </w:p>
        </w:tc>
        <w:tc>
          <w:tcPr>
            <w:tcW w:w="6115" w:type="dxa"/>
            <w:gridSpan w:val="9"/>
            <w:noWrap w:val="0"/>
            <w:vAlign w:val="center"/>
          </w:tcPr>
          <w:p w14:paraId="138EA3E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本项目不涉及拆迁、砍伐。</w:t>
            </w:r>
          </w:p>
        </w:tc>
      </w:tr>
      <w:tr w14:paraId="3EB43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restart"/>
            <w:noWrap w:val="0"/>
            <w:vAlign w:val="center"/>
          </w:tcPr>
          <w:p w14:paraId="467DF26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临时工程</w:t>
            </w:r>
          </w:p>
        </w:tc>
        <w:tc>
          <w:tcPr>
            <w:tcW w:w="1060" w:type="dxa"/>
            <w:gridSpan w:val="2"/>
            <w:noWrap w:val="0"/>
            <w:vAlign w:val="center"/>
          </w:tcPr>
          <w:p w14:paraId="7587951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施工工场</w:t>
            </w:r>
          </w:p>
        </w:tc>
        <w:tc>
          <w:tcPr>
            <w:tcW w:w="6115" w:type="dxa"/>
            <w:gridSpan w:val="9"/>
            <w:noWrap w:val="0"/>
            <w:vAlign w:val="center"/>
          </w:tcPr>
          <w:p w14:paraId="7746AFF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位于项目南侧，设置施工工场用于暂存施工材料与施工器械，占地面积2131m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27028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1" w:hRule="atLeast"/>
          <w:jc w:val="center"/>
        </w:trPr>
        <w:tc>
          <w:tcPr>
            <w:tcW w:w="727" w:type="dxa"/>
            <w:vMerge w:val="continue"/>
            <w:noWrap w:val="0"/>
            <w:vAlign w:val="center"/>
          </w:tcPr>
          <w:p w14:paraId="6E6F796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591EEA6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施工便道</w:t>
            </w:r>
          </w:p>
        </w:tc>
        <w:tc>
          <w:tcPr>
            <w:tcW w:w="6115" w:type="dxa"/>
            <w:gridSpan w:val="9"/>
            <w:noWrap w:val="0"/>
            <w:vAlign w:val="center"/>
          </w:tcPr>
          <w:p w14:paraId="596C95C1">
            <w:pPr>
              <w:pStyle w:val="73"/>
              <w:keepNext w:val="0"/>
              <w:keepLines w:val="0"/>
              <w:pageBreakBefore w:val="0"/>
              <w:kinsoku/>
              <w:wordWrap/>
              <w:overflowPunct/>
              <w:topLinePunct w:val="0"/>
              <w:autoSpaceDE/>
              <w:autoSpaceDN/>
              <w:bidi w:val="0"/>
              <w:adjustRightInd/>
              <w:snapToGrid/>
              <w:jc w:val="both"/>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主体工程不设施工便道，本项目为对向2车道，单向车道进行施工，保留道路作为施工便道。本项目利用旧路建设，不对原有路面破坏，在施工准备期间已完成挖方工程，因此弃渣运输利用现有道路，不设施工便道。本项目新设2处施工便道，位于桩号K6+240、K6+757。K6+240处便道长度80m，K6+757处便道长度80m。宽度8m。施工便道总占地面积1280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。此处为涵洞处施工地，设立临时便道用于涵洞施工期间的材料以及弃渣运输。</w:t>
            </w:r>
          </w:p>
        </w:tc>
      </w:tr>
      <w:tr w14:paraId="3AD9DD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77B5850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13927AA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施工营地</w:t>
            </w:r>
          </w:p>
        </w:tc>
        <w:tc>
          <w:tcPr>
            <w:tcW w:w="6115" w:type="dxa"/>
            <w:gridSpan w:val="9"/>
            <w:noWrap w:val="0"/>
            <w:vAlign w:val="center"/>
          </w:tcPr>
          <w:p w14:paraId="7E55F9D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本项目不设置施工营地。</w:t>
            </w:r>
          </w:p>
        </w:tc>
      </w:tr>
      <w:tr w14:paraId="0643B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1EB81C5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7B0DB6F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料场</w:t>
            </w:r>
          </w:p>
        </w:tc>
        <w:tc>
          <w:tcPr>
            <w:tcW w:w="6115" w:type="dxa"/>
            <w:gridSpan w:val="9"/>
            <w:noWrap w:val="0"/>
            <w:vAlign w:val="center"/>
          </w:tcPr>
          <w:p w14:paraId="35A0277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本工程所需筑路材料片石、碎石由合鑫采石场购进，运距5km；所选用的中粗砂有富锦砂场购进。</w:t>
            </w:r>
          </w:p>
        </w:tc>
      </w:tr>
      <w:tr w14:paraId="0E68C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3C7EE95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p>
        </w:tc>
        <w:tc>
          <w:tcPr>
            <w:tcW w:w="1060" w:type="dxa"/>
            <w:gridSpan w:val="2"/>
            <w:noWrap w:val="0"/>
            <w:vAlign w:val="center"/>
          </w:tcPr>
          <w:p w14:paraId="5656E8D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弃渣场</w:t>
            </w:r>
          </w:p>
        </w:tc>
        <w:tc>
          <w:tcPr>
            <w:tcW w:w="6115" w:type="dxa"/>
            <w:gridSpan w:val="9"/>
            <w:noWrap w:val="0"/>
            <w:vAlign w:val="center"/>
          </w:tcPr>
          <w:p w14:paraId="5E5D291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施工期废渣土，废砂石及时清理，设置临时弃渣场，占地面积1897.2m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，弃渣定期转运。不设永久废弃渣场。临时表土堆场占地面积500m</w:t>
            </w:r>
            <w:r>
              <w:rPr>
                <w:rFonts w:hint="eastAsia" w:ascii="宋体" w:hAnsi="宋体" w:eastAsia="宋体" w:cs="宋体"/>
                <w:smallCaps w:val="0"/>
                <w:color w:val="auto"/>
                <w:kern w:val="0"/>
                <w:sz w:val="21"/>
                <w:szCs w:val="21"/>
                <w:highlight w:val="none"/>
                <w:vertAlign w:val="superscript"/>
                <w:lang w:val="en-US" w:eastAsia="zh-CN"/>
              </w:rPr>
              <w:t>2</w:t>
            </w:r>
            <w:r>
              <w:rPr>
                <w:rFonts w:hint="eastAsia" w:ascii="宋体" w:hAnsi="宋体" w:eastAsia="宋体" w:cs="宋体"/>
                <w:smallCaps w:val="0"/>
                <w:color w:val="auto"/>
                <w:kern w:val="0"/>
                <w:sz w:val="21"/>
                <w:szCs w:val="21"/>
                <w:highlight w:val="none"/>
                <w:lang w:val="en-US" w:eastAsia="zh-CN"/>
              </w:rPr>
              <w:t>。</w:t>
            </w:r>
          </w:p>
        </w:tc>
      </w:tr>
      <w:tr w14:paraId="1939F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restart"/>
            <w:noWrap w:val="0"/>
            <w:vAlign w:val="center"/>
          </w:tcPr>
          <w:p w14:paraId="602B3AD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环保工程</w:t>
            </w:r>
          </w:p>
        </w:tc>
        <w:tc>
          <w:tcPr>
            <w:tcW w:w="407" w:type="dxa"/>
            <w:vMerge w:val="restart"/>
            <w:noWrap w:val="0"/>
            <w:vAlign w:val="center"/>
          </w:tcPr>
          <w:p w14:paraId="23A6DF94">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施工期</w:t>
            </w:r>
          </w:p>
        </w:tc>
        <w:tc>
          <w:tcPr>
            <w:tcW w:w="653" w:type="dxa"/>
            <w:noWrap w:val="0"/>
            <w:vAlign w:val="center"/>
          </w:tcPr>
          <w:p w14:paraId="00664D5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废气处理</w:t>
            </w:r>
          </w:p>
        </w:tc>
        <w:tc>
          <w:tcPr>
            <w:tcW w:w="6115" w:type="dxa"/>
            <w:gridSpan w:val="9"/>
            <w:noWrap w:val="0"/>
            <w:vAlign w:val="center"/>
          </w:tcPr>
          <w:p w14:paraId="46E000F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施工点周围应当设置连续、密闭的围挡，围挡高度不得低于</w:t>
            </w:r>
            <w:r>
              <w:rPr>
                <w:rFonts w:hint="eastAsia" w:ascii="宋体" w:hAnsi="宋体" w:eastAsia="宋体" w:cs="宋体"/>
                <w:smallCaps w:val="0"/>
                <w:color w:val="auto"/>
                <w:sz w:val="21"/>
                <w:szCs w:val="21"/>
                <w:highlight w:val="none"/>
                <w:lang w:val="en-US" w:eastAsia="zh-CN"/>
              </w:rPr>
              <w:t>2</w:t>
            </w:r>
            <w:r>
              <w:rPr>
                <w:rFonts w:hint="eastAsia" w:ascii="宋体" w:hAnsi="宋体" w:eastAsia="宋体" w:cs="宋体"/>
                <w:smallCaps w:val="0"/>
                <w:color w:val="auto"/>
                <w:sz w:val="21"/>
                <w:szCs w:val="21"/>
                <w:highlight w:val="none"/>
                <w:lang w:val="en-US"/>
              </w:rPr>
              <w:t>米；施工道路定期洒水降尘；运输车辆采用苫布遮盖；加强施工管理，降低扬尘影响</w:t>
            </w:r>
            <w:r>
              <w:rPr>
                <w:rFonts w:hint="eastAsia" w:ascii="宋体" w:hAnsi="宋体" w:eastAsia="宋体" w:cs="宋体"/>
                <w:smallCaps w:val="0"/>
                <w:color w:val="auto"/>
                <w:sz w:val="21"/>
                <w:szCs w:val="21"/>
                <w:highlight w:val="none"/>
                <w:lang w:val="en-US" w:eastAsia="zh-CN"/>
              </w:rPr>
              <w:t>。</w:t>
            </w:r>
          </w:p>
        </w:tc>
      </w:tr>
      <w:tr w14:paraId="3E5DF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2F3242D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281AFC2E">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3E2E5DEC">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废水处理</w:t>
            </w:r>
          </w:p>
        </w:tc>
        <w:tc>
          <w:tcPr>
            <w:tcW w:w="6115" w:type="dxa"/>
            <w:gridSpan w:val="9"/>
            <w:noWrap w:val="0"/>
            <w:vAlign w:val="center"/>
          </w:tcPr>
          <w:p w14:paraId="40BC08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rPr>
            </w:pPr>
            <w:r>
              <w:rPr>
                <w:rFonts w:hint="eastAsia" w:ascii="宋体" w:hAnsi="宋体" w:eastAsia="宋体" w:cs="宋体"/>
                <w:smallCaps w:val="0"/>
                <w:color w:val="auto"/>
                <w:sz w:val="21"/>
                <w:szCs w:val="21"/>
                <w:highlight w:val="none"/>
              </w:rPr>
              <w:t>施工人员生活污水：</w:t>
            </w:r>
            <w:r>
              <w:rPr>
                <w:rFonts w:hint="eastAsia" w:ascii="宋体" w:hAnsi="宋体" w:eastAsia="宋体" w:cs="宋体"/>
                <w:smallCaps w:val="0"/>
                <w:color w:val="auto"/>
                <w:sz w:val="21"/>
                <w:szCs w:val="21"/>
                <w:highlight w:val="none"/>
                <w:lang w:val="en-US" w:eastAsia="zh-CN"/>
              </w:rPr>
              <w:t>施工人员如厕依托南侧平房居民防渗旱厕，盥洗水经沉淀池沉淀处理，处理后回用车辆冲洗</w:t>
            </w:r>
            <w:r>
              <w:rPr>
                <w:rFonts w:hint="eastAsia" w:ascii="宋体" w:hAnsi="宋体" w:eastAsia="宋体" w:cs="宋体"/>
                <w:smallCaps w:val="0"/>
                <w:color w:val="auto"/>
                <w:sz w:val="21"/>
                <w:szCs w:val="21"/>
                <w:highlight w:val="none"/>
              </w:rPr>
              <w:t>。</w:t>
            </w:r>
          </w:p>
          <w:p w14:paraId="08C9C5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snapToGrid w:val="0"/>
                <w:color w:val="auto"/>
                <w:kern w:val="0"/>
                <w:sz w:val="21"/>
                <w:szCs w:val="21"/>
                <w:highlight w:val="none"/>
                <w:lang w:val="en-US" w:eastAsia="zh-CN"/>
              </w:rPr>
            </w:pPr>
            <w:r>
              <w:rPr>
                <w:rFonts w:hint="eastAsia" w:ascii="宋体" w:hAnsi="宋体" w:eastAsia="宋体" w:cs="宋体"/>
                <w:smallCaps w:val="0"/>
                <w:color w:val="auto"/>
                <w:sz w:val="21"/>
                <w:szCs w:val="21"/>
                <w:highlight w:val="none"/>
              </w:rPr>
              <w:t>施工过程中，冲洗废水沉淀池沉淀后回用，不外排；</w:t>
            </w:r>
            <w:r>
              <w:rPr>
                <w:rFonts w:hint="eastAsia" w:ascii="宋体" w:hAnsi="宋体" w:eastAsia="宋体" w:cs="宋体"/>
                <w:smallCaps w:val="0"/>
                <w:color w:val="auto"/>
                <w:sz w:val="21"/>
                <w:szCs w:val="21"/>
                <w:highlight w:val="none"/>
                <w:lang w:val="en-US" w:eastAsia="zh-CN"/>
              </w:rPr>
              <w:t>车辆维修产生</w:t>
            </w:r>
            <w:r>
              <w:rPr>
                <w:rFonts w:hint="eastAsia" w:ascii="宋体" w:hAnsi="宋体" w:eastAsia="宋体" w:cs="宋体"/>
                <w:smallCaps w:val="0"/>
                <w:color w:val="auto"/>
                <w:sz w:val="21"/>
                <w:szCs w:val="21"/>
                <w:highlight w:val="none"/>
              </w:rPr>
              <w:t>含油废水</w:t>
            </w:r>
            <w:r>
              <w:rPr>
                <w:rFonts w:hint="eastAsia" w:ascii="宋体" w:hAnsi="宋体" w:eastAsia="宋体" w:cs="宋体"/>
                <w:smallCaps w:val="0"/>
                <w:color w:val="auto"/>
                <w:sz w:val="21"/>
                <w:szCs w:val="21"/>
                <w:highlight w:val="none"/>
                <w:lang w:val="en-US" w:eastAsia="zh-CN"/>
              </w:rPr>
              <w:t>集中收集交有资质单位，施工工场不暂存。沉淀池设于施工工场处，沉淀池规格为6m×3m×2m。沉淀池上方为沥水板，车辆冲洗后冲洗水进入沉淀池沉淀，冲洗水经沉底后回用，不外排。施工结束后拆除沉淀池，恢复原有地貌。</w:t>
            </w:r>
          </w:p>
        </w:tc>
      </w:tr>
      <w:tr w14:paraId="76D49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046DE93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407" w:type="dxa"/>
            <w:vMerge w:val="continue"/>
            <w:noWrap w:val="0"/>
            <w:vAlign w:val="center"/>
          </w:tcPr>
          <w:p w14:paraId="57C8B45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p>
        </w:tc>
        <w:tc>
          <w:tcPr>
            <w:tcW w:w="653" w:type="dxa"/>
            <w:noWrap w:val="0"/>
            <w:vAlign w:val="center"/>
          </w:tcPr>
          <w:p w14:paraId="23A71A7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rPr>
            </w:pPr>
            <w:r>
              <w:rPr>
                <w:rFonts w:hint="eastAsia" w:ascii="宋体" w:hAnsi="宋体" w:eastAsia="宋体" w:cs="宋体"/>
                <w:smallCaps w:val="0"/>
                <w:color w:val="auto"/>
                <w:kern w:val="0"/>
                <w:sz w:val="21"/>
                <w:szCs w:val="21"/>
                <w:highlight w:val="none"/>
              </w:rPr>
              <w:t>噪声处理</w:t>
            </w:r>
          </w:p>
        </w:tc>
        <w:tc>
          <w:tcPr>
            <w:tcW w:w="6115" w:type="dxa"/>
            <w:gridSpan w:val="9"/>
            <w:noWrap w:val="0"/>
            <w:vAlign w:val="center"/>
          </w:tcPr>
          <w:p w14:paraId="026AF70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snapToGrid w:val="0"/>
                <w:color w:val="auto"/>
                <w:kern w:val="0"/>
                <w:sz w:val="21"/>
                <w:szCs w:val="21"/>
                <w:highlight w:val="none"/>
                <w:lang w:eastAsia="zh-CN"/>
              </w:rPr>
            </w:pPr>
            <w:r>
              <w:rPr>
                <w:rFonts w:hint="eastAsia" w:ascii="宋体" w:hAnsi="宋体" w:eastAsia="宋体" w:cs="宋体"/>
                <w:smallCaps w:val="0"/>
                <w:color w:val="auto"/>
                <w:sz w:val="21"/>
                <w:szCs w:val="21"/>
                <w:highlight w:val="none"/>
                <w:lang w:val="en-US"/>
              </w:rPr>
              <w:t>合理安排施工时间，</w:t>
            </w:r>
            <w:r>
              <w:rPr>
                <w:rFonts w:hint="eastAsia" w:ascii="宋体" w:hAnsi="宋体" w:eastAsia="宋体" w:cs="宋体"/>
                <w:smallCaps w:val="0"/>
                <w:color w:val="auto"/>
                <w:sz w:val="21"/>
                <w:szCs w:val="21"/>
                <w:highlight w:val="none"/>
                <w:lang w:val="en-US" w:eastAsia="zh-CN"/>
              </w:rPr>
              <w:t>夜间、午休期间禁止施工</w:t>
            </w:r>
            <w:r>
              <w:rPr>
                <w:rFonts w:hint="eastAsia" w:ascii="宋体" w:hAnsi="宋体" w:eastAsia="宋体" w:cs="宋体"/>
                <w:smallCaps w:val="0"/>
                <w:color w:val="auto"/>
                <w:sz w:val="21"/>
                <w:szCs w:val="21"/>
                <w:highlight w:val="none"/>
                <w:lang w:val="en-US"/>
              </w:rPr>
              <w:t>，加强施工管理，尽量使用低噪音设备，</w:t>
            </w:r>
            <w:r>
              <w:rPr>
                <w:rFonts w:hint="eastAsia" w:ascii="宋体" w:hAnsi="宋体" w:eastAsia="宋体" w:cs="宋体"/>
                <w:smallCaps w:val="0"/>
                <w:color w:val="auto"/>
                <w:sz w:val="21"/>
                <w:szCs w:val="21"/>
                <w:highlight w:val="none"/>
                <w:lang w:val="en-US" w:eastAsia="zh-CN"/>
              </w:rPr>
              <w:t>施工期加装隔音屏障。</w:t>
            </w:r>
          </w:p>
        </w:tc>
      </w:tr>
      <w:tr w14:paraId="2A3A6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19E59BB7">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20C50A1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3FE5FFA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固体废物</w:t>
            </w:r>
          </w:p>
        </w:tc>
        <w:tc>
          <w:tcPr>
            <w:tcW w:w="6115" w:type="dxa"/>
            <w:gridSpan w:val="9"/>
            <w:noWrap w:val="0"/>
            <w:vAlign w:val="center"/>
          </w:tcPr>
          <w:p w14:paraId="31CC8E5D">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rPr>
            </w:pPr>
            <w:r>
              <w:rPr>
                <w:rFonts w:hint="eastAsia" w:ascii="宋体" w:hAnsi="宋体" w:eastAsia="宋体" w:cs="宋体"/>
                <w:smallCaps w:val="0"/>
                <w:color w:val="auto"/>
                <w:sz w:val="21"/>
                <w:szCs w:val="21"/>
                <w:highlight w:val="none"/>
                <w:lang w:val="en-US"/>
              </w:rPr>
              <w:t>施工人员生活垃圾、固体废物统一收集，委托环卫部门处置。建筑垃圾</w:t>
            </w:r>
            <w:r>
              <w:rPr>
                <w:rFonts w:hint="eastAsia" w:ascii="宋体" w:hAnsi="宋体" w:eastAsia="宋体" w:cs="宋体"/>
                <w:smallCaps w:val="0"/>
                <w:color w:val="auto"/>
                <w:sz w:val="21"/>
                <w:szCs w:val="21"/>
                <w:highlight w:val="none"/>
                <w:lang w:val="en-US" w:eastAsia="zh-CN"/>
              </w:rPr>
              <w:t>、弃土、弃渣拉运至双鸭山市建筑垃圾处置消纳场。建筑垃圾处置消纳场位于尖山区窑地路中段，运距12km，途径双西路、南环路、窑地路；汽车维修产生的油水混合物经</w:t>
            </w:r>
            <w:r>
              <w:rPr>
                <w:rFonts w:hint="eastAsia" w:ascii="宋体" w:hAnsi="宋体" w:eastAsia="宋体" w:cs="宋体"/>
                <w:smallCaps w:val="0"/>
                <w:color w:val="auto"/>
                <w:sz w:val="21"/>
                <w:szCs w:val="21"/>
                <w:highlight w:val="none"/>
                <w:lang w:val="en-US"/>
              </w:rPr>
              <w:t>收集后交有资质单位处置，本项目不建设危废</w:t>
            </w:r>
            <w:r>
              <w:rPr>
                <w:rFonts w:hint="eastAsia" w:ascii="宋体" w:hAnsi="宋体" w:eastAsia="宋体" w:cs="宋体"/>
                <w:smallCaps w:val="0"/>
                <w:color w:val="auto"/>
                <w:sz w:val="21"/>
                <w:szCs w:val="21"/>
                <w:highlight w:val="none"/>
                <w:lang w:val="en-US" w:eastAsia="zh-CN"/>
              </w:rPr>
              <w:t>贮存点</w:t>
            </w:r>
            <w:r>
              <w:rPr>
                <w:rFonts w:hint="eastAsia" w:ascii="宋体" w:hAnsi="宋体" w:eastAsia="宋体" w:cs="宋体"/>
                <w:smallCaps w:val="0"/>
                <w:color w:val="auto"/>
                <w:sz w:val="21"/>
                <w:szCs w:val="21"/>
                <w:highlight w:val="none"/>
                <w:lang w:val="en-US"/>
              </w:rPr>
              <w:t>，危险废物</w:t>
            </w:r>
            <w:r>
              <w:rPr>
                <w:rFonts w:hint="eastAsia" w:ascii="宋体" w:hAnsi="宋体" w:eastAsia="宋体" w:cs="宋体"/>
                <w:smallCaps w:val="0"/>
                <w:color w:val="auto"/>
                <w:sz w:val="21"/>
                <w:szCs w:val="21"/>
                <w:highlight w:val="none"/>
                <w:lang w:val="en-US" w:eastAsia="zh-CN"/>
              </w:rPr>
              <w:t>由施工单位</w:t>
            </w:r>
            <w:r>
              <w:rPr>
                <w:rFonts w:hint="eastAsia" w:ascii="宋体" w:hAnsi="宋体" w:eastAsia="宋体" w:cs="宋体"/>
                <w:smallCaps w:val="0"/>
                <w:color w:val="auto"/>
                <w:sz w:val="21"/>
                <w:szCs w:val="21"/>
                <w:highlight w:val="none"/>
                <w:lang w:val="en-US"/>
              </w:rPr>
              <w:t>统一收集后委托有资质单位处置。</w:t>
            </w:r>
          </w:p>
        </w:tc>
      </w:tr>
      <w:tr w14:paraId="5D7F4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27" w:type="dxa"/>
            <w:vMerge w:val="continue"/>
            <w:noWrap w:val="0"/>
            <w:vAlign w:val="center"/>
          </w:tcPr>
          <w:p w14:paraId="4102284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0BAA2B33">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7C5059E8">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生态环境</w:t>
            </w:r>
          </w:p>
        </w:tc>
        <w:tc>
          <w:tcPr>
            <w:tcW w:w="6115" w:type="dxa"/>
            <w:gridSpan w:val="9"/>
            <w:noWrap w:val="0"/>
            <w:vAlign w:val="center"/>
          </w:tcPr>
          <w:p w14:paraId="30BB5780">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施工期生态保护措施</w:t>
            </w:r>
          </w:p>
          <w:p w14:paraId="36BB906D">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植被保护：严格依据设计文件明确施工范围，禁止施工人员与车辆进入非施工区域，避免破坏周边植被。优化施工方案，加快施工进度，减少对植被影响时长，同时避开雨天施工。严格控制路基开挖作业面，减少水土流失。定期检查维护施工机械、车辆，防止油污污染土壤。及时处理各类固体废物，杜绝超范围用地。施工结束后，清理施工痕迹，恢复地表原貌。若施工中发现重点保护野生植物，应立即报告相关部门并实施保护、移栽。</w:t>
            </w:r>
          </w:p>
          <w:p w14:paraId="420F2DE2">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动物保护：加强施工人员教育，使其遵守野生动物保护法，严禁在施工区及周边捕猎野生动物，发现保护动物及时上报。明确施工用地范围并标桩划界，禁止施工人员和机械进入非施工区，减少对野生动物干扰。合理安排施工时间，避开野生动物繁殖期，选用低噪声机械，减少噪声惊扰。设立环保监督机构和专职人员，加强监管和教育，依法处置违法行为。</w:t>
            </w:r>
          </w:p>
          <w:p w14:paraId="01C7348F">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占地恢复：施工单位严格按设计施工，减少占地面积。施工监理按标准和设计文件监督施工。施工前剥离表土并集中堆存、覆盖，用于后期绿化。临时占地需依法办理手续，施工结束后恢复土地功能和原有地貌。项目在投资估算中考虑占地补偿及耕地复垦费用，按规定缴纳相关费用，弥补耕地损失。</w:t>
            </w:r>
          </w:p>
          <w:p w14:paraId="2E310321">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sz w:val="21"/>
                <w:szCs w:val="21"/>
                <w:highlight w:val="none"/>
                <w:lang w:val="en-US"/>
              </w:rPr>
            </w:pPr>
            <w:r>
              <w:rPr>
                <w:rFonts w:hint="eastAsia" w:ascii="宋体" w:hAnsi="宋体" w:eastAsia="宋体" w:cs="宋体"/>
                <w:smallCaps w:val="0"/>
                <w:color w:val="auto"/>
                <w:kern w:val="0"/>
                <w:sz w:val="21"/>
                <w:szCs w:val="21"/>
                <w:highlight w:val="none"/>
                <w:lang w:val="en-US" w:eastAsia="zh-CN"/>
              </w:rPr>
              <w:t>水土保持：合理安排工期，避免雨季开挖路基，减少土石方堆放。完善排水工程，确保排水通畅。路基工程区两侧设边沟排水，施工后进行边坡防护；挖方弃渣临时堆放并做好防护。表土暂存场区施工结束后进行植被恢复，临时堆土做好拦挡、苫盖及排水、沉砂措施。施工工场施工前剥离表土，结束后用于植被恢复，临时堆土防护，周边设排水沟和沉砂池。</w:t>
            </w:r>
          </w:p>
        </w:tc>
      </w:tr>
      <w:tr w14:paraId="74977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220003A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restart"/>
            <w:noWrap w:val="0"/>
            <w:vAlign w:val="center"/>
          </w:tcPr>
          <w:p w14:paraId="35E30BB0">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运营期</w:t>
            </w:r>
          </w:p>
        </w:tc>
        <w:tc>
          <w:tcPr>
            <w:tcW w:w="653" w:type="dxa"/>
            <w:noWrap w:val="0"/>
            <w:vAlign w:val="center"/>
          </w:tcPr>
          <w:p w14:paraId="6D1A761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rPr>
              <w:t>废水</w:t>
            </w:r>
          </w:p>
        </w:tc>
        <w:tc>
          <w:tcPr>
            <w:tcW w:w="6115" w:type="dxa"/>
            <w:gridSpan w:val="9"/>
            <w:noWrap w:val="0"/>
            <w:vAlign w:val="center"/>
          </w:tcPr>
          <w:p w14:paraId="0080363A">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加强路面洁净度，定期委托环卫工人清理路面，减少因汽车漏油造成地面污染，减少因降雨导致地表径流经雨水排放口排放至马蹄河造成污染。</w:t>
            </w:r>
          </w:p>
        </w:tc>
      </w:tr>
      <w:tr w14:paraId="394A2D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5767DED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62A6E29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7A783DB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废气</w:t>
            </w:r>
          </w:p>
        </w:tc>
        <w:tc>
          <w:tcPr>
            <w:tcW w:w="6115" w:type="dxa"/>
            <w:gridSpan w:val="9"/>
            <w:noWrap w:val="0"/>
            <w:vAlign w:val="center"/>
          </w:tcPr>
          <w:p w14:paraId="6B700EF5">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定期路面养护，市政部门定期安排洒水车等洒水降尘。控制车速，减少车辆行驶起尘。控制车辆速度，车轮携带大量泥沙禁止上路上桥。</w:t>
            </w:r>
          </w:p>
        </w:tc>
      </w:tr>
      <w:tr w14:paraId="79BA8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vMerge w:val="continue"/>
            <w:noWrap w:val="0"/>
            <w:vAlign w:val="center"/>
          </w:tcPr>
          <w:p w14:paraId="268F611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4A5B05F9">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05B1624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噪声</w:t>
            </w:r>
          </w:p>
        </w:tc>
        <w:tc>
          <w:tcPr>
            <w:tcW w:w="6115" w:type="dxa"/>
            <w:gridSpan w:val="9"/>
            <w:noWrap w:val="0"/>
            <w:vAlign w:val="center"/>
          </w:tcPr>
          <w:p w14:paraId="3FF11AB5">
            <w:pPr>
              <w:pStyle w:val="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mallCaps w:val="0"/>
                <w:color w:val="auto"/>
                <w:sz w:val="21"/>
                <w:szCs w:val="21"/>
                <w:highlight w:val="none"/>
                <w:lang w:val="en-US" w:eastAsia="zh-CN"/>
              </w:rPr>
            </w:pPr>
            <w:r>
              <w:rPr>
                <w:rFonts w:hint="eastAsia" w:ascii="宋体" w:hAnsi="宋体" w:eastAsia="宋体" w:cs="宋体"/>
                <w:smallCaps w:val="0"/>
                <w:color w:val="auto"/>
                <w:sz w:val="21"/>
                <w:szCs w:val="21"/>
                <w:highlight w:val="none"/>
                <w:lang w:val="en-US" w:eastAsia="zh-CN"/>
              </w:rPr>
              <w:t>控制车速，道路沿线禁止鸣笛，种植绿植，降低噪声对环境影响。</w:t>
            </w:r>
          </w:p>
        </w:tc>
      </w:tr>
      <w:tr w14:paraId="70EA8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7" w:type="dxa"/>
            <w:vMerge w:val="continue"/>
            <w:noWrap w:val="0"/>
            <w:vAlign w:val="center"/>
          </w:tcPr>
          <w:p w14:paraId="09144F4A">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148C3C2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79462871">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r>
              <w:rPr>
                <w:rFonts w:hint="eastAsia" w:ascii="宋体" w:hAnsi="宋体" w:eastAsia="宋体" w:cs="宋体"/>
                <w:smallCaps w:val="0"/>
                <w:color w:val="auto"/>
                <w:kern w:val="0"/>
                <w:sz w:val="21"/>
                <w:szCs w:val="21"/>
                <w:highlight w:val="none"/>
                <w:lang w:val="en-US"/>
              </w:rPr>
              <w:t>固废</w:t>
            </w:r>
          </w:p>
        </w:tc>
        <w:tc>
          <w:tcPr>
            <w:tcW w:w="6115" w:type="dxa"/>
            <w:gridSpan w:val="9"/>
            <w:noWrap w:val="0"/>
            <w:vAlign w:val="center"/>
          </w:tcPr>
          <w:p w14:paraId="3788B85F">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道路沿线设置垃圾桶，定期清掏外运至垃圾填埋场。委托环卫工人清扫，减少垃圾对环境的污染。</w:t>
            </w:r>
          </w:p>
        </w:tc>
      </w:tr>
      <w:tr w14:paraId="55E8B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7" w:type="dxa"/>
            <w:vMerge w:val="continue"/>
            <w:noWrap w:val="0"/>
            <w:vAlign w:val="center"/>
          </w:tcPr>
          <w:p w14:paraId="766C1D85">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407" w:type="dxa"/>
            <w:vMerge w:val="continue"/>
            <w:noWrap w:val="0"/>
            <w:vAlign w:val="center"/>
          </w:tcPr>
          <w:p w14:paraId="2500F256">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rPr>
            </w:pPr>
          </w:p>
        </w:tc>
        <w:tc>
          <w:tcPr>
            <w:tcW w:w="653" w:type="dxa"/>
            <w:noWrap w:val="0"/>
            <w:vAlign w:val="center"/>
          </w:tcPr>
          <w:p w14:paraId="4B433F7B">
            <w:pPr>
              <w:pStyle w:val="73"/>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生态环境</w:t>
            </w:r>
          </w:p>
        </w:tc>
        <w:tc>
          <w:tcPr>
            <w:tcW w:w="6115" w:type="dxa"/>
            <w:gridSpan w:val="9"/>
            <w:noWrap w:val="0"/>
            <w:vAlign w:val="center"/>
          </w:tcPr>
          <w:p w14:paraId="54365516">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运营期生态保护措施</w:t>
            </w:r>
          </w:p>
          <w:p w14:paraId="09E88022">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道路维护与生态保护：加强道路维护，确保排水工程和涵洞正常运行，防止植被受淹，保障水路畅通。</w:t>
            </w:r>
          </w:p>
          <w:p w14:paraId="0E02C85E">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运输管理与生态防护：强化运输车辆管理，防止车辆对自然生态造成破坏，预防林火和树木病虫害发生。</w:t>
            </w:r>
          </w:p>
          <w:p w14:paraId="1EAFE396">
            <w:pPr>
              <w:pStyle w:val="73"/>
              <w:keepNext w:val="0"/>
              <w:keepLines w:val="0"/>
              <w:pageBreakBefore w:val="0"/>
              <w:kinsoku/>
              <w:wordWrap/>
              <w:overflowPunct/>
              <w:topLinePunct w:val="0"/>
              <w:autoSpaceDE/>
              <w:autoSpaceDN/>
              <w:bidi w:val="0"/>
              <w:adjustRightInd/>
              <w:snapToGrid/>
              <w:jc w:val="left"/>
              <w:textAlignment w:val="auto"/>
              <w:rPr>
                <w:rFonts w:hint="eastAsia" w:ascii="宋体" w:hAnsi="宋体" w:eastAsia="宋体" w:cs="宋体"/>
                <w:smallCaps w:val="0"/>
                <w:color w:val="auto"/>
                <w:kern w:val="0"/>
                <w:sz w:val="21"/>
                <w:szCs w:val="21"/>
                <w:highlight w:val="none"/>
                <w:lang w:val="en-US" w:eastAsia="zh-CN"/>
              </w:rPr>
            </w:pPr>
            <w:r>
              <w:rPr>
                <w:rFonts w:hint="eastAsia" w:ascii="宋体" w:hAnsi="宋体" w:eastAsia="宋体" w:cs="宋体"/>
                <w:smallCaps w:val="0"/>
                <w:color w:val="auto"/>
                <w:kern w:val="0"/>
                <w:sz w:val="21"/>
                <w:szCs w:val="21"/>
                <w:highlight w:val="none"/>
                <w:lang w:val="en-US" w:eastAsia="zh-CN"/>
              </w:rPr>
              <w:t>防止侵占与植被恢复：在道路沿线设置标识牌，禁止在林地内非法开垦、放牧、砍伐。加强道路巡查，及时发现和制止侵占林地、破坏植被行为。对因道路建设或运营造成的植被破坏，及时选用与周边相似的植物进行恢复种植，保障生态连贯性。</w:t>
            </w:r>
          </w:p>
        </w:tc>
      </w:tr>
    </w:tbl>
    <w:p w14:paraId="73FAD6E9">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2、评价等级及评价范围</w:t>
      </w:r>
    </w:p>
    <w:p w14:paraId="5B847596">
      <w:pP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根据《环境影响评价技术导则 声环境》（HJ2.4-2021）规定，声环境评价工作等级的划分是由建设项目所在区域的声环境功能区类别、建设项目建设前后所在区域的声环境质量变化程度、受建设项目影响的人口数量而确定的，声环境评价级别判据详见下表。</w:t>
      </w:r>
    </w:p>
    <w:p w14:paraId="394CAB69">
      <w:pPr>
        <w:spacing w:line="240" w:lineRule="auto"/>
        <w:jc w:val="center"/>
        <w:rPr>
          <w:rFonts w:hint="eastAsia" w:ascii="宋体" w:hAnsi="宋体" w:eastAsia="宋体" w:cs="宋体"/>
          <w:b/>
          <w:color w:val="auto"/>
          <w:sz w:val="21"/>
          <w:szCs w:val="21"/>
          <w:highlight w:val="none"/>
          <w:u w:val="none"/>
        </w:rPr>
      </w:pPr>
      <w:r>
        <w:rPr>
          <w:rFonts w:hint="eastAsia" w:ascii="宋体" w:hAnsi="宋体" w:eastAsia="宋体" w:cs="宋体"/>
          <w:b/>
          <w:color w:val="auto"/>
          <w:sz w:val="21"/>
          <w:szCs w:val="21"/>
          <w:highlight w:val="none"/>
          <w:u w:val="none"/>
        </w:rPr>
        <w:t>表</w:t>
      </w:r>
      <w:r>
        <w:rPr>
          <w:rFonts w:hint="eastAsia" w:ascii="宋体" w:hAnsi="宋体" w:eastAsia="宋体" w:cs="宋体"/>
          <w:b/>
          <w:color w:val="auto"/>
          <w:sz w:val="21"/>
          <w:szCs w:val="21"/>
          <w:highlight w:val="none"/>
          <w:u w:val="none"/>
          <w:lang w:val="en-US" w:eastAsia="zh-CN"/>
        </w:rPr>
        <w:t>2</w:t>
      </w:r>
      <w:r>
        <w:rPr>
          <w:rFonts w:hint="eastAsia" w:ascii="宋体" w:hAnsi="宋体" w:eastAsia="宋体" w:cs="宋体"/>
          <w:b/>
          <w:color w:val="auto"/>
          <w:sz w:val="21"/>
          <w:szCs w:val="21"/>
          <w:highlight w:val="none"/>
          <w:u w:val="none"/>
        </w:rPr>
        <w:t xml:space="preserve">  声环境评价工作等级判据</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6778"/>
      </w:tblGrid>
      <w:tr w14:paraId="03828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noWrap w:val="0"/>
            <w:vAlign w:val="center"/>
          </w:tcPr>
          <w:p w14:paraId="0FB317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评价工作等级</w:t>
            </w:r>
          </w:p>
        </w:tc>
        <w:tc>
          <w:tcPr>
            <w:tcW w:w="3977" w:type="pct"/>
            <w:noWrap w:val="0"/>
            <w:vAlign w:val="center"/>
          </w:tcPr>
          <w:p w14:paraId="53E6D2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评价工作分级判据</w:t>
            </w:r>
          </w:p>
        </w:tc>
      </w:tr>
      <w:tr w14:paraId="36846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noWrap w:val="0"/>
            <w:vAlign w:val="center"/>
          </w:tcPr>
          <w:p w14:paraId="3E2314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一级</w:t>
            </w:r>
          </w:p>
        </w:tc>
        <w:tc>
          <w:tcPr>
            <w:tcW w:w="3977" w:type="pct"/>
            <w:noWrap w:val="0"/>
            <w:vAlign w:val="center"/>
          </w:tcPr>
          <w:p w14:paraId="587C45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评价范围内有适用于GB3096规定的0类声环境功能区域，或建设项目建设前后评价范围内敏感目标噪声级增高量达5dB(A)以上（不含5dB(A)），或受影响人口数量显著增多</w:t>
            </w:r>
          </w:p>
        </w:tc>
      </w:tr>
      <w:tr w14:paraId="3E591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noWrap w:val="0"/>
            <w:vAlign w:val="center"/>
          </w:tcPr>
          <w:p w14:paraId="4F0CAE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二级</w:t>
            </w:r>
          </w:p>
        </w:tc>
        <w:tc>
          <w:tcPr>
            <w:tcW w:w="3977" w:type="pct"/>
            <w:noWrap w:val="0"/>
            <w:vAlign w:val="center"/>
          </w:tcPr>
          <w:p w14:paraId="514ADA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建设项目所处的声环境功能区为GB3096规定的1类、2类区，或建设项目建设前后评价范围内敏感目标噪声级增高量达3dB(A)-5dB(A)，或受噪声影响人口数量增加较多</w:t>
            </w:r>
          </w:p>
        </w:tc>
      </w:tr>
      <w:tr w14:paraId="6FBF6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noWrap w:val="0"/>
            <w:vAlign w:val="center"/>
          </w:tcPr>
          <w:p w14:paraId="00DE26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三级</w:t>
            </w:r>
          </w:p>
        </w:tc>
        <w:tc>
          <w:tcPr>
            <w:tcW w:w="3977" w:type="pct"/>
            <w:noWrap w:val="0"/>
            <w:vAlign w:val="center"/>
          </w:tcPr>
          <w:p w14:paraId="46EF06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建设项目所处的声环境功能区为GB3096规定的3、4类地区，或建设项目建设前后评价范围内敏感目标噪声级增高量在3dB(A)以下时（不含3dB(A)），且受影响人口数量变化不大</w:t>
            </w:r>
          </w:p>
        </w:tc>
      </w:tr>
    </w:tbl>
    <w:p w14:paraId="186CA83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rPr>
          <w:rFonts w:hint="eastAsia" w:ascii="宋体" w:hAnsi="宋体" w:eastAsia="宋体" w:cs="宋体"/>
          <w:smallCaps w:val="0"/>
          <w:color w:val="auto"/>
          <w:sz w:val="24"/>
          <w:szCs w:val="24"/>
          <w:highlight w:val="yellow"/>
          <w:lang w:val="en-US" w:eastAsia="zh-CN"/>
        </w:rPr>
      </w:pPr>
      <w:r>
        <w:rPr>
          <w:rFonts w:hint="eastAsia" w:ascii="宋体" w:hAnsi="宋体" w:eastAsia="宋体" w:cs="宋体"/>
          <w:smallCaps w:val="0"/>
          <w:color w:val="auto"/>
          <w:sz w:val="24"/>
          <w:szCs w:val="24"/>
          <w:highlight w:val="yellow"/>
          <w:lang w:val="en-US" w:eastAsia="zh-CN"/>
        </w:rPr>
        <w:t>本工程沿线所处的声环境功能区为GB3096规定的2类区，项目建设前后噪声噪声级增高量为高于3dB（A），</w:t>
      </w:r>
      <w:r>
        <w:rPr>
          <w:rFonts w:hint="eastAsia" w:ascii="宋体" w:hAnsi="宋体" w:eastAsia="宋体" w:cs="宋体"/>
          <w:color w:val="auto"/>
          <w:sz w:val="24"/>
          <w:szCs w:val="24"/>
          <w:highlight w:val="yellow"/>
        </w:rPr>
        <w:t>受影响人口数量基本无变化，根据《环境影响评价技术导则  声环境》（HJ2.4-2021）中规定的声环境影响评价工作等级划分的基本原则，本次声环境评价工作等级确定为</w:t>
      </w:r>
      <w:r>
        <w:rPr>
          <w:rFonts w:hint="eastAsia" w:ascii="宋体" w:hAnsi="宋体" w:eastAsia="宋体" w:cs="宋体"/>
          <w:color w:val="auto"/>
          <w:sz w:val="24"/>
          <w:szCs w:val="24"/>
          <w:highlight w:val="yellow"/>
          <w:lang w:val="en-US" w:eastAsia="zh-CN"/>
        </w:rPr>
        <w:t>二</w:t>
      </w:r>
      <w:r>
        <w:rPr>
          <w:rFonts w:hint="eastAsia" w:ascii="宋体" w:hAnsi="宋体" w:eastAsia="宋体" w:cs="宋体"/>
          <w:color w:val="auto"/>
          <w:sz w:val="24"/>
          <w:szCs w:val="24"/>
          <w:highlight w:val="yellow"/>
        </w:rPr>
        <w:t>级。</w:t>
      </w:r>
    </w:p>
    <w:p w14:paraId="3FDE3F3E">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sz w:val="24"/>
          <w:szCs w:val="24"/>
          <w:highlight w:val="lightGray"/>
        </w:rPr>
      </w:pPr>
      <w:r>
        <w:rPr>
          <w:rFonts w:hint="eastAsia" w:ascii="宋体" w:hAnsi="宋体" w:eastAsia="宋体" w:cs="宋体"/>
          <w:color w:val="auto"/>
          <w:sz w:val="24"/>
          <w:szCs w:val="24"/>
          <w:highlight w:val="lightGray"/>
        </w:rPr>
        <w:t>评价范围：</w:t>
      </w:r>
      <w:r>
        <w:rPr>
          <w:rFonts w:hint="eastAsia" w:ascii="宋体" w:hAnsi="宋体" w:cs="宋体"/>
          <w:color w:val="auto"/>
          <w:sz w:val="24"/>
          <w:szCs w:val="24"/>
          <w:highlight w:val="lightGray"/>
          <w:lang w:val="en-US" w:eastAsia="zh-CN"/>
        </w:rPr>
        <w:t>施工期</w:t>
      </w:r>
      <w:r>
        <w:rPr>
          <w:rFonts w:hint="eastAsia" w:ascii="宋体" w:hAnsi="宋体" w:eastAsia="宋体" w:cs="宋体"/>
          <w:color w:val="auto"/>
          <w:sz w:val="24"/>
          <w:szCs w:val="24"/>
          <w:highlight w:val="lightGray"/>
        </w:rPr>
        <w:t>以线路</w:t>
      </w:r>
      <w:r>
        <w:rPr>
          <w:rFonts w:hint="eastAsia" w:ascii="宋体" w:hAnsi="宋体" w:cs="宋体"/>
          <w:color w:val="auto"/>
          <w:sz w:val="24"/>
          <w:szCs w:val="24"/>
          <w:highlight w:val="lightGray"/>
          <w:lang w:val="en-US" w:eastAsia="zh-CN"/>
        </w:rPr>
        <w:t>施工边界</w:t>
      </w:r>
      <w:r>
        <w:rPr>
          <w:rFonts w:hint="eastAsia" w:ascii="宋体" w:hAnsi="宋体" w:eastAsia="宋体" w:cs="宋体"/>
          <w:color w:val="auto"/>
          <w:sz w:val="24"/>
          <w:szCs w:val="24"/>
          <w:highlight w:val="lightGray"/>
        </w:rPr>
        <w:t>线向两侧外延200m范围内，</w:t>
      </w:r>
      <w:r>
        <w:rPr>
          <w:rFonts w:hint="eastAsia" w:ascii="宋体" w:hAnsi="宋体" w:cs="宋体"/>
          <w:color w:val="auto"/>
          <w:sz w:val="24"/>
          <w:szCs w:val="24"/>
          <w:highlight w:val="lightGray"/>
          <w:lang w:val="en-US" w:eastAsia="zh-CN"/>
        </w:rPr>
        <w:t>施工边界线为道路边界线，本项目施工边界线为道路边界线，本项目为改建项目，利用原有道路改建，不增加道路宽度，不涉及扩建内容。运营期以道路中心线向两侧外延200m范围。</w:t>
      </w:r>
      <w:r>
        <w:rPr>
          <w:rFonts w:hint="eastAsia" w:ascii="宋体" w:hAnsi="宋体" w:eastAsia="宋体" w:cs="宋体"/>
          <w:color w:val="auto"/>
          <w:sz w:val="24"/>
          <w:szCs w:val="24"/>
          <w:highlight w:val="lightGray"/>
        </w:rPr>
        <w:t>评价范围详见</w:t>
      </w:r>
      <w:r>
        <w:rPr>
          <w:rFonts w:hint="eastAsia" w:ascii="宋体" w:hAnsi="宋体" w:eastAsia="宋体" w:cs="宋体"/>
          <w:color w:val="auto"/>
          <w:sz w:val="24"/>
          <w:szCs w:val="24"/>
          <w:highlight w:val="lightGray"/>
          <w:lang w:val="en-US" w:eastAsia="zh-CN"/>
        </w:rPr>
        <w:t>附</w:t>
      </w:r>
      <w:r>
        <w:rPr>
          <w:rFonts w:hint="eastAsia" w:ascii="宋体" w:hAnsi="宋体" w:eastAsia="宋体" w:cs="宋体"/>
          <w:color w:val="auto"/>
          <w:sz w:val="24"/>
          <w:szCs w:val="24"/>
          <w:highlight w:val="lightGray"/>
        </w:rPr>
        <w:t>图</w:t>
      </w:r>
      <w:r>
        <w:rPr>
          <w:rFonts w:hint="eastAsia" w:ascii="宋体" w:hAnsi="宋体" w:eastAsia="宋体" w:cs="宋体"/>
          <w:color w:val="auto"/>
          <w:sz w:val="24"/>
          <w:szCs w:val="24"/>
          <w:highlight w:val="lightGray"/>
          <w:lang w:val="en-US" w:eastAsia="zh-CN"/>
        </w:rPr>
        <w:t>6</w:t>
      </w:r>
      <w:r>
        <w:rPr>
          <w:rFonts w:hint="eastAsia" w:ascii="宋体" w:hAnsi="宋体" w:eastAsia="宋体" w:cs="宋体"/>
          <w:color w:val="auto"/>
          <w:sz w:val="24"/>
          <w:szCs w:val="24"/>
          <w:highlight w:val="lightGray"/>
        </w:rPr>
        <w:t>。</w:t>
      </w:r>
    </w:p>
    <w:p w14:paraId="6F5FDCFC">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lang w:val="en-US" w:eastAsia="zh-CN"/>
        </w:rPr>
        <w:t>3</w:t>
      </w:r>
      <w:r>
        <w:rPr>
          <w:rFonts w:hint="eastAsia" w:ascii="宋体" w:hAnsi="宋体" w:eastAsia="宋体" w:cs="宋体"/>
          <w:b/>
          <w:color w:val="auto"/>
          <w:sz w:val="24"/>
          <w:szCs w:val="24"/>
          <w:highlight w:val="none"/>
        </w:rPr>
        <w:t>、</w:t>
      </w:r>
      <w:r>
        <w:rPr>
          <w:rFonts w:hint="eastAsia" w:ascii="宋体" w:hAnsi="宋体" w:eastAsia="宋体" w:cs="宋体"/>
          <w:b/>
          <w:color w:val="auto"/>
          <w:sz w:val="24"/>
          <w:szCs w:val="24"/>
          <w:highlight w:val="none"/>
          <w:lang w:val="en-US" w:eastAsia="zh-CN"/>
        </w:rPr>
        <w:t>噪声</w:t>
      </w:r>
      <w:r>
        <w:rPr>
          <w:rFonts w:hint="eastAsia" w:ascii="宋体" w:hAnsi="宋体" w:eastAsia="宋体" w:cs="宋体"/>
          <w:b/>
          <w:color w:val="auto"/>
          <w:sz w:val="24"/>
          <w:szCs w:val="24"/>
          <w:highlight w:val="none"/>
        </w:rPr>
        <w:t>保护目标调查</w:t>
      </w:r>
    </w:p>
    <w:p w14:paraId="687F48A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本项目环境保护目标见表</w:t>
      </w:r>
      <w:r>
        <w:rPr>
          <w:rFonts w:hint="eastAsia" w:ascii="宋体" w:hAnsi="宋体" w:eastAsia="宋体" w:cs="宋体"/>
          <w:color w:val="auto"/>
          <w:sz w:val="24"/>
          <w:szCs w:val="24"/>
          <w:highlight w:val="none"/>
          <w:lang w:val="en-US" w:eastAsia="zh-CN"/>
        </w:rPr>
        <w:t>3</w:t>
      </w:r>
      <w:r>
        <w:rPr>
          <w:rFonts w:hint="eastAsia" w:ascii="宋体" w:hAnsi="宋体" w:cs="宋体"/>
          <w:color w:val="auto"/>
          <w:sz w:val="24"/>
          <w:szCs w:val="24"/>
          <w:highlight w:val="none"/>
          <w:lang w:val="en-US" w:eastAsia="zh-CN"/>
        </w:rPr>
        <w:t>及</w:t>
      </w:r>
      <w:r>
        <w:rPr>
          <w:rFonts w:hint="eastAsia" w:ascii="宋体" w:hAnsi="宋体" w:eastAsia="宋体" w:cs="宋体"/>
          <w:color w:val="auto"/>
          <w:sz w:val="24"/>
          <w:szCs w:val="24"/>
          <w:highlight w:val="none"/>
        </w:rPr>
        <w:t>附图</w:t>
      </w:r>
      <w:r>
        <w:rPr>
          <w:rFonts w:hint="eastAsia" w:ascii="宋体" w:hAnsi="宋体" w:cs="宋体"/>
          <w:color w:val="auto"/>
          <w:sz w:val="24"/>
          <w:szCs w:val="24"/>
          <w:highlight w:val="none"/>
          <w:lang w:val="en-US" w:eastAsia="zh-CN"/>
        </w:rPr>
        <w:t>7</w:t>
      </w:r>
      <w:r>
        <w:rPr>
          <w:rFonts w:hint="eastAsia" w:ascii="宋体" w:hAnsi="宋体" w:eastAsia="宋体" w:cs="宋体"/>
          <w:color w:val="auto"/>
          <w:sz w:val="24"/>
          <w:szCs w:val="24"/>
          <w:highlight w:val="none"/>
        </w:rPr>
        <w:t>。</w:t>
      </w:r>
    </w:p>
    <w:p w14:paraId="79BA0E74">
      <w:pPr>
        <w:spacing w:line="20" w:lineRule="exact"/>
        <w:rPr>
          <w:rFonts w:hint="eastAsia" w:ascii="宋体" w:hAnsi="宋体" w:eastAsia="宋体" w:cs="宋体"/>
          <w:color w:val="auto"/>
          <w:sz w:val="24"/>
          <w:szCs w:val="24"/>
          <w:highlight w:val="none"/>
        </w:rPr>
        <w:sectPr>
          <w:footerReference r:id="rId15"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type="lines" w:linePitch="312" w:charSpace="0"/>
        </w:sectPr>
      </w:pPr>
    </w:p>
    <w:p w14:paraId="540CBBE7">
      <w:pPr>
        <w:autoSpaceDE w:val="0"/>
        <w:autoSpaceDN w:val="0"/>
        <w:adjustRightInd w:val="0"/>
        <w:spacing w:line="240" w:lineRule="auto"/>
        <w:ind w:firstLine="0" w:firstLineChars="0"/>
        <w:jc w:val="center"/>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表</w:t>
      </w:r>
      <w:r>
        <w:rPr>
          <w:rFonts w:hint="eastAsia" w:ascii="宋体" w:hAnsi="宋体" w:eastAsia="宋体" w:cs="宋体"/>
          <w:b/>
          <w:bCs/>
          <w:color w:val="auto"/>
          <w:kern w:val="0"/>
          <w:sz w:val="21"/>
          <w:szCs w:val="21"/>
          <w:highlight w:val="none"/>
          <w:lang w:val="en-US" w:eastAsia="zh-CN"/>
        </w:rPr>
        <w:t>3</w:t>
      </w:r>
      <w:r>
        <w:rPr>
          <w:rFonts w:hint="eastAsia" w:ascii="宋体" w:hAnsi="宋体" w:eastAsia="宋体" w:cs="宋体"/>
          <w:b/>
          <w:bCs/>
          <w:color w:val="auto"/>
          <w:kern w:val="0"/>
          <w:sz w:val="21"/>
          <w:szCs w:val="21"/>
          <w:highlight w:val="none"/>
        </w:rPr>
        <w:t xml:space="preserve">  声环境保护目标</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662"/>
        <w:gridCol w:w="1504"/>
        <w:gridCol w:w="984"/>
        <w:gridCol w:w="687"/>
        <w:gridCol w:w="499"/>
        <w:gridCol w:w="1062"/>
        <w:gridCol w:w="1253"/>
        <w:gridCol w:w="754"/>
        <w:gridCol w:w="536"/>
        <w:gridCol w:w="970"/>
        <w:gridCol w:w="1337"/>
        <w:gridCol w:w="2770"/>
      </w:tblGrid>
      <w:tr w14:paraId="0A624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62" w:type="pct"/>
            <w:noWrap w:val="0"/>
            <w:vAlign w:val="center"/>
          </w:tcPr>
          <w:p w14:paraId="70A8B384">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rPr>
              <w:t>序号</w:t>
            </w:r>
          </w:p>
        </w:tc>
        <w:tc>
          <w:tcPr>
            <w:tcW w:w="246" w:type="pct"/>
            <w:noWrap w:val="0"/>
            <w:vAlign w:val="center"/>
          </w:tcPr>
          <w:p w14:paraId="093DF7B4">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保护目标名称</w:t>
            </w:r>
          </w:p>
        </w:tc>
        <w:tc>
          <w:tcPr>
            <w:tcW w:w="558" w:type="pct"/>
            <w:noWrap w:val="0"/>
            <w:vAlign w:val="center"/>
          </w:tcPr>
          <w:p w14:paraId="6AE58A5D">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val="en-US" w:eastAsia="zh-CN"/>
              </w:rPr>
              <w:t>所在路段</w:t>
            </w:r>
          </w:p>
        </w:tc>
        <w:tc>
          <w:tcPr>
            <w:tcW w:w="365" w:type="pct"/>
            <w:noWrap w:val="0"/>
            <w:vAlign w:val="center"/>
          </w:tcPr>
          <w:p w14:paraId="054193C2">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val="en-US" w:eastAsia="zh-CN"/>
              </w:rPr>
              <w:t>里程范围</w:t>
            </w:r>
          </w:p>
        </w:tc>
        <w:tc>
          <w:tcPr>
            <w:tcW w:w="255" w:type="pct"/>
            <w:noWrap w:val="0"/>
            <w:vAlign w:val="center"/>
          </w:tcPr>
          <w:p w14:paraId="6323A4F4">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线路形式</w:t>
            </w:r>
          </w:p>
        </w:tc>
        <w:tc>
          <w:tcPr>
            <w:tcW w:w="185" w:type="pct"/>
            <w:noWrap w:val="0"/>
            <w:vAlign w:val="center"/>
          </w:tcPr>
          <w:p w14:paraId="0F5648F6">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方位</w:t>
            </w:r>
          </w:p>
        </w:tc>
        <w:tc>
          <w:tcPr>
            <w:tcW w:w="394" w:type="pct"/>
            <w:noWrap w:val="0"/>
            <w:vAlign w:val="center"/>
          </w:tcPr>
          <w:p w14:paraId="3A11C2F3">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val="en-US" w:eastAsia="zh-CN"/>
              </w:rPr>
              <w:t>距</w:t>
            </w:r>
            <w:r>
              <w:rPr>
                <w:rFonts w:hint="eastAsia" w:ascii="宋体" w:hAnsi="宋体" w:eastAsia="宋体" w:cs="宋体"/>
                <w:color w:val="auto"/>
                <w:sz w:val="21"/>
                <w:szCs w:val="21"/>
                <w:highlight w:val="none"/>
                <w:u w:val="none"/>
              </w:rPr>
              <w:t>道路</w:t>
            </w:r>
            <w:r>
              <w:rPr>
                <w:rFonts w:hint="eastAsia" w:ascii="宋体" w:hAnsi="宋体" w:eastAsia="宋体" w:cs="宋体"/>
                <w:color w:val="auto"/>
                <w:sz w:val="21"/>
                <w:szCs w:val="21"/>
                <w:highlight w:val="none"/>
                <w:u w:val="none"/>
                <w:lang w:val="en-US" w:eastAsia="zh-CN"/>
              </w:rPr>
              <w:t>边界线</w:t>
            </w:r>
            <w:r>
              <w:rPr>
                <w:rFonts w:hint="eastAsia" w:ascii="宋体" w:hAnsi="宋体" w:eastAsia="宋体" w:cs="宋体"/>
                <w:color w:val="auto"/>
                <w:sz w:val="21"/>
                <w:szCs w:val="21"/>
                <w:highlight w:val="none"/>
                <w:u w:val="none"/>
              </w:rPr>
              <w:t>/中心线距离（m）</w:t>
            </w:r>
          </w:p>
        </w:tc>
        <w:tc>
          <w:tcPr>
            <w:tcW w:w="465" w:type="pct"/>
            <w:noWrap w:val="0"/>
            <w:vAlign w:val="center"/>
          </w:tcPr>
          <w:p w14:paraId="1A45F058">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val="en-US" w:eastAsia="zh-CN"/>
              </w:rPr>
              <w:t>声环境保护目标预测点与路面</w:t>
            </w:r>
            <w:r>
              <w:rPr>
                <w:rFonts w:hint="eastAsia" w:ascii="宋体" w:hAnsi="宋体" w:eastAsia="宋体" w:cs="宋体"/>
                <w:color w:val="auto"/>
                <w:sz w:val="21"/>
                <w:szCs w:val="21"/>
                <w:highlight w:val="none"/>
                <w:u w:val="none"/>
              </w:rPr>
              <w:t>高差（m）</w:t>
            </w:r>
          </w:p>
        </w:tc>
        <w:tc>
          <w:tcPr>
            <w:tcW w:w="280" w:type="pct"/>
            <w:noWrap w:val="0"/>
            <w:vAlign w:val="center"/>
          </w:tcPr>
          <w:p w14:paraId="3F260B88">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val="en-US" w:eastAsia="zh-CN"/>
              </w:rPr>
              <w:t>不同功能区</w:t>
            </w:r>
            <w:r>
              <w:rPr>
                <w:rFonts w:hint="eastAsia" w:ascii="宋体" w:hAnsi="宋体" w:eastAsia="宋体" w:cs="宋体"/>
                <w:color w:val="auto"/>
                <w:sz w:val="21"/>
                <w:szCs w:val="21"/>
                <w:highlight w:val="none"/>
                <w:u w:val="none"/>
              </w:rPr>
              <w:t>户数</w:t>
            </w:r>
          </w:p>
        </w:tc>
        <w:tc>
          <w:tcPr>
            <w:tcW w:w="199" w:type="pct"/>
            <w:noWrap w:val="0"/>
            <w:vAlign w:val="center"/>
          </w:tcPr>
          <w:p w14:paraId="18877D64">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rPr>
              <w:t>层数</w:t>
            </w:r>
          </w:p>
        </w:tc>
        <w:tc>
          <w:tcPr>
            <w:tcW w:w="360" w:type="pct"/>
            <w:noWrap w:val="0"/>
            <w:vAlign w:val="center"/>
          </w:tcPr>
          <w:p w14:paraId="2B71B059">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不同功能区人口数量</w:t>
            </w:r>
          </w:p>
        </w:tc>
        <w:tc>
          <w:tcPr>
            <w:tcW w:w="496" w:type="pct"/>
            <w:noWrap w:val="0"/>
            <w:vAlign w:val="center"/>
          </w:tcPr>
          <w:p w14:paraId="35878922">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rPr>
              <w:t>环境特征</w:t>
            </w:r>
          </w:p>
        </w:tc>
        <w:tc>
          <w:tcPr>
            <w:tcW w:w="1028" w:type="pct"/>
            <w:noWrap w:val="0"/>
            <w:vAlign w:val="center"/>
          </w:tcPr>
          <w:p w14:paraId="3EBF0E29">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rPr>
              <w:t>敏感点卫星图</w:t>
            </w:r>
          </w:p>
        </w:tc>
      </w:tr>
      <w:tr w14:paraId="02A3E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 w:type="pct"/>
            <w:noWrap w:val="0"/>
            <w:vAlign w:val="center"/>
          </w:tcPr>
          <w:p w14:paraId="299A0CEE">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rPr>
            </w:pPr>
            <w:r>
              <w:rPr>
                <w:rFonts w:hint="eastAsia" w:ascii="宋体" w:hAnsi="宋体" w:eastAsia="宋体" w:cs="宋体"/>
                <w:color w:val="auto"/>
                <w:sz w:val="21"/>
                <w:szCs w:val="21"/>
                <w:highlight w:val="yellow"/>
                <w:u w:val="none"/>
              </w:rPr>
              <w:t>1</w:t>
            </w:r>
          </w:p>
        </w:tc>
        <w:tc>
          <w:tcPr>
            <w:tcW w:w="246" w:type="pct"/>
            <w:noWrap w:val="0"/>
            <w:vAlign w:val="center"/>
          </w:tcPr>
          <w:p w14:paraId="6C779283">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南侧平房居民</w:t>
            </w:r>
          </w:p>
        </w:tc>
        <w:tc>
          <w:tcPr>
            <w:tcW w:w="558" w:type="pct"/>
            <w:noWrap w:val="0"/>
            <w:vAlign w:val="center"/>
          </w:tcPr>
          <w:p w14:paraId="4CE15665">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rPr>
            </w:pPr>
            <w:r>
              <w:rPr>
                <w:rFonts w:hint="eastAsia" w:ascii="宋体" w:hAnsi="宋体" w:eastAsia="宋体" w:cs="宋体"/>
                <w:color w:val="auto"/>
                <w:sz w:val="21"/>
                <w:szCs w:val="21"/>
                <w:highlight w:val="yellow"/>
                <w:u w:val="none"/>
                <w:lang w:val="en-US" w:eastAsia="zh-CN"/>
              </w:rPr>
              <w:t>桩号 K6+760~K8+175</w:t>
            </w:r>
          </w:p>
        </w:tc>
        <w:tc>
          <w:tcPr>
            <w:tcW w:w="365" w:type="pct"/>
            <w:noWrap w:val="0"/>
            <w:vAlign w:val="center"/>
          </w:tcPr>
          <w:p w14:paraId="13D13ADE">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980m</w:t>
            </w:r>
          </w:p>
        </w:tc>
        <w:tc>
          <w:tcPr>
            <w:tcW w:w="255" w:type="pct"/>
            <w:noWrap w:val="0"/>
            <w:vAlign w:val="center"/>
          </w:tcPr>
          <w:p w14:paraId="38150442">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路基</w:t>
            </w:r>
          </w:p>
        </w:tc>
        <w:tc>
          <w:tcPr>
            <w:tcW w:w="185" w:type="pct"/>
            <w:noWrap w:val="0"/>
            <w:vAlign w:val="center"/>
          </w:tcPr>
          <w:p w14:paraId="6FC0917C">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左侧</w:t>
            </w:r>
          </w:p>
        </w:tc>
        <w:tc>
          <w:tcPr>
            <w:tcW w:w="394" w:type="pct"/>
            <w:noWrap w:val="0"/>
            <w:vAlign w:val="center"/>
          </w:tcPr>
          <w:p w14:paraId="041AA2EA">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rPr>
            </w:pPr>
            <w:r>
              <w:rPr>
                <w:rFonts w:hint="eastAsia" w:ascii="宋体" w:hAnsi="宋体" w:eastAsia="宋体" w:cs="宋体"/>
                <w:color w:val="auto"/>
                <w:sz w:val="21"/>
                <w:szCs w:val="21"/>
                <w:highlight w:val="yellow"/>
                <w:u w:val="none"/>
                <w:lang w:val="en-US" w:eastAsia="zh-CN"/>
              </w:rPr>
              <w:t>10</w:t>
            </w:r>
            <w:r>
              <w:rPr>
                <w:rFonts w:hint="eastAsia" w:ascii="宋体" w:hAnsi="宋体" w:eastAsia="宋体" w:cs="宋体"/>
                <w:color w:val="auto"/>
                <w:sz w:val="21"/>
                <w:szCs w:val="21"/>
                <w:highlight w:val="yellow"/>
                <w:u w:val="none"/>
              </w:rPr>
              <w:t>/</w:t>
            </w:r>
            <w:r>
              <w:rPr>
                <w:rFonts w:hint="eastAsia" w:ascii="宋体" w:hAnsi="宋体" w:eastAsia="宋体" w:cs="宋体"/>
                <w:color w:val="auto"/>
                <w:sz w:val="21"/>
                <w:szCs w:val="21"/>
                <w:highlight w:val="yellow"/>
                <w:u w:val="none"/>
                <w:lang w:val="en-US" w:eastAsia="zh-CN"/>
              </w:rPr>
              <w:t>15</w:t>
            </w:r>
          </w:p>
        </w:tc>
        <w:tc>
          <w:tcPr>
            <w:tcW w:w="465" w:type="pct"/>
            <w:noWrap w:val="0"/>
            <w:vAlign w:val="center"/>
          </w:tcPr>
          <w:p w14:paraId="78DEBD06">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rPr>
              <w:t>0-</w:t>
            </w:r>
            <w:r>
              <w:rPr>
                <w:rFonts w:hint="eastAsia" w:ascii="宋体" w:hAnsi="宋体" w:eastAsia="宋体" w:cs="宋体"/>
                <w:color w:val="auto"/>
                <w:sz w:val="21"/>
                <w:szCs w:val="21"/>
                <w:highlight w:val="yellow"/>
                <w:u w:val="none"/>
                <w:lang w:val="en-US" w:eastAsia="zh-CN"/>
              </w:rPr>
              <w:t>2</w:t>
            </w:r>
          </w:p>
        </w:tc>
        <w:tc>
          <w:tcPr>
            <w:tcW w:w="280" w:type="pct"/>
            <w:noWrap w:val="0"/>
            <w:vAlign w:val="center"/>
          </w:tcPr>
          <w:p w14:paraId="75E371EA">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48</w:t>
            </w:r>
          </w:p>
        </w:tc>
        <w:tc>
          <w:tcPr>
            <w:tcW w:w="199" w:type="pct"/>
            <w:noWrap w:val="0"/>
            <w:vAlign w:val="center"/>
          </w:tcPr>
          <w:p w14:paraId="3174A6CF">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rPr>
            </w:pPr>
            <w:r>
              <w:rPr>
                <w:rFonts w:hint="eastAsia" w:ascii="宋体" w:hAnsi="宋体" w:eastAsia="宋体" w:cs="宋体"/>
                <w:color w:val="auto"/>
                <w:sz w:val="21"/>
                <w:szCs w:val="21"/>
                <w:highlight w:val="yellow"/>
                <w:u w:val="none"/>
              </w:rPr>
              <w:t>1</w:t>
            </w:r>
          </w:p>
        </w:tc>
        <w:tc>
          <w:tcPr>
            <w:tcW w:w="360" w:type="pct"/>
            <w:noWrap w:val="0"/>
            <w:vAlign w:val="center"/>
          </w:tcPr>
          <w:p w14:paraId="219A84A2">
            <w:pPr>
              <w:pStyle w:val="14"/>
              <w:keepNext w:val="0"/>
              <w:keepLines w:val="0"/>
              <w:pageBreakBefore w:val="0"/>
              <w:kinsoku/>
              <w:wordWrap/>
              <w:overflowPunct/>
              <w:topLinePunct w:val="0"/>
              <w:autoSpaceDE/>
              <w:autoSpaceDN/>
              <w:bidi w:val="0"/>
              <w:adjustRightInd/>
              <w:spacing w:before="0" w:after="0" w:line="240" w:lineRule="auto"/>
              <w:ind w:right="0" w:firstLine="0" w:firstLineChars="0"/>
              <w:jc w:val="center"/>
              <w:textAlignment w:val="auto"/>
              <w:rPr>
                <w:rFonts w:hint="eastAsia" w:ascii="宋体" w:hAnsi="宋体" w:eastAsia="宋体" w:cs="宋体"/>
                <w:highlight w:val="yellow"/>
                <w:lang w:val="en-US" w:eastAsia="zh-CN"/>
              </w:rPr>
            </w:pPr>
            <w:r>
              <w:rPr>
                <w:rFonts w:hint="eastAsia" w:ascii="宋体" w:hAnsi="宋体" w:eastAsia="宋体" w:cs="宋体"/>
                <w:color w:val="auto"/>
                <w:sz w:val="21"/>
                <w:szCs w:val="21"/>
                <w:highlight w:val="yellow"/>
                <w:u w:val="none"/>
                <w:lang w:val="en-US" w:eastAsia="zh-CN"/>
              </w:rPr>
              <w:t>4a类区27人</w:t>
            </w:r>
          </w:p>
        </w:tc>
        <w:tc>
          <w:tcPr>
            <w:tcW w:w="496" w:type="pct"/>
            <w:noWrap w:val="0"/>
            <w:vAlign w:val="center"/>
          </w:tcPr>
          <w:p w14:paraId="53B907AF">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eastAsia="zh-CN"/>
              </w:rPr>
            </w:pPr>
            <w:r>
              <w:rPr>
                <w:rFonts w:hint="eastAsia" w:ascii="宋体" w:hAnsi="宋体" w:eastAsia="宋体" w:cs="宋体"/>
                <w:color w:val="auto"/>
                <w:sz w:val="21"/>
                <w:szCs w:val="21"/>
                <w:highlight w:val="yellow"/>
                <w:u w:val="none"/>
              </w:rPr>
              <w:t>本项目</w:t>
            </w:r>
            <w:r>
              <w:rPr>
                <w:rFonts w:hint="eastAsia" w:ascii="宋体" w:hAnsi="宋体" w:eastAsia="宋体" w:cs="宋体"/>
                <w:color w:val="auto"/>
                <w:sz w:val="21"/>
                <w:szCs w:val="21"/>
                <w:highlight w:val="yellow"/>
                <w:u w:val="none"/>
                <w:lang w:val="en-US" w:eastAsia="zh-CN"/>
              </w:rPr>
              <w:t>北侧为岭西林场，南侧为平房居民</w:t>
            </w:r>
          </w:p>
        </w:tc>
        <w:tc>
          <w:tcPr>
            <w:tcW w:w="1028" w:type="pct"/>
            <w:noWrap w:val="0"/>
            <w:vAlign w:val="center"/>
          </w:tcPr>
          <w:p w14:paraId="30084A16">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eastAsia="zh-CN"/>
              </w:rPr>
            </w:pPr>
            <w:r>
              <w:rPr>
                <w:rFonts w:hint="eastAsia" w:ascii="宋体" w:hAnsi="宋体" w:eastAsia="宋体" w:cs="宋体"/>
                <w:highlight w:val="yellow"/>
              </w:rPr>
              <w:drawing>
                <wp:inline distT="0" distB="0" distL="114300" distR="114300">
                  <wp:extent cx="1447800" cy="950595"/>
                  <wp:effectExtent l="0" t="0" r="0" b="1905"/>
                  <wp:docPr id="1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8"/>
                          <pic:cNvPicPr>
                            <a:picLocks noChangeAspect="1"/>
                          </pic:cNvPicPr>
                        </pic:nvPicPr>
                        <pic:blipFill>
                          <a:blip r:embed="rId96"/>
                          <a:stretch>
                            <a:fillRect/>
                          </a:stretch>
                        </pic:blipFill>
                        <pic:spPr>
                          <a:xfrm>
                            <a:off x="0" y="0"/>
                            <a:ext cx="1447800" cy="950595"/>
                          </a:xfrm>
                          <a:prstGeom prst="rect">
                            <a:avLst/>
                          </a:prstGeom>
                          <a:noFill/>
                          <a:ln>
                            <a:noFill/>
                          </a:ln>
                        </pic:spPr>
                      </pic:pic>
                    </a:graphicData>
                  </a:graphic>
                </wp:inline>
              </w:drawing>
            </w:r>
          </w:p>
        </w:tc>
      </w:tr>
      <w:tr w14:paraId="21E45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 w:type="pct"/>
            <w:noWrap w:val="0"/>
            <w:vAlign w:val="center"/>
          </w:tcPr>
          <w:p w14:paraId="15152A79">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2</w:t>
            </w:r>
          </w:p>
        </w:tc>
        <w:tc>
          <w:tcPr>
            <w:tcW w:w="246" w:type="pct"/>
            <w:noWrap w:val="0"/>
            <w:vAlign w:val="center"/>
          </w:tcPr>
          <w:p w14:paraId="2B4A9BAC">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南侧平房居民</w:t>
            </w:r>
          </w:p>
        </w:tc>
        <w:tc>
          <w:tcPr>
            <w:tcW w:w="558" w:type="pct"/>
            <w:noWrap w:val="0"/>
            <w:vAlign w:val="center"/>
          </w:tcPr>
          <w:p w14:paraId="5AE8AD3E">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桩号 K6+760~K8+175</w:t>
            </w:r>
          </w:p>
        </w:tc>
        <w:tc>
          <w:tcPr>
            <w:tcW w:w="365" w:type="pct"/>
            <w:noWrap w:val="0"/>
            <w:vAlign w:val="center"/>
          </w:tcPr>
          <w:p w14:paraId="59611673">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980m</w:t>
            </w:r>
          </w:p>
        </w:tc>
        <w:tc>
          <w:tcPr>
            <w:tcW w:w="255" w:type="pct"/>
            <w:noWrap w:val="0"/>
            <w:vAlign w:val="center"/>
          </w:tcPr>
          <w:p w14:paraId="30E83315">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路基</w:t>
            </w:r>
          </w:p>
        </w:tc>
        <w:tc>
          <w:tcPr>
            <w:tcW w:w="185" w:type="pct"/>
            <w:noWrap w:val="0"/>
            <w:vAlign w:val="center"/>
          </w:tcPr>
          <w:p w14:paraId="1C507344">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左侧</w:t>
            </w:r>
          </w:p>
        </w:tc>
        <w:tc>
          <w:tcPr>
            <w:tcW w:w="394" w:type="pct"/>
            <w:shd w:val="clear" w:color="auto" w:fill="auto"/>
            <w:noWrap w:val="0"/>
            <w:vAlign w:val="center"/>
          </w:tcPr>
          <w:p w14:paraId="69F13C5E">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yellow"/>
                <w:u w:val="none"/>
                <w:lang w:val="en-US" w:eastAsia="zh-CN" w:bidi="ar-SA"/>
              </w:rPr>
            </w:pPr>
            <w:r>
              <w:rPr>
                <w:rFonts w:hint="eastAsia" w:ascii="宋体" w:hAnsi="宋体" w:eastAsia="宋体" w:cs="宋体"/>
                <w:color w:val="auto"/>
                <w:sz w:val="21"/>
                <w:szCs w:val="21"/>
                <w:highlight w:val="yellow"/>
                <w:u w:val="none"/>
                <w:lang w:val="en-US" w:eastAsia="zh-CN"/>
              </w:rPr>
              <w:t>40</w:t>
            </w:r>
            <w:r>
              <w:rPr>
                <w:rFonts w:hint="eastAsia" w:ascii="宋体" w:hAnsi="宋体" w:eastAsia="宋体" w:cs="宋体"/>
                <w:color w:val="auto"/>
                <w:sz w:val="21"/>
                <w:szCs w:val="21"/>
                <w:highlight w:val="yellow"/>
                <w:u w:val="none"/>
              </w:rPr>
              <w:t>/</w:t>
            </w:r>
            <w:r>
              <w:rPr>
                <w:rFonts w:hint="eastAsia" w:ascii="宋体" w:hAnsi="宋体" w:eastAsia="宋体" w:cs="宋体"/>
                <w:color w:val="auto"/>
                <w:sz w:val="21"/>
                <w:szCs w:val="21"/>
                <w:highlight w:val="yellow"/>
                <w:u w:val="none"/>
                <w:lang w:val="en-US" w:eastAsia="zh-CN"/>
              </w:rPr>
              <w:t>15</w:t>
            </w:r>
          </w:p>
        </w:tc>
        <w:tc>
          <w:tcPr>
            <w:tcW w:w="465" w:type="pct"/>
            <w:shd w:val="clear" w:color="auto" w:fill="auto"/>
            <w:noWrap w:val="0"/>
            <w:vAlign w:val="center"/>
          </w:tcPr>
          <w:p w14:paraId="6CB5D076">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yellow"/>
                <w:u w:val="none"/>
                <w:lang w:val="en-US" w:eastAsia="zh-CN" w:bidi="ar-SA"/>
              </w:rPr>
            </w:pPr>
            <w:r>
              <w:rPr>
                <w:rFonts w:hint="eastAsia" w:ascii="宋体" w:hAnsi="宋体" w:eastAsia="宋体" w:cs="宋体"/>
                <w:color w:val="auto"/>
                <w:sz w:val="21"/>
                <w:szCs w:val="21"/>
                <w:highlight w:val="yellow"/>
                <w:u w:val="none"/>
              </w:rPr>
              <w:t>0-</w:t>
            </w:r>
            <w:r>
              <w:rPr>
                <w:rFonts w:hint="eastAsia" w:ascii="宋体" w:hAnsi="宋体" w:eastAsia="宋体" w:cs="宋体"/>
                <w:color w:val="auto"/>
                <w:sz w:val="21"/>
                <w:szCs w:val="21"/>
                <w:highlight w:val="yellow"/>
                <w:u w:val="none"/>
                <w:lang w:val="en-US" w:eastAsia="zh-CN"/>
              </w:rPr>
              <w:t>2</w:t>
            </w:r>
          </w:p>
        </w:tc>
        <w:tc>
          <w:tcPr>
            <w:tcW w:w="280" w:type="pct"/>
            <w:shd w:val="clear" w:color="auto" w:fill="auto"/>
            <w:noWrap w:val="0"/>
            <w:vAlign w:val="center"/>
          </w:tcPr>
          <w:p w14:paraId="6893B061">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yellow"/>
                <w:u w:val="none"/>
                <w:lang w:val="en-US" w:eastAsia="zh-CN" w:bidi="ar-SA"/>
              </w:rPr>
            </w:pPr>
            <w:r>
              <w:rPr>
                <w:rFonts w:hint="eastAsia" w:ascii="宋体" w:hAnsi="宋体" w:eastAsia="宋体" w:cs="宋体"/>
                <w:color w:val="auto"/>
                <w:sz w:val="21"/>
                <w:szCs w:val="21"/>
                <w:highlight w:val="yellow"/>
                <w:u w:val="none"/>
                <w:lang w:val="en-US" w:eastAsia="zh-CN"/>
              </w:rPr>
              <w:t>48</w:t>
            </w:r>
          </w:p>
        </w:tc>
        <w:tc>
          <w:tcPr>
            <w:tcW w:w="199" w:type="pct"/>
            <w:noWrap w:val="0"/>
            <w:vAlign w:val="center"/>
          </w:tcPr>
          <w:p w14:paraId="1E2AA4E2">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1</w:t>
            </w:r>
          </w:p>
        </w:tc>
        <w:tc>
          <w:tcPr>
            <w:tcW w:w="360" w:type="pct"/>
            <w:noWrap w:val="0"/>
            <w:vAlign w:val="center"/>
          </w:tcPr>
          <w:p w14:paraId="0B4B033E">
            <w:pPr>
              <w:keepNext w:val="0"/>
              <w:keepLines w:val="0"/>
              <w:pageBreakBefore w:val="0"/>
              <w:kinsoku/>
              <w:wordWrap/>
              <w:overflowPunct/>
              <w:topLinePunct w:val="0"/>
              <w:autoSpaceDE/>
              <w:autoSpaceDN/>
              <w:bidi w:val="0"/>
              <w:adjustRightInd/>
              <w:spacing w:line="240" w:lineRule="auto"/>
              <w:ind w:right="0" w:firstLine="0" w:firstLineChars="0"/>
              <w:jc w:val="center"/>
              <w:textAlignment w:val="auto"/>
              <w:rPr>
                <w:rFonts w:hint="eastAsia" w:ascii="宋体" w:hAnsi="宋体" w:eastAsia="宋体" w:cs="宋体"/>
                <w:color w:val="auto"/>
                <w:sz w:val="21"/>
                <w:szCs w:val="21"/>
                <w:highlight w:val="yellow"/>
                <w:u w:val="none"/>
                <w:lang w:val="en-US" w:eastAsia="zh-CN"/>
              </w:rPr>
            </w:pPr>
            <w:r>
              <w:rPr>
                <w:rFonts w:hint="eastAsia" w:ascii="宋体" w:hAnsi="宋体" w:eastAsia="宋体" w:cs="宋体"/>
                <w:color w:val="auto"/>
                <w:sz w:val="21"/>
                <w:szCs w:val="21"/>
                <w:highlight w:val="yellow"/>
                <w:u w:val="none"/>
                <w:lang w:val="en-US" w:eastAsia="zh-CN"/>
              </w:rPr>
              <w:t>2类区117人</w:t>
            </w:r>
          </w:p>
        </w:tc>
        <w:tc>
          <w:tcPr>
            <w:tcW w:w="496" w:type="pct"/>
            <w:noWrap w:val="0"/>
            <w:vAlign w:val="center"/>
          </w:tcPr>
          <w:p w14:paraId="1AA68523">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yellow"/>
                <w:u w:val="none"/>
              </w:rPr>
            </w:pPr>
            <w:r>
              <w:rPr>
                <w:rFonts w:hint="eastAsia" w:ascii="宋体" w:hAnsi="宋体" w:eastAsia="宋体" w:cs="宋体"/>
                <w:color w:val="auto"/>
                <w:sz w:val="21"/>
                <w:szCs w:val="21"/>
                <w:highlight w:val="yellow"/>
                <w:u w:val="none"/>
              </w:rPr>
              <w:t>本项目</w:t>
            </w:r>
            <w:r>
              <w:rPr>
                <w:rFonts w:hint="eastAsia" w:ascii="宋体" w:hAnsi="宋体" w:eastAsia="宋体" w:cs="宋体"/>
                <w:color w:val="auto"/>
                <w:sz w:val="21"/>
                <w:szCs w:val="21"/>
                <w:highlight w:val="yellow"/>
                <w:u w:val="none"/>
                <w:lang w:val="en-US" w:eastAsia="zh-CN"/>
              </w:rPr>
              <w:t>北侧为岭西林场，南侧为平房居民</w:t>
            </w:r>
          </w:p>
        </w:tc>
        <w:tc>
          <w:tcPr>
            <w:tcW w:w="1028" w:type="pct"/>
            <w:noWrap w:val="0"/>
            <w:vAlign w:val="center"/>
          </w:tcPr>
          <w:p w14:paraId="3A42C0CA">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highlight w:val="yellow"/>
                <w:u w:val="none"/>
              </w:rPr>
            </w:pPr>
            <w:r>
              <w:rPr>
                <w:rFonts w:hint="eastAsia" w:ascii="宋体" w:hAnsi="宋体" w:eastAsia="宋体" w:cs="宋体"/>
                <w:highlight w:val="yellow"/>
              </w:rPr>
              <w:drawing>
                <wp:inline distT="0" distB="0" distL="114300" distR="114300">
                  <wp:extent cx="1448435" cy="1662430"/>
                  <wp:effectExtent l="0" t="0" r="18415" b="13970"/>
                  <wp:docPr id="11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9"/>
                          <pic:cNvPicPr>
                            <a:picLocks noChangeAspect="1"/>
                          </pic:cNvPicPr>
                        </pic:nvPicPr>
                        <pic:blipFill>
                          <a:blip r:embed="rId97"/>
                          <a:stretch>
                            <a:fillRect/>
                          </a:stretch>
                        </pic:blipFill>
                        <pic:spPr>
                          <a:xfrm>
                            <a:off x="0" y="0"/>
                            <a:ext cx="1448435" cy="1662430"/>
                          </a:xfrm>
                          <a:prstGeom prst="rect">
                            <a:avLst/>
                          </a:prstGeom>
                          <a:noFill/>
                          <a:ln>
                            <a:noFill/>
                          </a:ln>
                        </pic:spPr>
                      </pic:pic>
                    </a:graphicData>
                  </a:graphic>
                </wp:inline>
              </w:drawing>
            </w:r>
          </w:p>
        </w:tc>
      </w:tr>
    </w:tbl>
    <w:p w14:paraId="5D132A74">
      <w:pPr>
        <w:pStyle w:val="14"/>
        <w:spacing w:before="0" w:after="0" w:line="240" w:lineRule="auto"/>
        <w:ind w:right="0" w:firstLine="0" w:firstLineChars="0"/>
        <w:rPr>
          <w:rFonts w:hint="eastAsia" w:ascii="宋体" w:hAnsi="宋体" w:eastAsia="宋体" w:cs="宋体"/>
          <w:highlight w:val="yellow"/>
          <w:lang w:eastAsia="zh-CN"/>
        </w:rPr>
      </w:pPr>
      <w:r>
        <w:rPr>
          <w:rFonts w:hint="eastAsia" w:ascii="宋体" w:hAnsi="宋体" w:eastAsia="宋体" w:cs="宋体"/>
          <w:highlight w:val="yellow"/>
          <w:lang w:eastAsia="zh-CN"/>
        </w:rPr>
        <w:drawing>
          <wp:inline distT="0" distB="0" distL="114300" distR="114300">
            <wp:extent cx="8386445" cy="3997960"/>
            <wp:effectExtent l="0" t="0" r="14605" b="2540"/>
            <wp:docPr id="93" name="图片 93" descr="de03f6532f3a207544eb5dfeba9d8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de03f6532f3a207544eb5dfeba9d8b8"/>
                    <pic:cNvPicPr>
                      <a:picLocks noChangeAspect="1"/>
                    </pic:cNvPicPr>
                  </pic:nvPicPr>
                  <pic:blipFill>
                    <a:blip r:embed="rId98"/>
                    <a:stretch>
                      <a:fillRect/>
                    </a:stretch>
                  </pic:blipFill>
                  <pic:spPr>
                    <a:xfrm>
                      <a:off x="0" y="0"/>
                      <a:ext cx="8386445" cy="3997960"/>
                    </a:xfrm>
                    <a:prstGeom prst="rect">
                      <a:avLst/>
                    </a:prstGeom>
                  </pic:spPr>
                </pic:pic>
              </a:graphicData>
            </a:graphic>
          </wp:inline>
        </w:drawing>
      </w:r>
    </w:p>
    <w:p w14:paraId="61763562">
      <w:pPr>
        <w:pStyle w:val="15"/>
        <w:jc w:val="center"/>
        <w:rPr>
          <w:rFonts w:hint="eastAsia" w:ascii="宋体" w:hAnsi="宋体" w:eastAsia="宋体" w:cs="宋体"/>
          <w:b/>
          <w:bCs/>
          <w:sz w:val="21"/>
          <w:szCs w:val="21"/>
          <w:highlight w:val="yellow"/>
          <w:lang w:eastAsia="zh-CN"/>
        </w:rPr>
      </w:pPr>
      <w:r>
        <w:rPr>
          <w:rFonts w:hint="eastAsia" w:ascii="宋体" w:hAnsi="宋体" w:eastAsia="宋体" w:cs="宋体"/>
          <w:b/>
          <w:bCs/>
          <w:color w:val="auto"/>
          <w:sz w:val="21"/>
          <w:szCs w:val="21"/>
          <w:highlight w:val="yellow"/>
          <w:u w:val="none"/>
          <w:lang w:val="en-US" w:eastAsia="zh-CN"/>
        </w:rPr>
        <w:t>图1 4a类区敏感目标现场照片</w:t>
      </w:r>
    </w:p>
    <w:p w14:paraId="5B5585D4">
      <w:pPr>
        <w:pStyle w:val="15"/>
        <w:spacing w:line="240" w:lineRule="auto"/>
        <w:ind w:firstLine="0" w:firstLineChars="0"/>
        <w:rPr>
          <w:rFonts w:hint="eastAsia" w:ascii="宋体" w:hAnsi="宋体" w:eastAsia="宋体" w:cs="宋体"/>
        </w:rPr>
      </w:pPr>
      <w:r>
        <w:rPr>
          <w:rFonts w:hint="eastAsia" w:ascii="宋体" w:hAnsi="宋体" w:eastAsia="宋体" w:cs="宋体"/>
        </w:rPr>
        <w:drawing>
          <wp:inline distT="0" distB="0" distL="114300" distR="114300">
            <wp:extent cx="8357870" cy="3997960"/>
            <wp:effectExtent l="0" t="0" r="5080" b="2540"/>
            <wp:docPr id="92" name="图片 92" descr="f055a222418ddc97c83866f46a296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f055a222418ddc97c83866f46a296fb"/>
                    <pic:cNvPicPr>
                      <a:picLocks noChangeAspect="1"/>
                    </pic:cNvPicPr>
                  </pic:nvPicPr>
                  <pic:blipFill>
                    <a:blip r:embed="rId99"/>
                    <a:stretch>
                      <a:fillRect/>
                    </a:stretch>
                  </pic:blipFill>
                  <pic:spPr>
                    <a:xfrm>
                      <a:off x="0" y="0"/>
                      <a:ext cx="8357870" cy="3997960"/>
                    </a:xfrm>
                    <a:prstGeom prst="rect">
                      <a:avLst/>
                    </a:prstGeom>
                  </pic:spPr>
                </pic:pic>
              </a:graphicData>
            </a:graphic>
          </wp:inline>
        </w:drawing>
      </w:r>
    </w:p>
    <w:p w14:paraId="5AEABA4B">
      <w:pPr>
        <w:pStyle w:val="15"/>
        <w:jc w:val="center"/>
        <w:rPr>
          <w:rFonts w:hint="eastAsia" w:ascii="宋体" w:hAnsi="宋体" w:eastAsia="宋体" w:cs="宋体"/>
          <w:b/>
          <w:bCs/>
          <w:sz w:val="21"/>
          <w:szCs w:val="21"/>
          <w:highlight w:val="yellow"/>
          <w:lang w:eastAsia="zh-CN"/>
        </w:rPr>
      </w:pPr>
      <w:r>
        <w:rPr>
          <w:rFonts w:hint="eastAsia" w:ascii="宋体" w:hAnsi="宋体" w:eastAsia="宋体" w:cs="宋体"/>
          <w:b/>
          <w:bCs/>
          <w:color w:val="auto"/>
          <w:sz w:val="21"/>
          <w:szCs w:val="21"/>
          <w:highlight w:val="yellow"/>
          <w:u w:val="none"/>
          <w:lang w:val="en-US" w:eastAsia="zh-CN"/>
        </w:rPr>
        <w:t>图2  2类区敏感目标现场照片</w:t>
      </w:r>
    </w:p>
    <w:p w14:paraId="5DA75954">
      <w:pPr>
        <w:rPr>
          <w:rFonts w:hint="eastAsia" w:ascii="宋体" w:hAnsi="宋体" w:eastAsia="宋体" w:cs="宋体"/>
          <w:sz w:val="21"/>
          <w:szCs w:val="16"/>
          <w:highlight w:val="yellow"/>
        </w:rPr>
        <w:sectPr>
          <w:footerReference r:id="rId16" w:type="default"/>
          <w:pgSz w:w="16838" w:h="11906" w:orient="landscape"/>
          <w:pgMar w:top="1440" w:right="1800" w:bottom="1440" w:left="1800" w:header="851" w:footer="1077" w:gutter="0"/>
          <w:pgBorders>
            <w:top w:val="none" w:sz="0" w:space="0"/>
            <w:left w:val="none" w:sz="0" w:space="0"/>
            <w:bottom w:val="none" w:sz="0" w:space="0"/>
            <w:right w:val="none" w:sz="0" w:space="0"/>
          </w:pgBorders>
          <w:pgNumType w:fmt="decimal"/>
          <w:cols w:space="720" w:num="1"/>
          <w:docGrid w:type="lines" w:linePitch="312" w:charSpace="0"/>
        </w:sectPr>
      </w:pPr>
    </w:p>
    <w:p w14:paraId="3A53A10D">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4、环境质量标准及污染物排放标准</w:t>
      </w:r>
    </w:p>
    <w:p w14:paraId="1BB9219B">
      <w:pPr>
        <w:spacing w:line="360" w:lineRule="auto"/>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①、</w:t>
      </w:r>
      <w:r>
        <w:rPr>
          <w:rFonts w:hint="eastAsia" w:ascii="宋体" w:hAnsi="宋体" w:eastAsia="宋体" w:cs="宋体"/>
          <w:color w:val="auto"/>
          <w:kern w:val="0"/>
          <w:sz w:val="24"/>
          <w:szCs w:val="24"/>
          <w:highlight w:val="none"/>
        </w:rPr>
        <w:t>声环境质量标准</w:t>
      </w:r>
    </w:p>
    <w:p w14:paraId="67085F97">
      <w:pPr>
        <w:spacing w:line="360" w:lineRule="auto"/>
        <w:ind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根据国家环保总局环发[2003]94号《关于公路、铁路（含轻轨）等建设项目环境影响评价中环境噪声有关问题的通知》中的第三条的有关规定，“公路、铁路（含轻轨）通过的乡村生活区域，其区域声环境功能区由县级以上地方人民政府参照《声环境质量标准》（GB3096-2008）和《声环境功能区划分技术规范》（GB/T15190-2014）确定用地界外合理的噪声防护距离。评价范围内的学校、医院（疗养院、敬老院）等特殊敏感建筑，其室外昼间按60分贝、夜间按50分贝执行（2类标准）”。</w:t>
      </w:r>
    </w:p>
    <w:p w14:paraId="2D87CDBD">
      <w:pPr>
        <w:spacing w:line="360" w:lineRule="auto"/>
        <w:ind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结合《声环境质量标准》（GB3096-2008）中关于乡村声环境功能的确定：“村庄原则上执行1类声环境功能区要求，工业活动较多的村庄以及有交通干线经过的村庄（指执行4类声环境功能区要求以外的地区）可局部或全部执行2类声环境功能区要求”。</w:t>
      </w:r>
    </w:p>
    <w:p w14:paraId="36A7DFD1">
      <w:pPr>
        <w:spacing w:line="360" w:lineRule="auto"/>
        <w:ind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根据《声环境功能区划分技术规范》（GB/T15190-2014）的规定，4a类标准适用区域的范围分别为：相邻区域为1类声环境功能区，距离为50±5m；相邻区域为2类声环境功能区，距离为3</w:t>
      </w: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eastAsia="zh-CN"/>
        </w:rPr>
        <w:t>±5m。</w:t>
      </w:r>
    </w:p>
    <w:p w14:paraId="3E054821">
      <w:pPr>
        <w:spacing w:line="360" w:lineRule="auto"/>
        <w:ind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根据以上规定，确定本项目声环境执行下述标准：</w:t>
      </w:r>
    </w:p>
    <w:p w14:paraId="23437CAF">
      <w:pPr>
        <w:spacing w:line="360" w:lineRule="auto"/>
        <w:ind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现状评价：本项目公路所经过的区域主要为工业活动较多的村庄，现状评价农村居住环境声环境质量执行《声环境质量标准》（GB3096-2008）中2类标准要求；</w:t>
      </w:r>
    </w:p>
    <w:p w14:paraId="6A108964">
      <w:pPr>
        <w:spacing w:line="360" w:lineRule="auto"/>
        <w:ind w:firstLine="480" w:firstLineChars="200"/>
        <w:jc w:val="left"/>
        <w:rPr>
          <w:rFonts w:hint="eastAsia" w:ascii="宋体" w:hAnsi="宋体" w:eastAsia="宋体" w:cs="宋体"/>
          <w:color w:val="auto"/>
          <w:kern w:val="0"/>
          <w:sz w:val="32"/>
          <w:szCs w:val="32"/>
          <w:highlight w:val="none"/>
          <w:lang w:eastAsia="zh-CN"/>
        </w:rPr>
      </w:pPr>
      <w:r>
        <w:rPr>
          <w:rFonts w:hint="eastAsia" w:ascii="宋体" w:hAnsi="宋体" w:eastAsia="宋体" w:cs="宋体"/>
          <w:color w:val="auto"/>
          <w:kern w:val="0"/>
          <w:sz w:val="24"/>
          <w:szCs w:val="24"/>
          <w:highlight w:val="none"/>
          <w:lang w:eastAsia="zh-CN"/>
        </w:rPr>
        <w:t>预测评价：本</w:t>
      </w:r>
      <w:r>
        <w:rPr>
          <w:rFonts w:hint="eastAsia" w:ascii="宋体" w:hAnsi="宋体" w:eastAsia="宋体" w:cs="宋体"/>
          <w:color w:val="auto"/>
          <w:kern w:val="0"/>
          <w:sz w:val="24"/>
          <w:szCs w:val="24"/>
          <w:highlight w:val="none"/>
          <w:lang w:val="en-US" w:eastAsia="zh-CN"/>
        </w:rPr>
        <w:t>项目</w:t>
      </w:r>
      <w:r>
        <w:rPr>
          <w:rFonts w:hint="eastAsia" w:ascii="宋体" w:hAnsi="宋体" w:eastAsia="宋体" w:cs="宋体"/>
          <w:color w:val="auto"/>
          <w:kern w:val="0"/>
          <w:sz w:val="24"/>
          <w:szCs w:val="24"/>
          <w:highlight w:val="none"/>
          <w:lang w:eastAsia="zh-CN"/>
        </w:rPr>
        <w:t>建成后，</w:t>
      </w:r>
      <w:r>
        <w:rPr>
          <w:rFonts w:hint="eastAsia" w:ascii="宋体" w:hAnsi="宋体" w:eastAsia="宋体" w:cs="宋体"/>
          <w:color w:val="auto"/>
          <w:kern w:val="0"/>
          <w:sz w:val="24"/>
          <w:szCs w:val="24"/>
          <w:highlight w:val="none"/>
          <w:u w:val="none"/>
          <w:lang w:eastAsia="zh-CN"/>
        </w:rPr>
        <w:t>道路边界线</w:t>
      </w:r>
      <w:r>
        <w:rPr>
          <w:rFonts w:hint="eastAsia" w:ascii="宋体" w:hAnsi="宋体" w:eastAsia="宋体" w:cs="宋体"/>
          <w:color w:val="auto"/>
          <w:kern w:val="0"/>
          <w:sz w:val="24"/>
          <w:szCs w:val="24"/>
          <w:highlight w:val="none"/>
          <w:u w:val="none"/>
          <w:lang w:val="en-US" w:eastAsia="zh-CN"/>
        </w:rPr>
        <w:t>40</w:t>
      </w:r>
      <w:r>
        <w:rPr>
          <w:rFonts w:hint="eastAsia" w:ascii="宋体" w:hAnsi="宋体" w:eastAsia="宋体" w:cs="宋体"/>
          <w:color w:val="auto"/>
          <w:kern w:val="0"/>
          <w:sz w:val="24"/>
          <w:szCs w:val="24"/>
          <w:highlight w:val="none"/>
          <w:u w:val="none"/>
          <w:lang w:eastAsia="zh-CN"/>
        </w:rPr>
        <w:t>m以内的区域执行《声环境质量标准》(GB3096-2008)中的4a类标准，</w:t>
      </w:r>
      <w:r>
        <w:rPr>
          <w:rFonts w:hint="eastAsia" w:ascii="宋体" w:hAnsi="宋体" w:eastAsia="宋体" w:cs="宋体"/>
          <w:color w:val="auto"/>
          <w:kern w:val="0"/>
          <w:sz w:val="24"/>
          <w:szCs w:val="24"/>
          <w:highlight w:val="none"/>
          <w:u w:val="none"/>
          <w:lang w:val="en-US" w:eastAsia="zh-CN"/>
        </w:rPr>
        <w:t>40</w:t>
      </w:r>
      <w:r>
        <w:rPr>
          <w:rFonts w:hint="eastAsia" w:ascii="宋体" w:hAnsi="宋体" w:eastAsia="宋体" w:cs="宋体"/>
          <w:color w:val="auto"/>
          <w:kern w:val="0"/>
          <w:sz w:val="24"/>
          <w:szCs w:val="24"/>
          <w:highlight w:val="none"/>
          <w:u w:val="none"/>
          <w:lang w:eastAsia="zh-CN"/>
        </w:rPr>
        <w:t>m以外区域执行《声环境质量标准》(GB3096-2008)中2类</w:t>
      </w:r>
      <w:r>
        <w:rPr>
          <w:rFonts w:hint="eastAsia" w:ascii="宋体" w:hAnsi="宋体" w:eastAsia="宋体" w:cs="宋体"/>
          <w:color w:val="auto"/>
          <w:kern w:val="0"/>
          <w:sz w:val="24"/>
          <w:szCs w:val="24"/>
          <w:highlight w:val="none"/>
          <w:u w:val="none"/>
          <w:lang w:val="en-US" w:eastAsia="zh-CN"/>
        </w:rPr>
        <w:t>区</w:t>
      </w:r>
      <w:r>
        <w:rPr>
          <w:rFonts w:hint="eastAsia" w:ascii="宋体" w:hAnsi="宋体" w:eastAsia="宋体" w:cs="宋体"/>
          <w:color w:val="auto"/>
          <w:kern w:val="0"/>
          <w:sz w:val="24"/>
          <w:szCs w:val="24"/>
          <w:highlight w:val="none"/>
          <w:u w:val="none"/>
          <w:lang w:eastAsia="zh-CN"/>
        </w:rPr>
        <w:t>标准。</w:t>
      </w:r>
    </w:p>
    <w:p w14:paraId="3A8DDB14">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4</w:t>
      </w:r>
      <w:r>
        <w:rPr>
          <w:rFonts w:hint="eastAsia" w:ascii="宋体" w:hAnsi="宋体" w:eastAsia="宋体" w:cs="宋体"/>
          <w:b/>
          <w:color w:val="auto"/>
          <w:sz w:val="21"/>
          <w:szCs w:val="21"/>
          <w:highlight w:val="none"/>
        </w:rPr>
        <w:t xml:space="preserve">    声环境质量标准</w:t>
      </w:r>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b/>
          <w:bCs/>
          <w:color w:val="auto"/>
          <w:sz w:val="21"/>
          <w:szCs w:val="21"/>
          <w:highlight w:val="none"/>
          <w:lang w:val="en-US" w:eastAsia="zh-CN"/>
        </w:rPr>
        <w:t xml:space="preserve"> </w:t>
      </w:r>
      <w:r>
        <w:rPr>
          <w:rFonts w:hint="eastAsia" w:ascii="宋体" w:hAnsi="宋体" w:eastAsia="宋体" w:cs="宋体"/>
          <w:b/>
          <w:bCs/>
          <w:color w:val="auto"/>
          <w:sz w:val="21"/>
          <w:szCs w:val="21"/>
          <w:highlight w:val="none"/>
        </w:rPr>
        <w:t>单位：dB（A）</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9"/>
        <w:gridCol w:w="2234"/>
        <w:gridCol w:w="2234"/>
        <w:gridCol w:w="2235"/>
      </w:tblGrid>
      <w:tr w14:paraId="6372F5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7" w:type="pct"/>
            <w:noWrap w:val="0"/>
            <w:vAlign w:val="center"/>
          </w:tcPr>
          <w:p w14:paraId="48EEB2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声功能区类别</w:t>
            </w:r>
          </w:p>
        </w:tc>
        <w:tc>
          <w:tcPr>
            <w:tcW w:w="1310" w:type="pct"/>
            <w:noWrap w:val="0"/>
            <w:vAlign w:val="center"/>
          </w:tcPr>
          <w:p w14:paraId="7B22F2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昼间</w:t>
            </w:r>
          </w:p>
        </w:tc>
        <w:tc>
          <w:tcPr>
            <w:tcW w:w="1310" w:type="pct"/>
            <w:noWrap w:val="0"/>
            <w:vAlign w:val="center"/>
          </w:tcPr>
          <w:p w14:paraId="09582A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夜间</w:t>
            </w:r>
          </w:p>
        </w:tc>
        <w:tc>
          <w:tcPr>
            <w:tcW w:w="1311" w:type="pct"/>
            <w:noWrap w:val="0"/>
            <w:vAlign w:val="center"/>
          </w:tcPr>
          <w:p w14:paraId="365403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标准来源</w:t>
            </w:r>
          </w:p>
        </w:tc>
      </w:tr>
      <w:tr w14:paraId="3CC86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7" w:type="pct"/>
            <w:noWrap w:val="0"/>
            <w:vAlign w:val="center"/>
          </w:tcPr>
          <w:p w14:paraId="63E18C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2类</w:t>
            </w:r>
          </w:p>
        </w:tc>
        <w:tc>
          <w:tcPr>
            <w:tcW w:w="1310" w:type="pct"/>
            <w:noWrap w:val="0"/>
            <w:vAlign w:val="center"/>
          </w:tcPr>
          <w:p w14:paraId="261CB1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60</w:t>
            </w:r>
          </w:p>
        </w:tc>
        <w:tc>
          <w:tcPr>
            <w:tcW w:w="1310" w:type="pct"/>
            <w:noWrap w:val="0"/>
            <w:vAlign w:val="center"/>
          </w:tcPr>
          <w:p w14:paraId="5B41FE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50</w:t>
            </w:r>
          </w:p>
        </w:tc>
        <w:tc>
          <w:tcPr>
            <w:tcW w:w="1311" w:type="pct"/>
            <w:vMerge w:val="restart"/>
            <w:noWrap w:val="0"/>
            <w:vAlign w:val="center"/>
          </w:tcPr>
          <w:p w14:paraId="24EA73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《声环境质量标准》</w:t>
            </w:r>
          </w:p>
          <w:p w14:paraId="701D6F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GB3096-2008</w:t>
            </w:r>
            <w:r>
              <w:rPr>
                <w:rFonts w:hint="eastAsia" w:ascii="宋体" w:hAnsi="宋体" w:eastAsia="宋体" w:cs="宋体"/>
                <w:color w:val="auto"/>
                <w:sz w:val="21"/>
                <w:szCs w:val="21"/>
                <w:highlight w:val="none"/>
                <w:lang w:eastAsia="zh-CN"/>
              </w:rPr>
              <w:t>)</w:t>
            </w:r>
          </w:p>
        </w:tc>
      </w:tr>
      <w:tr w14:paraId="7107F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7" w:type="pct"/>
            <w:noWrap w:val="0"/>
            <w:vAlign w:val="center"/>
          </w:tcPr>
          <w:p w14:paraId="38D5F9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4a类</w:t>
            </w:r>
          </w:p>
        </w:tc>
        <w:tc>
          <w:tcPr>
            <w:tcW w:w="1310" w:type="pct"/>
            <w:noWrap w:val="0"/>
            <w:vAlign w:val="center"/>
          </w:tcPr>
          <w:p w14:paraId="0D13EC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70</w:t>
            </w:r>
          </w:p>
        </w:tc>
        <w:tc>
          <w:tcPr>
            <w:tcW w:w="1310" w:type="pct"/>
            <w:noWrap w:val="0"/>
            <w:vAlign w:val="center"/>
          </w:tcPr>
          <w:p w14:paraId="6D46CA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55</w:t>
            </w:r>
          </w:p>
        </w:tc>
        <w:tc>
          <w:tcPr>
            <w:tcW w:w="1311" w:type="pct"/>
            <w:vMerge w:val="continue"/>
            <w:noWrap w:val="0"/>
            <w:vAlign w:val="center"/>
          </w:tcPr>
          <w:p w14:paraId="475C7F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p>
        </w:tc>
      </w:tr>
    </w:tbl>
    <w:p w14:paraId="187C465A">
      <w:pPr>
        <w:spacing w:line="360" w:lineRule="auto"/>
        <w:ind w:firstLine="480" w:firstLineChars="200"/>
        <w:jc w:val="left"/>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②、</w:t>
      </w:r>
      <w:r>
        <w:rPr>
          <w:rFonts w:hint="eastAsia" w:ascii="宋体" w:hAnsi="宋体" w:eastAsia="宋体" w:cs="宋体"/>
          <w:color w:val="auto"/>
          <w:kern w:val="0"/>
          <w:sz w:val="24"/>
          <w:szCs w:val="24"/>
          <w:highlight w:val="none"/>
        </w:rPr>
        <w:t>噪声</w:t>
      </w:r>
      <w:r>
        <w:rPr>
          <w:rFonts w:hint="eastAsia" w:ascii="宋体" w:hAnsi="宋体" w:eastAsia="宋体" w:cs="宋体"/>
          <w:color w:val="auto"/>
          <w:kern w:val="0"/>
          <w:sz w:val="24"/>
          <w:szCs w:val="24"/>
          <w:highlight w:val="none"/>
          <w:lang w:val="en-US" w:eastAsia="zh-CN"/>
        </w:rPr>
        <w:t>污染排放标准</w:t>
      </w:r>
    </w:p>
    <w:p w14:paraId="44EF4A7C">
      <w:pPr>
        <w:spacing w:line="360" w:lineRule="auto"/>
        <w:ind w:firstLine="480" w:firstLineChars="200"/>
        <w:jc w:val="left"/>
        <w:rPr>
          <w:rFonts w:hint="eastAsia" w:ascii="宋体" w:hAnsi="宋体" w:eastAsia="宋体" w:cs="宋体"/>
          <w:color w:val="auto"/>
          <w:kern w:val="0"/>
          <w:sz w:val="32"/>
          <w:szCs w:val="32"/>
          <w:highlight w:val="none"/>
        </w:rPr>
      </w:pPr>
      <w:r>
        <w:rPr>
          <w:rFonts w:hint="eastAsia" w:ascii="宋体" w:hAnsi="宋体" w:eastAsia="宋体" w:cs="宋体"/>
          <w:color w:val="auto"/>
          <w:kern w:val="0"/>
          <w:sz w:val="24"/>
          <w:szCs w:val="24"/>
          <w:highlight w:val="none"/>
        </w:rPr>
        <w:t>施工期：施工场地噪声执行《建筑施工场界环境噪声排放标准》（GB12523-2011）中限值标准。具体标准值见下表。</w:t>
      </w:r>
    </w:p>
    <w:p w14:paraId="120C914B">
      <w:pPr>
        <w:adjustRightInd w:val="0"/>
        <w:snapToGrid w:val="0"/>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5</w:t>
      </w:r>
      <w:r>
        <w:rPr>
          <w:rFonts w:hint="eastAsia" w:ascii="宋体" w:hAnsi="宋体" w:eastAsia="宋体" w:cs="宋体"/>
          <w:b/>
          <w:color w:val="auto"/>
          <w:sz w:val="21"/>
          <w:szCs w:val="21"/>
          <w:highlight w:val="none"/>
        </w:rPr>
        <w:t xml:space="preserve">  建筑施工场界环境噪声排放限值   单位：dB（A）</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4718B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4261" w:type="dxa"/>
            <w:noWrap w:val="0"/>
            <w:vAlign w:val="center"/>
          </w:tcPr>
          <w:p w14:paraId="0B0C65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昼间</w:t>
            </w:r>
          </w:p>
        </w:tc>
        <w:tc>
          <w:tcPr>
            <w:tcW w:w="4261" w:type="dxa"/>
            <w:noWrap w:val="0"/>
            <w:vAlign w:val="center"/>
          </w:tcPr>
          <w:p w14:paraId="3F74B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夜间</w:t>
            </w:r>
          </w:p>
        </w:tc>
      </w:tr>
      <w:tr w14:paraId="3FF98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1" w:type="dxa"/>
            <w:noWrap w:val="0"/>
            <w:vAlign w:val="center"/>
          </w:tcPr>
          <w:p w14:paraId="35ABE0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70</w:t>
            </w:r>
          </w:p>
        </w:tc>
        <w:tc>
          <w:tcPr>
            <w:tcW w:w="4261" w:type="dxa"/>
            <w:noWrap w:val="0"/>
            <w:vAlign w:val="center"/>
          </w:tcPr>
          <w:p w14:paraId="370798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55</w:t>
            </w:r>
          </w:p>
        </w:tc>
      </w:tr>
    </w:tbl>
    <w:p w14:paraId="15CC178B">
      <w:pPr>
        <w:spacing w:line="360" w:lineRule="auto"/>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营运期：拟</w:t>
      </w:r>
      <w:r>
        <w:rPr>
          <w:rFonts w:hint="eastAsia" w:ascii="宋体" w:hAnsi="宋体" w:eastAsia="宋体" w:cs="宋体"/>
          <w:color w:val="auto"/>
          <w:kern w:val="0"/>
          <w:sz w:val="24"/>
          <w:szCs w:val="24"/>
          <w:highlight w:val="none"/>
          <w:lang w:val="en-US" w:eastAsia="zh-CN"/>
        </w:rPr>
        <w:t>改</w:t>
      </w:r>
      <w:r>
        <w:rPr>
          <w:rFonts w:hint="eastAsia" w:ascii="宋体" w:hAnsi="宋体" w:eastAsia="宋体" w:cs="宋体"/>
          <w:color w:val="auto"/>
          <w:kern w:val="0"/>
          <w:sz w:val="24"/>
          <w:szCs w:val="24"/>
          <w:highlight w:val="none"/>
        </w:rPr>
        <w:t>建公路运行后，</w:t>
      </w:r>
      <w:r>
        <w:rPr>
          <w:rFonts w:hint="eastAsia" w:ascii="宋体" w:hAnsi="宋体" w:eastAsia="宋体" w:cs="宋体"/>
          <w:color w:val="auto"/>
          <w:kern w:val="0"/>
          <w:sz w:val="24"/>
          <w:szCs w:val="24"/>
          <w:highlight w:val="none"/>
          <w:lang w:val="en-US" w:eastAsia="zh-CN"/>
        </w:rPr>
        <w:t>道路边界线</w:t>
      </w:r>
      <w:r>
        <w:rPr>
          <w:rFonts w:hint="eastAsia" w:ascii="宋体" w:hAnsi="宋体" w:eastAsia="宋体" w:cs="宋体"/>
          <w:color w:val="auto"/>
          <w:kern w:val="0"/>
          <w:sz w:val="24"/>
          <w:szCs w:val="24"/>
          <w:highlight w:val="none"/>
        </w:rPr>
        <w:t>外</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m内区域执行4a类标准，位于4a类区域</w:t>
      </w:r>
      <w:r>
        <w:rPr>
          <w:rFonts w:hint="eastAsia" w:ascii="宋体" w:hAnsi="宋体" w:eastAsia="宋体" w:cs="宋体"/>
          <w:color w:val="auto"/>
          <w:kern w:val="0"/>
          <w:sz w:val="24"/>
          <w:szCs w:val="24"/>
          <w:highlight w:val="none"/>
          <w:lang w:val="en-US" w:eastAsia="zh-CN"/>
        </w:rPr>
        <w:t>外</w:t>
      </w:r>
      <w:r>
        <w:rPr>
          <w:rFonts w:hint="eastAsia" w:ascii="宋体" w:hAnsi="宋体" w:eastAsia="宋体" w:cs="宋体"/>
          <w:color w:val="auto"/>
          <w:kern w:val="0"/>
          <w:sz w:val="24"/>
          <w:szCs w:val="24"/>
          <w:highlight w:val="none"/>
        </w:rPr>
        <w:t>的环境敏感点执行</w:t>
      </w:r>
      <w:r>
        <w:rPr>
          <w:rFonts w:hint="eastAsia" w:ascii="宋体" w:hAnsi="宋体" w:eastAsia="宋体" w:cs="宋体"/>
          <w:color w:val="auto"/>
          <w:kern w:val="0"/>
          <w:sz w:val="24"/>
          <w:szCs w:val="24"/>
          <w:highlight w:val="none"/>
          <w:u w:val="none"/>
          <w:lang w:eastAsia="zh-CN"/>
        </w:rPr>
        <w:t>《声环境质量标准》(GB3096-2008)中2类</w:t>
      </w:r>
      <w:r>
        <w:rPr>
          <w:rFonts w:hint="eastAsia" w:ascii="宋体" w:hAnsi="宋体" w:eastAsia="宋体" w:cs="宋体"/>
          <w:color w:val="auto"/>
          <w:kern w:val="0"/>
          <w:sz w:val="24"/>
          <w:szCs w:val="24"/>
          <w:highlight w:val="none"/>
          <w:u w:val="none"/>
          <w:lang w:val="en-US" w:eastAsia="zh-CN"/>
        </w:rPr>
        <w:t>区</w:t>
      </w:r>
      <w:r>
        <w:rPr>
          <w:rFonts w:hint="eastAsia" w:ascii="宋体" w:hAnsi="宋体" w:eastAsia="宋体" w:cs="宋体"/>
          <w:color w:val="auto"/>
          <w:kern w:val="0"/>
          <w:sz w:val="24"/>
          <w:szCs w:val="24"/>
          <w:highlight w:val="none"/>
          <w:u w:val="none"/>
          <w:lang w:eastAsia="zh-CN"/>
        </w:rPr>
        <w:t>标准</w:t>
      </w:r>
      <w:r>
        <w:rPr>
          <w:rFonts w:hint="eastAsia" w:ascii="宋体" w:hAnsi="宋体" w:eastAsia="宋体" w:cs="宋体"/>
          <w:color w:val="auto"/>
          <w:kern w:val="0"/>
          <w:sz w:val="24"/>
          <w:szCs w:val="24"/>
          <w:highlight w:val="none"/>
        </w:rPr>
        <w:t>。</w:t>
      </w:r>
    </w:p>
    <w:p w14:paraId="2D7B2110">
      <w:pPr>
        <w:spacing w:line="240" w:lineRule="auto"/>
        <w:ind w:firstLine="0" w:firstLineChars="0"/>
        <w:jc w:val="center"/>
        <w:rPr>
          <w:rFonts w:hint="eastAsia" w:ascii="宋体" w:hAnsi="宋体" w:eastAsia="宋体" w:cs="宋体"/>
          <w:b/>
          <w:color w:val="auto"/>
          <w:kern w:val="0"/>
          <w:sz w:val="21"/>
          <w:szCs w:val="21"/>
          <w:highlight w:val="none"/>
          <w:lang w:val="en-US" w:eastAsia="zh-CN"/>
        </w:rPr>
      </w:pPr>
      <w:r>
        <w:rPr>
          <w:rFonts w:hint="eastAsia" w:ascii="宋体" w:hAnsi="宋体" w:eastAsia="宋体" w:cs="宋体"/>
          <w:b/>
          <w:color w:val="auto"/>
          <w:kern w:val="0"/>
          <w:sz w:val="21"/>
          <w:szCs w:val="21"/>
          <w:highlight w:val="none"/>
          <w:lang w:val="zh-CN" w:eastAsia="zh-CN"/>
        </w:rPr>
        <w:t>表</w:t>
      </w:r>
      <w:r>
        <w:rPr>
          <w:rFonts w:hint="eastAsia" w:ascii="宋体" w:hAnsi="宋体" w:eastAsia="宋体" w:cs="宋体"/>
          <w:b/>
          <w:color w:val="auto"/>
          <w:kern w:val="0"/>
          <w:sz w:val="21"/>
          <w:szCs w:val="21"/>
          <w:highlight w:val="none"/>
          <w:lang w:val="en-US" w:eastAsia="zh-CN"/>
        </w:rPr>
        <w:t>6</w:t>
      </w:r>
      <w:r>
        <w:rPr>
          <w:rFonts w:hint="eastAsia" w:ascii="宋体" w:hAnsi="宋体" w:eastAsia="宋体" w:cs="宋体"/>
          <w:b/>
          <w:color w:val="auto"/>
          <w:kern w:val="0"/>
          <w:sz w:val="21"/>
          <w:szCs w:val="21"/>
          <w:highlight w:val="none"/>
          <w:lang w:val="zh-CN"/>
        </w:rPr>
        <w:t xml:space="preserve"> </w:t>
      </w:r>
      <w:r>
        <w:rPr>
          <w:rFonts w:hint="eastAsia" w:ascii="宋体" w:hAnsi="宋体" w:eastAsia="宋体" w:cs="宋体"/>
          <w:b/>
          <w:color w:val="auto"/>
          <w:kern w:val="0"/>
          <w:sz w:val="21"/>
          <w:szCs w:val="21"/>
          <w:highlight w:val="none"/>
          <w:lang w:val="en-US" w:eastAsia="zh-CN"/>
        </w:rPr>
        <w:t xml:space="preserve">  </w:t>
      </w:r>
      <w:r>
        <w:rPr>
          <w:rFonts w:hint="eastAsia" w:ascii="宋体" w:hAnsi="宋体" w:eastAsia="宋体" w:cs="宋体"/>
          <w:b/>
          <w:color w:val="auto"/>
          <w:kern w:val="0"/>
          <w:sz w:val="21"/>
          <w:szCs w:val="21"/>
          <w:highlight w:val="none"/>
          <w:lang w:val="zh-CN" w:eastAsia="zh-CN"/>
        </w:rPr>
        <w:t>环境噪声排放标准</w:t>
      </w:r>
      <w:r>
        <w:rPr>
          <w:rFonts w:hint="eastAsia" w:ascii="宋体" w:hAnsi="宋体" w:eastAsia="宋体" w:cs="宋体"/>
          <w:b/>
          <w:color w:val="auto"/>
          <w:kern w:val="0"/>
          <w:sz w:val="21"/>
          <w:szCs w:val="21"/>
          <w:highlight w:val="none"/>
          <w:lang w:val="en-US" w:eastAsia="zh-CN"/>
        </w:rPr>
        <w:t xml:space="preserve">    </w:t>
      </w:r>
      <w:r>
        <w:rPr>
          <w:rFonts w:hint="eastAsia" w:ascii="宋体" w:hAnsi="宋体" w:eastAsia="宋体" w:cs="宋体"/>
          <w:b/>
          <w:color w:val="auto"/>
          <w:sz w:val="21"/>
          <w:szCs w:val="21"/>
          <w:highlight w:val="none"/>
        </w:rPr>
        <w:t>单位：dB（A）</w:t>
      </w:r>
    </w:p>
    <w:tbl>
      <w:tblPr>
        <w:tblStyle w:val="3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718"/>
        <w:gridCol w:w="808"/>
        <w:gridCol w:w="808"/>
        <w:gridCol w:w="5188"/>
      </w:tblGrid>
      <w:tr w14:paraId="075F2B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54" w:hRule="atLeast"/>
          <w:jc w:val="center"/>
        </w:trPr>
        <w:tc>
          <w:tcPr>
            <w:tcW w:w="1008" w:type="pct"/>
            <w:noWrap w:val="0"/>
            <w:vAlign w:val="center"/>
          </w:tcPr>
          <w:p w14:paraId="278B69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标准</w:t>
            </w:r>
          </w:p>
        </w:tc>
        <w:tc>
          <w:tcPr>
            <w:tcW w:w="474" w:type="pct"/>
            <w:noWrap w:val="0"/>
            <w:vAlign w:val="center"/>
          </w:tcPr>
          <w:p w14:paraId="5C3A04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昼间</w:t>
            </w:r>
          </w:p>
        </w:tc>
        <w:tc>
          <w:tcPr>
            <w:tcW w:w="474" w:type="pct"/>
            <w:noWrap w:val="0"/>
            <w:vAlign w:val="center"/>
          </w:tcPr>
          <w:p w14:paraId="054E52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夜间</w:t>
            </w:r>
          </w:p>
        </w:tc>
        <w:tc>
          <w:tcPr>
            <w:tcW w:w="3043" w:type="pct"/>
            <w:noWrap w:val="0"/>
            <w:vAlign w:val="center"/>
          </w:tcPr>
          <w:p w14:paraId="728D8C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依据</w:t>
            </w:r>
          </w:p>
        </w:tc>
      </w:tr>
      <w:tr w14:paraId="7500E5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08" w:type="pct"/>
            <w:noWrap w:val="0"/>
            <w:vAlign w:val="center"/>
          </w:tcPr>
          <w:p w14:paraId="4086DF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2类标准</w:t>
            </w:r>
          </w:p>
        </w:tc>
        <w:tc>
          <w:tcPr>
            <w:tcW w:w="474" w:type="pct"/>
            <w:noWrap w:val="0"/>
            <w:vAlign w:val="center"/>
          </w:tcPr>
          <w:p w14:paraId="330E4B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60</w:t>
            </w:r>
          </w:p>
        </w:tc>
        <w:tc>
          <w:tcPr>
            <w:tcW w:w="474" w:type="pct"/>
            <w:noWrap w:val="0"/>
            <w:vAlign w:val="center"/>
          </w:tcPr>
          <w:p w14:paraId="526A24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50</w:t>
            </w:r>
          </w:p>
        </w:tc>
        <w:tc>
          <w:tcPr>
            <w:tcW w:w="3043" w:type="pct"/>
            <w:vMerge w:val="restart"/>
            <w:noWrap w:val="0"/>
            <w:vAlign w:val="center"/>
          </w:tcPr>
          <w:p w14:paraId="03FA40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kern w:val="0"/>
                <w:sz w:val="21"/>
                <w:szCs w:val="21"/>
                <w:highlight w:val="none"/>
                <w:u w:val="none"/>
                <w:lang w:eastAsia="zh-CN"/>
              </w:rPr>
              <w:t>《声环境质量标准》(GB3096-2008)</w:t>
            </w:r>
          </w:p>
        </w:tc>
      </w:tr>
      <w:tr w14:paraId="6A3432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08" w:type="pct"/>
            <w:noWrap w:val="0"/>
            <w:vAlign w:val="center"/>
          </w:tcPr>
          <w:p w14:paraId="13A2BB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4</w:t>
            </w:r>
            <w:r>
              <w:rPr>
                <w:rFonts w:hint="eastAsia" w:ascii="宋体" w:hAnsi="宋体" w:eastAsia="宋体" w:cs="宋体"/>
                <w:color w:val="auto"/>
                <w:sz w:val="21"/>
                <w:szCs w:val="21"/>
                <w:highlight w:val="none"/>
                <w:lang w:val="en-US" w:eastAsia="zh-CN"/>
              </w:rPr>
              <w:t>a</w:t>
            </w:r>
            <w:r>
              <w:rPr>
                <w:rFonts w:hint="eastAsia" w:ascii="宋体" w:hAnsi="宋体" w:eastAsia="宋体" w:cs="宋体"/>
                <w:color w:val="auto"/>
                <w:sz w:val="21"/>
                <w:szCs w:val="21"/>
                <w:highlight w:val="none"/>
              </w:rPr>
              <w:t>类标准</w:t>
            </w:r>
          </w:p>
        </w:tc>
        <w:tc>
          <w:tcPr>
            <w:tcW w:w="474" w:type="pct"/>
            <w:noWrap w:val="0"/>
            <w:vAlign w:val="center"/>
          </w:tcPr>
          <w:p w14:paraId="5042B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70</w:t>
            </w:r>
          </w:p>
        </w:tc>
        <w:tc>
          <w:tcPr>
            <w:tcW w:w="474" w:type="pct"/>
            <w:noWrap w:val="0"/>
            <w:vAlign w:val="center"/>
          </w:tcPr>
          <w:p w14:paraId="1613B0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55</w:t>
            </w:r>
          </w:p>
        </w:tc>
        <w:tc>
          <w:tcPr>
            <w:tcW w:w="3043" w:type="pct"/>
            <w:vMerge w:val="continue"/>
            <w:noWrap w:val="0"/>
            <w:vAlign w:val="center"/>
          </w:tcPr>
          <w:p w14:paraId="25B263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u w:val="none"/>
              </w:rPr>
            </w:pPr>
          </w:p>
        </w:tc>
      </w:tr>
    </w:tbl>
    <w:p w14:paraId="2169867E">
      <w:pPr>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outlineLvl w:val="9"/>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5、噪声</w:t>
      </w:r>
      <w:r>
        <w:rPr>
          <w:rFonts w:hint="eastAsia" w:ascii="宋体" w:hAnsi="宋体" w:eastAsia="宋体" w:cs="宋体"/>
          <w:b/>
          <w:bCs/>
          <w:color w:val="auto"/>
          <w:sz w:val="24"/>
          <w:szCs w:val="24"/>
          <w:highlight w:val="none"/>
        </w:rPr>
        <w:t>现状调查与评价</w:t>
      </w:r>
    </w:p>
    <w:p w14:paraId="7D9EF4F6">
      <w:pPr>
        <w:autoSpaceDE w:val="0"/>
        <w:autoSpaceDN w:val="0"/>
        <w:spacing w:line="360" w:lineRule="auto"/>
        <w:ind w:firstLine="480" w:firstLineChars="200"/>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（1）监测布点</w:t>
      </w:r>
    </w:p>
    <w:p w14:paraId="370B8B94">
      <w:pPr>
        <w:spacing w:line="360" w:lineRule="auto"/>
        <w:ind w:firstLine="480" w:firstLineChars="200"/>
        <w:rPr>
          <w:rFonts w:hint="default" w:ascii="宋体" w:hAnsi="宋体" w:eastAsia="宋体" w:cs="宋体"/>
          <w:color w:val="auto"/>
          <w:sz w:val="24"/>
          <w:szCs w:val="24"/>
          <w:highlight w:val="lightGray"/>
          <w:lang w:val="en-US" w:eastAsia="zh-CN"/>
        </w:rPr>
      </w:pPr>
      <w:bookmarkStart w:id="19" w:name="_Hlk108097480"/>
      <w:r>
        <w:rPr>
          <w:rFonts w:hint="eastAsia" w:ascii="宋体" w:hAnsi="宋体" w:eastAsia="宋体" w:cs="宋体"/>
          <w:color w:val="auto"/>
          <w:sz w:val="24"/>
          <w:szCs w:val="24"/>
          <w:highlight w:val="lightGray"/>
        </w:rPr>
        <w:t>本项目在</w:t>
      </w:r>
      <w:r>
        <w:rPr>
          <w:rFonts w:hint="eastAsia" w:ascii="宋体" w:hAnsi="宋体" w:eastAsia="宋体" w:cs="宋体"/>
          <w:color w:val="auto"/>
          <w:sz w:val="24"/>
          <w:szCs w:val="24"/>
          <w:highlight w:val="lightGray"/>
          <w:lang w:val="en-US" w:eastAsia="zh-CN"/>
        </w:rPr>
        <w:t>南侧</w:t>
      </w:r>
      <w:r>
        <w:rPr>
          <w:rFonts w:hint="eastAsia" w:ascii="宋体" w:hAnsi="宋体" w:eastAsia="宋体" w:cs="宋体"/>
          <w:color w:val="auto"/>
          <w:sz w:val="24"/>
          <w:szCs w:val="24"/>
          <w:highlight w:val="lightGray"/>
        </w:rPr>
        <w:t>敏感点共布设</w:t>
      </w:r>
      <w:r>
        <w:rPr>
          <w:rFonts w:hint="eastAsia" w:ascii="宋体" w:hAnsi="宋体" w:cs="宋体"/>
          <w:color w:val="auto"/>
          <w:sz w:val="24"/>
          <w:szCs w:val="24"/>
          <w:highlight w:val="lightGray"/>
          <w:lang w:val="en-US" w:eastAsia="zh-CN"/>
        </w:rPr>
        <w:t>3</w:t>
      </w:r>
      <w:r>
        <w:rPr>
          <w:rFonts w:hint="eastAsia" w:ascii="宋体" w:hAnsi="宋体" w:eastAsia="宋体" w:cs="宋体"/>
          <w:color w:val="auto"/>
          <w:sz w:val="24"/>
          <w:szCs w:val="24"/>
          <w:highlight w:val="lightGray"/>
        </w:rPr>
        <w:t>个噪声监测点，具体位置见下表和监测布点图</w:t>
      </w:r>
      <w:r>
        <w:rPr>
          <w:rFonts w:hint="eastAsia" w:ascii="宋体" w:hAnsi="宋体" w:eastAsia="宋体" w:cs="宋体"/>
          <w:color w:val="auto"/>
          <w:kern w:val="0"/>
          <w:sz w:val="24"/>
          <w:szCs w:val="24"/>
          <w:highlight w:val="lightGray"/>
          <w:lang w:val="en-US" w:eastAsia="zh-CN"/>
        </w:rPr>
        <w:t>1</w:t>
      </w:r>
      <w:r>
        <w:rPr>
          <w:rFonts w:hint="eastAsia" w:ascii="宋体" w:hAnsi="宋体" w:eastAsia="宋体" w:cs="宋体"/>
          <w:color w:val="auto"/>
          <w:sz w:val="24"/>
          <w:szCs w:val="24"/>
          <w:highlight w:val="lightGray"/>
        </w:rPr>
        <w:t>。</w:t>
      </w:r>
      <w:r>
        <w:rPr>
          <w:rFonts w:hint="eastAsia" w:ascii="宋体" w:hAnsi="宋体" w:cs="宋体"/>
          <w:color w:val="auto"/>
          <w:sz w:val="24"/>
          <w:szCs w:val="24"/>
          <w:highlight w:val="green"/>
          <w:lang w:val="en-US" w:eastAsia="zh-CN"/>
        </w:rPr>
        <w:t>并在N2点处距道路最近点位同步记录车流量，记录时间不少于20分钟。</w:t>
      </w:r>
    </w:p>
    <w:p w14:paraId="6728E3BA">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7</w:t>
      </w:r>
      <w:r>
        <w:rPr>
          <w:rFonts w:hint="eastAsia" w:ascii="宋体" w:hAnsi="宋体" w:eastAsia="宋体" w:cs="宋体"/>
          <w:b/>
          <w:color w:val="auto"/>
          <w:sz w:val="21"/>
          <w:szCs w:val="21"/>
          <w:highlight w:val="none"/>
        </w:rPr>
        <w:t xml:space="preserve">    声环境质量现状监测点布置表</w:t>
      </w:r>
    </w:p>
    <w:tbl>
      <w:tblPr>
        <w:tblStyle w:val="10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999"/>
        <w:gridCol w:w="1573"/>
        <w:gridCol w:w="4065"/>
        <w:gridCol w:w="1258"/>
      </w:tblGrid>
      <w:tr w14:paraId="7359D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6" w:type="pct"/>
            <w:noWrap w:val="0"/>
            <w:vAlign w:val="center"/>
          </w:tcPr>
          <w:p w14:paraId="377E3F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序号</w:t>
            </w:r>
          </w:p>
        </w:tc>
        <w:tc>
          <w:tcPr>
            <w:tcW w:w="586" w:type="pct"/>
            <w:noWrap w:val="0"/>
            <w:vAlign w:val="center"/>
          </w:tcPr>
          <w:p w14:paraId="760CE8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监测点编号</w:t>
            </w:r>
          </w:p>
        </w:tc>
        <w:tc>
          <w:tcPr>
            <w:tcW w:w="923" w:type="pct"/>
            <w:noWrap w:val="0"/>
            <w:vAlign w:val="center"/>
          </w:tcPr>
          <w:p w14:paraId="759814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敏感点名称</w:t>
            </w:r>
          </w:p>
        </w:tc>
        <w:tc>
          <w:tcPr>
            <w:tcW w:w="2385" w:type="pct"/>
            <w:noWrap w:val="0"/>
            <w:vAlign w:val="center"/>
          </w:tcPr>
          <w:p w14:paraId="02F8F9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监测点位置</w:t>
            </w:r>
          </w:p>
        </w:tc>
        <w:tc>
          <w:tcPr>
            <w:tcW w:w="738" w:type="pct"/>
            <w:noWrap w:val="0"/>
            <w:vAlign w:val="center"/>
          </w:tcPr>
          <w:p w14:paraId="4C089C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备注</w:t>
            </w:r>
          </w:p>
        </w:tc>
      </w:tr>
      <w:tr w14:paraId="4CFEA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6" w:type="pct"/>
            <w:noWrap w:val="0"/>
            <w:vAlign w:val="center"/>
          </w:tcPr>
          <w:p w14:paraId="715091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1</w:t>
            </w:r>
          </w:p>
        </w:tc>
        <w:tc>
          <w:tcPr>
            <w:tcW w:w="586" w:type="pct"/>
            <w:noWrap w:val="0"/>
            <w:vAlign w:val="center"/>
          </w:tcPr>
          <w:p w14:paraId="0F31E4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N1</w:t>
            </w:r>
          </w:p>
        </w:tc>
        <w:tc>
          <w:tcPr>
            <w:tcW w:w="923" w:type="pct"/>
            <w:noWrap w:val="0"/>
            <w:vAlign w:val="center"/>
          </w:tcPr>
          <w:p w14:paraId="1F116D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南侧平房居民</w:t>
            </w:r>
          </w:p>
        </w:tc>
        <w:tc>
          <w:tcPr>
            <w:tcW w:w="2385" w:type="pct"/>
            <w:noWrap w:val="0"/>
            <w:vAlign w:val="center"/>
          </w:tcPr>
          <w:p w14:paraId="752646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道路边界线</w:t>
            </w:r>
            <w:r>
              <w:rPr>
                <w:rFonts w:hint="eastAsia" w:ascii="宋体" w:hAnsi="宋体" w:eastAsia="宋体" w:cs="宋体"/>
                <w:color w:val="auto"/>
                <w:kern w:val="0"/>
                <w:sz w:val="21"/>
                <w:szCs w:val="21"/>
                <w:highlight w:val="none"/>
              </w:rPr>
              <w:t>外</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外区域的敏感点</w:t>
            </w:r>
          </w:p>
        </w:tc>
        <w:tc>
          <w:tcPr>
            <w:tcW w:w="738" w:type="pct"/>
            <w:vMerge w:val="restart"/>
            <w:noWrap w:val="0"/>
            <w:vAlign w:val="center"/>
          </w:tcPr>
          <w:p w14:paraId="137E6A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green"/>
                <w:lang w:val="en-US" w:eastAsia="zh-CN"/>
              </w:rPr>
              <w:t>N2处同步记录大、中、小车流量</w:t>
            </w:r>
          </w:p>
        </w:tc>
      </w:tr>
      <w:tr w14:paraId="77154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6" w:type="pct"/>
            <w:noWrap w:val="0"/>
            <w:vAlign w:val="center"/>
          </w:tcPr>
          <w:p w14:paraId="0398E2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w:t>
            </w:r>
          </w:p>
        </w:tc>
        <w:tc>
          <w:tcPr>
            <w:tcW w:w="586" w:type="pct"/>
            <w:noWrap w:val="0"/>
            <w:vAlign w:val="center"/>
          </w:tcPr>
          <w:p w14:paraId="7AF30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N2</w:t>
            </w:r>
          </w:p>
        </w:tc>
        <w:tc>
          <w:tcPr>
            <w:tcW w:w="923" w:type="pct"/>
            <w:noWrap w:val="0"/>
            <w:vAlign w:val="center"/>
          </w:tcPr>
          <w:p w14:paraId="0E212A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南侧平房居民</w:t>
            </w:r>
          </w:p>
        </w:tc>
        <w:tc>
          <w:tcPr>
            <w:tcW w:w="2385" w:type="pct"/>
            <w:noWrap w:val="0"/>
            <w:vAlign w:val="center"/>
          </w:tcPr>
          <w:p w14:paraId="42FA00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距离公路最近住宅第一排窗前1m</w:t>
            </w:r>
          </w:p>
        </w:tc>
        <w:tc>
          <w:tcPr>
            <w:tcW w:w="738" w:type="pct"/>
            <w:vMerge w:val="continue"/>
            <w:noWrap w:val="0"/>
            <w:vAlign w:val="center"/>
          </w:tcPr>
          <w:p w14:paraId="1DF9F1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r>
      <w:tr w14:paraId="1D1F5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6" w:type="pct"/>
            <w:noWrap w:val="0"/>
            <w:vAlign w:val="center"/>
          </w:tcPr>
          <w:p w14:paraId="1E1C5A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auto"/>
                <w:kern w:val="0"/>
                <w:sz w:val="21"/>
                <w:szCs w:val="21"/>
                <w:highlight w:val="lightGray"/>
                <w:lang w:val="en-US" w:eastAsia="zh-CN"/>
              </w:rPr>
            </w:pPr>
            <w:r>
              <w:rPr>
                <w:rFonts w:hint="eastAsia" w:ascii="宋体" w:hAnsi="宋体" w:cs="宋体"/>
                <w:color w:val="auto"/>
                <w:kern w:val="0"/>
                <w:sz w:val="21"/>
                <w:szCs w:val="21"/>
                <w:highlight w:val="lightGray"/>
                <w:lang w:val="en-US" w:eastAsia="zh-CN"/>
              </w:rPr>
              <w:t>3</w:t>
            </w:r>
          </w:p>
        </w:tc>
        <w:tc>
          <w:tcPr>
            <w:tcW w:w="586" w:type="pct"/>
            <w:noWrap w:val="0"/>
            <w:vAlign w:val="center"/>
          </w:tcPr>
          <w:p w14:paraId="36D5EE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auto"/>
                <w:kern w:val="0"/>
                <w:sz w:val="21"/>
                <w:szCs w:val="21"/>
                <w:highlight w:val="lightGray"/>
                <w:lang w:val="en-US" w:eastAsia="zh-CN"/>
              </w:rPr>
            </w:pPr>
            <w:r>
              <w:rPr>
                <w:rFonts w:hint="eastAsia" w:ascii="宋体" w:hAnsi="宋体" w:cs="宋体"/>
                <w:color w:val="auto"/>
                <w:kern w:val="0"/>
                <w:sz w:val="21"/>
                <w:szCs w:val="21"/>
                <w:highlight w:val="lightGray"/>
                <w:lang w:val="en-US" w:eastAsia="zh-CN"/>
              </w:rPr>
              <w:t>N3</w:t>
            </w:r>
          </w:p>
        </w:tc>
        <w:tc>
          <w:tcPr>
            <w:tcW w:w="923" w:type="pct"/>
            <w:noWrap w:val="0"/>
            <w:vAlign w:val="center"/>
          </w:tcPr>
          <w:p w14:paraId="7CF5EC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auto"/>
                <w:sz w:val="21"/>
                <w:szCs w:val="21"/>
                <w:highlight w:val="lightGray"/>
                <w:lang w:val="en-US" w:eastAsia="zh-CN"/>
              </w:rPr>
            </w:pPr>
            <w:r>
              <w:rPr>
                <w:rFonts w:hint="eastAsia" w:ascii="宋体" w:hAnsi="宋体" w:cs="宋体"/>
                <w:color w:val="auto"/>
                <w:sz w:val="21"/>
                <w:szCs w:val="21"/>
                <w:highlight w:val="lightGray"/>
                <w:lang w:val="en-US" w:eastAsia="zh-CN"/>
              </w:rPr>
              <w:t>南侧平房居民</w:t>
            </w:r>
          </w:p>
        </w:tc>
        <w:tc>
          <w:tcPr>
            <w:tcW w:w="2385" w:type="pct"/>
            <w:noWrap w:val="0"/>
            <w:vAlign w:val="center"/>
          </w:tcPr>
          <w:p w14:paraId="3841DA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lightGray"/>
                <w:lang w:val="en-US" w:eastAsia="zh-CN"/>
              </w:rPr>
            </w:pPr>
            <w:r>
              <w:rPr>
                <w:rFonts w:hint="eastAsia" w:ascii="宋体" w:hAnsi="宋体" w:eastAsia="宋体" w:cs="宋体"/>
                <w:color w:val="auto"/>
                <w:kern w:val="0"/>
                <w:sz w:val="21"/>
                <w:szCs w:val="21"/>
                <w:highlight w:val="lightGray"/>
                <w:lang w:val="en-US" w:eastAsia="zh-CN"/>
              </w:rPr>
              <w:t>不受拟改建的既有公路噪声影响的区域</w:t>
            </w:r>
          </w:p>
        </w:tc>
        <w:tc>
          <w:tcPr>
            <w:tcW w:w="738" w:type="pct"/>
            <w:vMerge w:val="continue"/>
            <w:noWrap w:val="0"/>
            <w:vAlign w:val="center"/>
          </w:tcPr>
          <w:p w14:paraId="565E2F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lightGray"/>
                <w:lang w:val="en-US" w:eastAsia="zh-CN"/>
              </w:rPr>
            </w:pPr>
          </w:p>
        </w:tc>
      </w:tr>
    </w:tbl>
    <w:p w14:paraId="34C9E131">
      <w:pPr>
        <w:autoSpaceDE w:val="0"/>
        <w:autoSpaceDN w:val="0"/>
        <w:spacing w:line="360" w:lineRule="auto"/>
        <w:ind w:firstLine="480" w:firstLineChars="200"/>
        <w:rPr>
          <w:rFonts w:hint="eastAsia" w:ascii="宋体" w:hAnsi="宋体" w:cs="宋体"/>
          <w:color w:val="auto"/>
          <w:kern w:val="0"/>
          <w:sz w:val="24"/>
          <w:szCs w:val="24"/>
          <w:highlight w:val="lightGray"/>
          <w:lang w:val="en-US" w:eastAsia="zh-CN"/>
        </w:rPr>
      </w:pPr>
      <w:r>
        <w:rPr>
          <w:rFonts w:hint="eastAsia" w:ascii="宋体" w:hAnsi="宋体" w:cs="宋体"/>
          <w:color w:val="auto"/>
          <w:kern w:val="0"/>
          <w:sz w:val="24"/>
          <w:szCs w:val="24"/>
          <w:highlight w:val="lightGray"/>
          <w:lang w:val="zh-CN"/>
        </w:rPr>
        <w:t>（</w:t>
      </w:r>
      <w:r>
        <w:rPr>
          <w:rFonts w:hint="eastAsia" w:ascii="宋体" w:hAnsi="宋体" w:cs="宋体"/>
          <w:color w:val="auto"/>
          <w:kern w:val="0"/>
          <w:sz w:val="24"/>
          <w:szCs w:val="24"/>
          <w:highlight w:val="lightGray"/>
          <w:lang w:val="en-US" w:eastAsia="zh-CN"/>
        </w:rPr>
        <w:t>2</w:t>
      </w:r>
      <w:r>
        <w:rPr>
          <w:rFonts w:hint="eastAsia" w:ascii="宋体" w:hAnsi="宋体" w:cs="宋体"/>
          <w:color w:val="auto"/>
          <w:kern w:val="0"/>
          <w:sz w:val="24"/>
          <w:szCs w:val="24"/>
          <w:highlight w:val="lightGray"/>
          <w:lang w:val="zh-CN"/>
        </w:rPr>
        <w:t>）</w:t>
      </w:r>
      <w:r>
        <w:rPr>
          <w:rFonts w:hint="eastAsia" w:ascii="宋体" w:hAnsi="宋体" w:cs="宋体"/>
          <w:color w:val="auto"/>
          <w:kern w:val="0"/>
          <w:sz w:val="24"/>
          <w:szCs w:val="24"/>
          <w:highlight w:val="lightGray"/>
          <w:lang w:val="en-US" w:eastAsia="zh-CN"/>
        </w:rPr>
        <w:t>监测布点合理性分析</w:t>
      </w:r>
    </w:p>
    <w:p w14:paraId="55E01DB9">
      <w:pPr>
        <w:autoSpaceDE w:val="0"/>
        <w:autoSpaceDN w:val="0"/>
        <w:spacing w:line="360" w:lineRule="auto"/>
        <w:ind w:firstLine="480" w:firstLineChars="200"/>
        <w:rPr>
          <w:rFonts w:hint="default" w:ascii="宋体" w:hAnsi="宋体" w:cs="宋体"/>
          <w:color w:val="auto"/>
          <w:kern w:val="0"/>
          <w:sz w:val="24"/>
          <w:szCs w:val="24"/>
          <w:highlight w:val="red"/>
          <w:lang w:val="en-US" w:eastAsia="zh-CN"/>
        </w:rPr>
      </w:pPr>
      <w:r>
        <w:rPr>
          <w:rFonts w:hint="eastAsia" w:ascii="宋体" w:hAnsi="宋体" w:cs="宋体"/>
          <w:color w:val="auto"/>
          <w:kern w:val="0"/>
          <w:sz w:val="24"/>
          <w:szCs w:val="24"/>
          <w:highlight w:val="lightGray"/>
          <w:lang w:val="en-US" w:eastAsia="zh-CN"/>
        </w:rPr>
        <w:t>N1为2类区监测点，N2为4a类区监测点，N1、N2为具有代表性监测对象，N3距离道路边界线200m，处于现状道路影响范围外，可作为噪声背景监测点。</w:t>
      </w:r>
    </w:p>
    <w:p w14:paraId="6146303F">
      <w:pPr>
        <w:autoSpaceDE w:val="0"/>
        <w:autoSpaceDN w:val="0"/>
        <w:spacing w:line="360" w:lineRule="auto"/>
        <w:ind w:firstLine="480" w:firstLineChars="200"/>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w:t>
      </w:r>
      <w:r>
        <w:rPr>
          <w:rFonts w:hint="eastAsia" w:ascii="宋体" w:hAnsi="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val="zh-CN"/>
        </w:rPr>
        <w:t>）监测因子</w:t>
      </w:r>
    </w:p>
    <w:p w14:paraId="652F2561">
      <w:pPr>
        <w:autoSpaceDE w:val="0"/>
        <w:autoSpaceDN w:val="0"/>
        <w:spacing w:line="360" w:lineRule="auto"/>
        <w:ind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连续等效声级Leq（A）</w:t>
      </w:r>
      <w:r>
        <w:rPr>
          <w:rFonts w:hint="eastAsia" w:ascii="宋体" w:hAnsi="宋体" w:cs="宋体"/>
          <w:color w:val="auto"/>
          <w:sz w:val="24"/>
          <w:szCs w:val="24"/>
          <w:highlight w:val="none"/>
          <w:lang w:eastAsia="zh-CN"/>
        </w:rPr>
        <w:t>。</w:t>
      </w:r>
    </w:p>
    <w:p w14:paraId="1D94EC87">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rPr>
        <w:t>）监测时间及频次</w:t>
      </w:r>
    </w:p>
    <w:p w14:paraId="2C6114E7">
      <w:pPr>
        <w:spacing w:line="360" w:lineRule="auto"/>
        <w:ind w:firstLine="480" w:firstLineChars="200"/>
        <w:rPr>
          <w:rFonts w:hint="eastAsia" w:ascii="宋体" w:hAnsi="宋体" w:eastAsia="宋体" w:cs="宋体"/>
          <w:color w:val="auto"/>
          <w:sz w:val="24"/>
          <w:szCs w:val="24"/>
          <w:highlight w:val="lightGray"/>
        </w:rPr>
      </w:pPr>
      <w:r>
        <w:rPr>
          <w:rFonts w:hint="eastAsia" w:ascii="宋体" w:hAnsi="宋体" w:eastAsia="宋体" w:cs="宋体"/>
          <w:color w:val="auto"/>
          <w:sz w:val="24"/>
          <w:szCs w:val="24"/>
          <w:highlight w:val="lightGray"/>
        </w:rPr>
        <w:t>监测</w:t>
      </w:r>
      <w:r>
        <w:rPr>
          <w:rFonts w:hint="eastAsia" w:ascii="宋体" w:hAnsi="宋体" w:cs="宋体"/>
          <w:color w:val="auto"/>
          <w:sz w:val="24"/>
          <w:szCs w:val="24"/>
          <w:highlight w:val="lightGray"/>
          <w:lang w:val="en-US" w:eastAsia="zh-CN"/>
        </w:rPr>
        <w:t>2</w:t>
      </w:r>
      <w:r>
        <w:rPr>
          <w:rFonts w:hint="eastAsia" w:ascii="宋体" w:hAnsi="宋体" w:eastAsia="宋体" w:cs="宋体"/>
          <w:color w:val="auto"/>
          <w:sz w:val="24"/>
          <w:szCs w:val="24"/>
          <w:highlight w:val="lightGray"/>
        </w:rPr>
        <w:t>天（2025年</w:t>
      </w:r>
      <w:r>
        <w:rPr>
          <w:rFonts w:hint="eastAsia" w:ascii="宋体" w:hAnsi="宋体" w:cs="宋体"/>
          <w:color w:val="auto"/>
          <w:sz w:val="24"/>
          <w:szCs w:val="24"/>
          <w:highlight w:val="lightGray"/>
          <w:lang w:val="en-US" w:eastAsia="zh-CN"/>
        </w:rPr>
        <w:t>3</w:t>
      </w:r>
      <w:r>
        <w:rPr>
          <w:rFonts w:hint="eastAsia" w:ascii="宋体" w:hAnsi="宋体" w:eastAsia="宋体" w:cs="宋体"/>
          <w:color w:val="auto"/>
          <w:sz w:val="24"/>
          <w:szCs w:val="24"/>
          <w:highlight w:val="lightGray"/>
        </w:rPr>
        <w:t>月</w:t>
      </w:r>
      <w:r>
        <w:rPr>
          <w:rFonts w:hint="eastAsia" w:ascii="宋体" w:hAnsi="宋体" w:eastAsia="宋体" w:cs="宋体"/>
          <w:color w:val="auto"/>
          <w:sz w:val="24"/>
          <w:szCs w:val="24"/>
          <w:highlight w:val="lightGray"/>
          <w:lang w:val="en-US" w:eastAsia="zh-CN"/>
        </w:rPr>
        <w:t>9</w:t>
      </w:r>
      <w:r>
        <w:rPr>
          <w:rFonts w:hint="eastAsia" w:ascii="宋体" w:hAnsi="宋体" w:eastAsia="宋体" w:cs="宋体"/>
          <w:color w:val="auto"/>
          <w:sz w:val="24"/>
          <w:szCs w:val="24"/>
          <w:highlight w:val="lightGray"/>
        </w:rPr>
        <w:t>日</w:t>
      </w:r>
      <w:r>
        <w:rPr>
          <w:rFonts w:hint="eastAsia" w:ascii="宋体" w:hAnsi="宋体" w:cs="宋体"/>
          <w:color w:val="auto"/>
          <w:sz w:val="24"/>
          <w:szCs w:val="24"/>
          <w:highlight w:val="lightGray"/>
          <w:lang w:val="en-US" w:eastAsia="zh-CN"/>
        </w:rPr>
        <w:t>-3月10日</w:t>
      </w:r>
      <w:r>
        <w:rPr>
          <w:rFonts w:hint="eastAsia" w:ascii="宋体" w:hAnsi="宋体" w:eastAsia="宋体" w:cs="宋体"/>
          <w:color w:val="auto"/>
          <w:sz w:val="24"/>
          <w:szCs w:val="24"/>
          <w:highlight w:val="lightGray"/>
        </w:rPr>
        <w:t>），昼、夜各一次。</w:t>
      </w:r>
    </w:p>
    <w:p w14:paraId="1355A57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5</w:t>
      </w:r>
      <w:r>
        <w:rPr>
          <w:rFonts w:hint="eastAsia" w:ascii="宋体" w:hAnsi="宋体" w:eastAsia="宋体" w:cs="宋体"/>
          <w:color w:val="auto"/>
          <w:sz w:val="24"/>
          <w:szCs w:val="24"/>
          <w:highlight w:val="none"/>
        </w:rPr>
        <w:t>）评价方法</w:t>
      </w:r>
    </w:p>
    <w:p w14:paraId="5B87B23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采用监测值与标准值对照分析的方法进行评价，评估污染现状。</w:t>
      </w:r>
    </w:p>
    <w:p w14:paraId="0649D646">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6</w:t>
      </w:r>
      <w:r>
        <w:rPr>
          <w:rFonts w:hint="eastAsia" w:ascii="宋体" w:hAnsi="宋体" w:eastAsia="宋体" w:cs="宋体"/>
          <w:color w:val="auto"/>
          <w:sz w:val="24"/>
          <w:szCs w:val="24"/>
          <w:highlight w:val="none"/>
        </w:rPr>
        <w:t>）评价标准</w:t>
      </w:r>
    </w:p>
    <w:p w14:paraId="2D78E3C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根据声功能划分，本项目</w:t>
      </w:r>
      <w:r>
        <w:rPr>
          <w:rFonts w:hint="eastAsia" w:ascii="宋体" w:hAnsi="宋体" w:eastAsia="宋体" w:cs="宋体"/>
          <w:color w:val="auto"/>
          <w:sz w:val="24"/>
          <w:szCs w:val="24"/>
          <w:highlight w:val="none"/>
          <w:lang w:val="en-US" w:eastAsia="zh-CN"/>
        </w:rPr>
        <w:t>2类功能区敏感点</w:t>
      </w:r>
      <w:r>
        <w:rPr>
          <w:rFonts w:hint="eastAsia" w:ascii="宋体" w:hAnsi="宋体" w:eastAsia="宋体" w:cs="宋体"/>
          <w:color w:val="auto"/>
          <w:sz w:val="24"/>
          <w:szCs w:val="24"/>
          <w:highlight w:val="none"/>
        </w:rPr>
        <w:t>声环境监测点</w:t>
      </w:r>
      <w:r>
        <w:rPr>
          <w:rFonts w:hint="eastAsia" w:ascii="宋体" w:hAnsi="宋体" w:eastAsia="宋体" w:cs="宋体"/>
          <w:color w:val="auto"/>
          <w:sz w:val="24"/>
          <w:szCs w:val="24"/>
          <w:highlight w:val="none"/>
          <w:lang w:val="en-US" w:eastAsia="zh-CN"/>
        </w:rPr>
        <w:t>执行</w:t>
      </w:r>
      <w:r>
        <w:rPr>
          <w:rFonts w:hint="eastAsia" w:ascii="宋体" w:hAnsi="宋体" w:eastAsia="宋体" w:cs="宋体"/>
          <w:color w:val="auto"/>
          <w:sz w:val="24"/>
          <w:szCs w:val="24"/>
          <w:highlight w:val="none"/>
        </w:rPr>
        <w:t>《声环境质量标准》（GB3096-2008）中</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类标准，昼间6</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rPr>
        <w:t>dB（A），夜间5</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rPr>
        <w:t>dB（A）</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4a类功能区敏感点声环境监测点执行</w:t>
      </w:r>
      <w:r>
        <w:rPr>
          <w:rFonts w:hint="eastAsia" w:ascii="宋体" w:hAnsi="宋体" w:eastAsia="宋体" w:cs="宋体"/>
          <w:color w:val="auto"/>
          <w:sz w:val="24"/>
          <w:szCs w:val="24"/>
          <w:highlight w:val="none"/>
        </w:rPr>
        <w:t>《声环境质量标准》（GB3096-2008）中</w:t>
      </w:r>
      <w:r>
        <w:rPr>
          <w:rFonts w:hint="eastAsia" w:ascii="宋体" w:hAnsi="宋体" w:eastAsia="宋体" w:cs="宋体"/>
          <w:color w:val="auto"/>
          <w:sz w:val="24"/>
          <w:szCs w:val="24"/>
          <w:highlight w:val="none"/>
          <w:lang w:val="en-US" w:eastAsia="zh-CN"/>
        </w:rPr>
        <w:t>4a</w:t>
      </w:r>
      <w:r>
        <w:rPr>
          <w:rFonts w:hint="eastAsia" w:ascii="宋体" w:hAnsi="宋体" w:eastAsia="宋体" w:cs="宋体"/>
          <w:color w:val="auto"/>
          <w:sz w:val="24"/>
          <w:szCs w:val="24"/>
          <w:highlight w:val="none"/>
        </w:rPr>
        <w:t>类标准，昼间</w:t>
      </w:r>
      <w:r>
        <w:rPr>
          <w:rFonts w:hint="eastAsia" w:ascii="宋体" w:hAnsi="宋体" w:eastAsia="宋体" w:cs="宋体"/>
          <w:color w:val="auto"/>
          <w:sz w:val="24"/>
          <w:szCs w:val="24"/>
          <w:highlight w:val="none"/>
          <w:lang w:val="en-US" w:eastAsia="zh-CN"/>
        </w:rPr>
        <w:t>70</w:t>
      </w:r>
      <w:r>
        <w:rPr>
          <w:rFonts w:hint="eastAsia" w:ascii="宋体" w:hAnsi="宋体" w:eastAsia="宋体" w:cs="宋体"/>
          <w:color w:val="auto"/>
          <w:sz w:val="24"/>
          <w:szCs w:val="24"/>
          <w:highlight w:val="none"/>
        </w:rPr>
        <w:t>dB（A），夜间5</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dB（A）。</w:t>
      </w:r>
    </w:p>
    <w:p w14:paraId="0E1A3E44">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7</w:t>
      </w:r>
      <w:r>
        <w:rPr>
          <w:rFonts w:hint="eastAsia" w:ascii="宋体" w:hAnsi="宋体" w:eastAsia="宋体" w:cs="宋体"/>
          <w:color w:val="auto"/>
          <w:sz w:val="24"/>
          <w:szCs w:val="24"/>
          <w:highlight w:val="none"/>
        </w:rPr>
        <w:t>）噪声现状监测及评价结果</w:t>
      </w:r>
    </w:p>
    <w:p w14:paraId="2E383588">
      <w:pPr>
        <w:keepNext w:val="0"/>
        <w:keepLines w:val="0"/>
        <w:pageBreakBefore w:val="0"/>
        <w:widowControl w:val="0"/>
        <w:kinsoku/>
        <w:wordWrap/>
        <w:overflowPunct/>
        <w:topLinePunct w:val="0"/>
        <w:autoSpaceDE/>
        <w:autoSpaceDN/>
        <w:bidi w:val="0"/>
        <w:adjustRightInd/>
        <w:snapToGrid/>
        <w:jc w:val="left"/>
        <w:textAlignment w:val="auto"/>
        <w:rPr>
          <w:rFonts w:hint="default" w:ascii="宋体" w:hAnsi="宋体" w:eastAsia="宋体" w:cs="宋体"/>
          <w:color w:val="auto"/>
          <w:sz w:val="24"/>
          <w:szCs w:val="24"/>
          <w:highlight w:val="green"/>
          <w:lang w:val="en-US" w:eastAsia="zh-CN"/>
        </w:rPr>
      </w:pPr>
      <w:r>
        <w:rPr>
          <w:rFonts w:hint="eastAsia" w:ascii="宋体" w:hAnsi="宋体" w:eastAsia="宋体" w:cs="宋体"/>
          <w:color w:val="auto"/>
          <w:sz w:val="24"/>
          <w:szCs w:val="24"/>
          <w:highlight w:val="green"/>
        </w:rPr>
        <w:t>噪声现状监测汇总及评价结果见表</w:t>
      </w:r>
      <w:r>
        <w:rPr>
          <w:rFonts w:hint="eastAsia" w:ascii="宋体" w:hAnsi="宋体" w:eastAsia="宋体" w:cs="宋体"/>
          <w:color w:val="auto"/>
          <w:sz w:val="24"/>
          <w:szCs w:val="24"/>
          <w:highlight w:val="green"/>
          <w:lang w:val="en-US" w:eastAsia="zh-CN"/>
        </w:rPr>
        <w:t>8</w:t>
      </w:r>
      <w:r>
        <w:rPr>
          <w:rFonts w:hint="eastAsia" w:ascii="宋体" w:hAnsi="宋体" w:cs="宋体"/>
          <w:color w:val="auto"/>
          <w:sz w:val="24"/>
          <w:szCs w:val="24"/>
          <w:highlight w:val="green"/>
          <w:lang w:eastAsia="zh-CN"/>
        </w:rPr>
        <w:t>，</w:t>
      </w:r>
      <w:r>
        <w:rPr>
          <w:rFonts w:hint="eastAsia" w:ascii="宋体" w:hAnsi="宋体" w:cs="宋体"/>
          <w:color w:val="auto"/>
          <w:sz w:val="24"/>
          <w:szCs w:val="24"/>
          <w:highlight w:val="green"/>
          <w:lang w:val="en-US" w:eastAsia="zh-CN"/>
        </w:rPr>
        <w:t>车流量记录见表9。</w:t>
      </w:r>
      <w:bookmarkStart w:id="24" w:name="_GoBack"/>
      <w:bookmarkEnd w:id="24"/>
    </w:p>
    <w:p w14:paraId="18357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 xml:space="preserve">8     </w:t>
      </w:r>
      <w:r>
        <w:rPr>
          <w:rFonts w:hint="eastAsia" w:ascii="宋体" w:hAnsi="宋体" w:eastAsia="宋体" w:cs="宋体"/>
          <w:b/>
          <w:color w:val="auto"/>
          <w:sz w:val="21"/>
          <w:szCs w:val="21"/>
          <w:highlight w:val="none"/>
        </w:rPr>
        <w:t>噪声现状监测结果</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3039"/>
        <w:gridCol w:w="1290"/>
        <w:gridCol w:w="1173"/>
        <w:gridCol w:w="1113"/>
        <w:gridCol w:w="1243"/>
      </w:tblGrid>
      <w:tr w14:paraId="25B79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vMerge w:val="restart"/>
            <w:noWrap w:val="0"/>
            <w:vAlign w:val="center"/>
          </w:tcPr>
          <w:p w14:paraId="0337B6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color w:val="auto"/>
                <w:sz w:val="21"/>
                <w:szCs w:val="21"/>
                <w:highlight w:val="lightGray"/>
              </w:rPr>
            </w:pPr>
            <w:r>
              <w:rPr>
                <w:rFonts w:hint="eastAsia" w:ascii="宋体" w:hAnsi="宋体" w:eastAsia="宋体" w:cs="宋体"/>
                <w:b/>
                <w:bCs/>
                <w:color w:val="auto"/>
                <w:sz w:val="21"/>
                <w:szCs w:val="21"/>
                <w:highlight w:val="lightGray"/>
              </w:rPr>
              <w:t>编号</w:t>
            </w:r>
          </w:p>
        </w:tc>
        <w:tc>
          <w:tcPr>
            <w:tcW w:w="1783" w:type="pct"/>
            <w:vMerge w:val="restart"/>
            <w:noWrap w:val="0"/>
            <w:vAlign w:val="center"/>
          </w:tcPr>
          <w:p w14:paraId="70D25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color w:val="auto"/>
                <w:sz w:val="21"/>
                <w:szCs w:val="21"/>
                <w:highlight w:val="lightGray"/>
              </w:rPr>
            </w:pPr>
            <w:r>
              <w:rPr>
                <w:rFonts w:hint="eastAsia" w:ascii="宋体" w:hAnsi="宋体" w:eastAsia="宋体" w:cs="宋体"/>
                <w:b/>
                <w:bCs/>
                <w:color w:val="auto"/>
                <w:kern w:val="0"/>
                <w:sz w:val="21"/>
                <w:szCs w:val="21"/>
                <w:highlight w:val="lightGray"/>
                <w:lang w:bidi="ar"/>
              </w:rPr>
              <w:t>测点名称</w:t>
            </w:r>
          </w:p>
        </w:tc>
        <w:tc>
          <w:tcPr>
            <w:tcW w:w="1445" w:type="pct"/>
            <w:gridSpan w:val="2"/>
            <w:noWrap w:val="0"/>
            <w:vAlign w:val="center"/>
          </w:tcPr>
          <w:p w14:paraId="48263B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color w:val="auto"/>
                <w:sz w:val="21"/>
                <w:szCs w:val="21"/>
                <w:highlight w:val="lightGray"/>
              </w:rPr>
            </w:pPr>
            <w:r>
              <w:rPr>
                <w:rFonts w:hint="eastAsia" w:ascii="宋体" w:hAnsi="宋体" w:eastAsia="宋体" w:cs="宋体"/>
                <w:b/>
                <w:bCs/>
                <w:color w:val="auto"/>
                <w:kern w:val="0"/>
                <w:sz w:val="21"/>
                <w:szCs w:val="21"/>
                <w:highlight w:val="lightGray"/>
                <w:lang w:bidi="ar"/>
              </w:rPr>
              <w:t>检测结果Leq dB（A）</w:t>
            </w:r>
          </w:p>
        </w:tc>
        <w:tc>
          <w:tcPr>
            <w:tcW w:w="1382" w:type="pct"/>
            <w:gridSpan w:val="2"/>
            <w:noWrap w:val="0"/>
            <w:vAlign w:val="center"/>
          </w:tcPr>
          <w:p w14:paraId="3469AD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color w:val="auto"/>
                <w:kern w:val="0"/>
                <w:sz w:val="21"/>
                <w:szCs w:val="21"/>
                <w:highlight w:val="lightGray"/>
                <w:lang w:bidi="ar"/>
              </w:rPr>
            </w:pPr>
            <w:r>
              <w:rPr>
                <w:rFonts w:hint="eastAsia" w:ascii="宋体" w:hAnsi="宋体" w:eastAsia="宋体" w:cs="宋体"/>
                <w:b/>
                <w:bCs/>
                <w:color w:val="auto"/>
                <w:kern w:val="0"/>
                <w:sz w:val="21"/>
                <w:szCs w:val="21"/>
                <w:highlight w:val="lightGray"/>
                <w:lang w:bidi="ar"/>
              </w:rPr>
              <w:t>检测结果Leq dB（A）</w:t>
            </w:r>
          </w:p>
        </w:tc>
      </w:tr>
      <w:tr w14:paraId="5B409D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vMerge w:val="continue"/>
            <w:noWrap w:val="0"/>
            <w:vAlign w:val="center"/>
          </w:tcPr>
          <w:p w14:paraId="16E9F3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lightGray"/>
              </w:rPr>
            </w:pPr>
          </w:p>
        </w:tc>
        <w:tc>
          <w:tcPr>
            <w:tcW w:w="1783" w:type="pct"/>
            <w:vMerge w:val="continue"/>
            <w:noWrap w:val="0"/>
            <w:vAlign w:val="center"/>
          </w:tcPr>
          <w:p w14:paraId="777B63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lightGray"/>
              </w:rPr>
            </w:pPr>
          </w:p>
        </w:tc>
        <w:tc>
          <w:tcPr>
            <w:tcW w:w="1445" w:type="pct"/>
            <w:gridSpan w:val="2"/>
            <w:noWrap w:val="0"/>
            <w:vAlign w:val="center"/>
          </w:tcPr>
          <w:p w14:paraId="20075B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bidi="ar"/>
              </w:rPr>
            </w:pPr>
            <w:r>
              <w:rPr>
                <w:rFonts w:hint="eastAsia" w:ascii="宋体" w:hAnsi="宋体" w:eastAsia="宋体" w:cs="宋体"/>
                <w:b w:val="0"/>
                <w:bCs w:val="0"/>
                <w:color w:val="auto"/>
                <w:kern w:val="0"/>
                <w:sz w:val="21"/>
                <w:szCs w:val="21"/>
                <w:highlight w:val="lightGray"/>
                <w:lang w:bidi="ar"/>
              </w:rPr>
              <w:t>2025年</w:t>
            </w:r>
            <w:r>
              <w:rPr>
                <w:rFonts w:hint="eastAsia" w:ascii="宋体" w:hAnsi="宋体" w:cs="宋体"/>
                <w:b w:val="0"/>
                <w:bCs w:val="0"/>
                <w:color w:val="auto"/>
                <w:kern w:val="0"/>
                <w:sz w:val="21"/>
                <w:szCs w:val="21"/>
                <w:highlight w:val="lightGray"/>
                <w:lang w:val="en-US" w:eastAsia="zh-CN" w:bidi="ar"/>
              </w:rPr>
              <w:t>3</w:t>
            </w:r>
            <w:r>
              <w:rPr>
                <w:rFonts w:hint="eastAsia" w:ascii="宋体" w:hAnsi="宋体" w:eastAsia="宋体" w:cs="宋体"/>
                <w:b w:val="0"/>
                <w:bCs w:val="0"/>
                <w:color w:val="auto"/>
                <w:kern w:val="0"/>
                <w:sz w:val="21"/>
                <w:szCs w:val="21"/>
                <w:highlight w:val="lightGray"/>
                <w:lang w:bidi="ar"/>
              </w:rPr>
              <w:t>月</w:t>
            </w:r>
            <w:r>
              <w:rPr>
                <w:rFonts w:hint="eastAsia" w:ascii="宋体" w:hAnsi="宋体" w:eastAsia="宋体" w:cs="宋体"/>
                <w:b w:val="0"/>
                <w:bCs w:val="0"/>
                <w:color w:val="auto"/>
                <w:kern w:val="0"/>
                <w:sz w:val="21"/>
                <w:szCs w:val="21"/>
                <w:highlight w:val="lightGray"/>
                <w:lang w:val="en-US" w:eastAsia="zh-CN" w:bidi="ar"/>
              </w:rPr>
              <w:t>9</w:t>
            </w:r>
            <w:r>
              <w:rPr>
                <w:rFonts w:hint="eastAsia" w:ascii="宋体" w:hAnsi="宋体" w:eastAsia="宋体" w:cs="宋体"/>
                <w:b w:val="0"/>
                <w:bCs w:val="0"/>
                <w:color w:val="auto"/>
                <w:kern w:val="0"/>
                <w:sz w:val="21"/>
                <w:szCs w:val="21"/>
                <w:highlight w:val="lightGray"/>
                <w:lang w:bidi="ar"/>
              </w:rPr>
              <w:t>日</w:t>
            </w:r>
          </w:p>
        </w:tc>
        <w:tc>
          <w:tcPr>
            <w:tcW w:w="1382" w:type="pct"/>
            <w:gridSpan w:val="2"/>
            <w:noWrap w:val="0"/>
            <w:vAlign w:val="center"/>
          </w:tcPr>
          <w:p w14:paraId="1D36FD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bidi="ar"/>
              </w:rPr>
            </w:pPr>
            <w:r>
              <w:rPr>
                <w:rFonts w:hint="eastAsia" w:ascii="宋体" w:hAnsi="宋体" w:eastAsia="宋体" w:cs="宋体"/>
                <w:b w:val="0"/>
                <w:bCs w:val="0"/>
                <w:color w:val="auto"/>
                <w:kern w:val="0"/>
                <w:sz w:val="21"/>
                <w:szCs w:val="21"/>
                <w:highlight w:val="lightGray"/>
                <w:lang w:bidi="ar"/>
              </w:rPr>
              <w:t>2025年</w:t>
            </w:r>
            <w:r>
              <w:rPr>
                <w:rFonts w:hint="eastAsia" w:ascii="宋体" w:hAnsi="宋体" w:cs="宋体"/>
                <w:b w:val="0"/>
                <w:bCs w:val="0"/>
                <w:color w:val="auto"/>
                <w:kern w:val="0"/>
                <w:sz w:val="21"/>
                <w:szCs w:val="21"/>
                <w:highlight w:val="lightGray"/>
                <w:lang w:val="en-US" w:eastAsia="zh-CN" w:bidi="ar"/>
              </w:rPr>
              <w:t>3</w:t>
            </w:r>
            <w:r>
              <w:rPr>
                <w:rFonts w:hint="eastAsia" w:ascii="宋体" w:hAnsi="宋体" w:eastAsia="宋体" w:cs="宋体"/>
                <w:b w:val="0"/>
                <w:bCs w:val="0"/>
                <w:color w:val="auto"/>
                <w:kern w:val="0"/>
                <w:sz w:val="21"/>
                <w:szCs w:val="21"/>
                <w:highlight w:val="lightGray"/>
                <w:lang w:bidi="ar"/>
              </w:rPr>
              <w:t>月</w:t>
            </w:r>
            <w:r>
              <w:rPr>
                <w:rFonts w:hint="eastAsia" w:ascii="宋体" w:hAnsi="宋体" w:cs="宋体"/>
                <w:b w:val="0"/>
                <w:bCs w:val="0"/>
                <w:color w:val="auto"/>
                <w:kern w:val="0"/>
                <w:sz w:val="21"/>
                <w:szCs w:val="21"/>
                <w:highlight w:val="lightGray"/>
                <w:lang w:val="en-US" w:eastAsia="zh-CN" w:bidi="ar"/>
              </w:rPr>
              <w:t>10</w:t>
            </w:r>
            <w:r>
              <w:rPr>
                <w:rFonts w:hint="eastAsia" w:ascii="宋体" w:hAnsi="宋体" w:eastAsia="宋体" w:cs="宋体"/>
                <w:b w:val="0"/>
                <w:bCs w:val="0"/>
                <w:color w:val="auto"/>
                <w:kern w:val="0"/>
                <w:sz w:val="21"/>
                <w:szCs w:val="21"/>
                <w:highlight w:val="lightGray"/>
                <w:lang w:bidi="ar"/>
              </w:rPr>
              <w:t>日</w:t>
            </w:r>
          </w:p>
        </w:tc>
      </w:tr>
      <w:tr w14:paraId="5F7D7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vMerge w:val="continue"/>
            <w:noWrap w:val="0"/>
            <w:vAlign w:val="center"/>
          </w:tcPr>
          <w:p w14:paraId="2D24CB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lightGray"/>
              </w:rPr>
            </w:pPr>
          </w:p>
        </w:tc>
        <w:tc>
          <w:tcPr>
            <w:tcW w:w="1783" w:type="pct"/>
            <w:vMerge w:val="continue"/>
            <w:noWrap w:val="0"/>
            <w:vAlign w:val="center"/>
          </w:tcPr>
          <w:p w14:paraId="680547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lightGray"/>
              </w:rPr>
            </w:pPr>
          </w:p>
        </w:tc>
        <w:tc>
          <w:tcPr>
            <w:tcW w:w="757" w:type="pct"/>
            <w:noWrap w:val="0"/>
            <w:vAlign w:val="center"/>
          </w:tcPr>
          <w:p w14:paraId="6A3C6E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bidi="ar"/>
              </w:rPr>
            </w:pPr>
            <w:r>
              <w:rPr>
                <w:rFonts w:hint="eastAsia" w:ascii="宋体" w:hAnsi="宋体" w:eastAsia="宋体" w:cs="宋体"/>
                <w:b w:val="0"/>
                <w:bCs w:val="0"/>
                <w:color w:val="auto"/>
                <w:kern w:val="0"/>
                <w:sz w:val="21"/>
                <w:szCs w:val="21"/>
                <w:highlight w:val="lightGray"/>
                <w:lang w:bidi="ar"/>
              </w:rPr>
              <w:t>昼间</w:t>
            </w:r>
          </w:p>
        </w:tc>
        <w:tc>
          <w:tcPr>
            <w:tcW w:w="688" w:type="pct"/>
            <w:noWrap w:val="0"/>
            <w:vAlign w:val="center"/>
          </w:tcPr>
          <w:p w14:paraId="0AB38D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bidi="ar"/>
              </w:rPr>
            </w:pPr>
            <w:r>
              <w:rPr>
                <w:rFonts w:hint="eastAsia" w:ascii="宋体" w:hAnsi="宋体" w:eastAsia="宋体" w:cs="宋体"/>
                <w:b w:val="0"/>
                <w:bCs w:val="0"/>
                <w:color w:val="auto"/>
                <w:kern w:val="0"/>
                <w:sz w:val="21"/>
                <w:szCs w:val="21"/>
                <w:highlight w:val="lightGray"/>
                <w:lang w:bidi="ar"/>
              </w:rPr>
              <w:t>夜间</w:t>
            </w:r>
          </w:p>
        </w:tc>
        <w:tc>
          <w:tcPr>
            <w:tcW w:w="653" w:type="pct"/>
            <w:shd w:val="clear" w:color="auto" w:fill="auto"/>
            <w:noWrap w:val="0"/>
            <w:vAlign w:val="center"/>
          </w:tcPr>
          <w:p w14:paraId="75FE51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val="en-US" w:eastAsia="zh-CN" w:bidi="ar"/>
              </w:rPr>
            </w:pPr>
            <w:r>
              <w:rPr>
                <w:rFonts w:hint="eastAsia" w:ascii="宋体" w:hAnsi="宋体" w:eastAsia="宋体" w:cs="宋体"/>
                <w:b w:val="0"/>
                <w:bCs w:val="0"/>
                <w:color w:val="auto"/>
                <w:kern w:val="0"/>
                <w:sz w:val="21"/>
                <w:szCs w:val="21"/>
                <w:highlight w:val="lightGray"/>
                <w:lang w:bidi="ar"/>
              </w:rPr>
              <w:t>昼间</w:t>
            </w:r>
          </w:p>
        </w:tc>
        <w:tc>
          <w:tcPr>
            <w:tcW w:w="729" w:type="pct"/>
            <w:shd w:val="clear" w:color="auto" w:fill="auto"/>
            <w:noWrap w:val="0"/>
            <w:vAlign w:val="center"/>
          </w:tcPr>
          <w:p w14:paraId="6D879C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val="0"/>
                <w:bCs w:val="0"/>
                <w:color w:val="auto"/>
                <w:kern w:val="0"/>
                <w:sz w:val="21"/>
                <w:szCs w:val="21"/>
                <w:highlight w:val="lightGray"/>
                <w:lang w:val="en-US" w:eastAsia="zh-CN" w:bidi="ar"/>
              </w:rPr>
            </w:pPr>
            <w:r>
              <w:rPr>
                <w:rFonts w:hint="eastAsia" w:ascii="宋体" w:hAnsi="宋体" w:eastAsia="宋体" w:cs="宋体"/>
                <w:b w:val="0"/>
                <w:bCs w:val="0"/>
                <w:color w:val="auto"/>
                <w:kern w:val="0"/>
                <w:sz w:val="21"/>
                <w:szCs w:val="21"/>
                <w:highlight w:val="lightGray"/>
                <w:lang w:bidi="ar"/>
              </w:rPr>
              <w:t>夜间</w:t>
            </w:r>
          </w:p>
        </w:tc>
      </w:tr>
      <w:tr w14:paraId="5E8FB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noWrap w:val="0"/>
            <w:vAlign w:val="center"/>
          </w:tcPr>
          <w:p w14:paraId="1CD006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lightGray"/>
              </w:rPr>
            </w:pPr>
            <w:r>
              <w:rPr>
                <w:rFonts w:hint="eastAsia" w:ascii="宋体" w:hAnsi="宋体" w:eastAsia="宋体" w:cs="宋体"/>
                <w:color w:val="auto"/>
                <w:kern w:val="0"/>
                <w:sz w:val="21"/>
                <w:szCs w:val="21"/>
                <w:highlight w:val="lightGray"/>
                <w:lang w:bidi="ar"/>
              </w:rPr>
              <w:t>1#</w:t>
            </w:r>
          </w:p>
        </w:tc>
        <w:tc>
          <w:tcPr>
            <w:tcW w:w="1783" w:type="pct"/>
            <w:noWrap w:val="0"/>
            <w:vAlign w:val="center"/>
          </w:tcPr>
          <w:p w14:paraId="051B244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kern w:val="2"/>
                <w:sz w:val="21"/>
                <w:szCs w:val="21"/>
                <w:highlight w:val="lightGray"/>
                <w:lang w:val="en-US" w:eastAsia="zh-CN" w:bidi="ar-SA"/>
              </w:rPr>
            </w:pPr>
            <w:r>
              <w:rPr>
                <w:rFonts w:hint="eastAsia" w:ascii="宋体" w:hAnsi="宋体" w:eastAsia="宋体" w:cs="宋体"/>
                <w:color w:val="auto"/>
                <w:sz w:val="21"/>
                <w:szCs w:val="21"/>
                <w:highlight w:val="lightGray"/>
                <w:lang w:val="en-US" w:eastAsia="zh-CN"/>
              </w:rPr>
              <w:t>南侧居民</w:t>
            </w:r>
            <w:r>
              <w:rPr>
                <w:rFonts w:hint="eastAsia" w:ascii="宋体" w:hAnsi="宋体" w:cs="宋体"/>
                <w:color w:val="auto"/>
                <w:sz w:val="21"/>
                <w:szCs w:val="21"/>
                <w:highlight w:val="lightGray"/>
                <w:lang w:val="en-US" w:eastAsia="zh-CN"/>
              </w:rPr>
              <w:t>2</w:t>
            </w:r>
            <w:r>
              <w:rPr>
                <w:rFonts w:hint="eastAsia" w:ascii="宋体" w:hAnsi="宋体" w:eastAsia="宋体" w:cs="宋体"/>
                <w:color w:val="auto"/>
                <w:sz w:val="21"/>
                <w:szCs w:val="21"/>
                <w:highlight w:val="lightGray"/>
                <w:lang w:val="en-US" w:eastAsia="zh-CN"/>
              </w:rPr>
              <w:t>类区监测点</w:t>
            </w:r>
          </w:p>
        </w:tc>
        <w:tc>
          <w:tcPr>
            <w:tcW w:w="757" w:type="pct"/>
            <w:noWrap w:val="0"/>
            <w:vAlign w:val="center"/>
          </w:tcPr>
          <w:p w14:paraId="7825E80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53</w:t>
            </w:r>
          </w:p>
        </w:tc>
        <w:tc>
          <w:tcPr>
            <w:tcW w:w="688" w:type="pct"/>
            <w:noWrap w:val="0"/>
            <w:vAlign w:val="center"/>
          </w:tcPr>
          <w:p w14:paraId="5D2412E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44</w:t>
            </w:r>
          </w:p>
        </w:tc>
        <w:tc>
          <w:tcPr>
            <w:tcW w:w="653" w:type="pct"/>
            <w:noWrap w:val="0"/>
            <w:vAlign w:val="center"/>
          </w:tcPr>
          <w:p w14:paraId="5F9C13C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51</w:t>
            </w:r>
          </w:p>
        </w:tc>
        <w:tc>
          <w:tcPr>
            <w:tcW w:w="729" w:type="pct"/>
            <w:noWrap w:val="0"/>
            <w:vAlign w:val="center"/>
          </w:tcPr>
          <w:p w14:paraId="52BD48D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42</w:t>
            </w:r>
          </w:p>
        </w:tc>
      </w:tr>
      <w:tr w14:paraId="0A386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noWrap w:val="0"/>
            <w:vAlign w:val="center"/>
          </w:tcPr>
          <w:p w14:paraId="32029F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kern w:val="0"/>
                <w:sz w:val="21"/>
                <w:szCs w:val="21"/>
                <w:highlight w:val="lightGray"/>
                <w:lang w:val="en-US" w:eastAsia="zh-CN" w:bidi="ar"/>
              </w:rPr>
            </w:pPr>
            <w:r>
              <w:rPr>
                <w:rFonts w:hint="eastAsia" w:ascii="宋体" w:hAnsi="宋体" w:eastAsia="宋体" w:cs="宋体"/>
                <w:color w:val="auto"/>
                <w:kern w:val="0"/>
                <w:sz w:val="21"/>
                <w:szCs w:val="21"/>
                <w:highlight w:val="lightGray"/>
                <w:lang w:val="en-US" w:eastAsia="zh-CN" w:bidi="ar"/>
              </w:rPr>
              <w:t>2#</w:t>
            </w:r>
          </w:p>
        </w:tc>
        <w:tc>
          <w:tcPr>
            <w:tcW w:w="1783" w:type="pct"/>
            <w:noWrap w:val="0"/>
            <w:vAlign w:val="center"/>
          </w:tcPr>
          <w:p w14:paraId="1D1F046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eastAsia" w:ascii="宋体" w:hAnsi="宋体" w:eastAsia="宋体" w:cs="宋体"/>
                <w:color w:val="auto"/>
                <w:sz w:val="21"/>
                <w:szCs w:val="21"/>
                <w:highlight w:val="lightGray"/>
                <w:lang w:val="en-US" w:eastAsia="zh-CN"/>
              </w:rPr>
              <w:t>南侧居民</w:t>
            </w:r>
            <w:r>
              <w:rPr>
                <w:rFonts w:hint="eastAsia" w:ascii="宋体" w:hAnsi="宋体" w:cs="宋体"/>
                <w:color w:val="auto"/>
                <w:sz w:val="21"/>
                <w:szCs w:val="21"/>
                <w:highlight w:val="lightGray"/>
                <w:lang w:val="en-US" w:eastAsia="zh-CN"/>
              </w:rPr>
              <w:t>4a</w:t>
            </w:r>
            <w:r>
              <w:rPr>
                <w:rFonts w:hint="eastAsia" w:ascii="宋体" w:hAnsi="宋体" w:eastAsia="宋体" w:cs="宋体"/>
                <w:color w:val="auto"/>
                <w:sz w:val="21"/>
                <w:szCs w:val="21"/>
                <w:highlight w:val="lightGray"/>
                <w:lang w:val="en-US" w:eastAsia="zh-CN"/>
              </w:rPr>
              <w:t>类区监测点</w:t>
            </w:r>
          </w:p>
        </w:tc>
        <w:tc>
          <w:tcPr>
            <w:tcW w:w="757" w:type="pct"/>
            <w:noWrap w:val="0"/>
            <w:vAlign w:val="center"/>
          </w:tcPr>
          <w:p w14:paraId="5E6343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58</w:t>
            </w:r>
          </w:p>
        </w:tc>
        <w:tc>
          <w:tcPr>
            <w:tcW w:w="688" w:type="pct"/>
            <w:noWrap w:val="0"/>
            <w:vAlign w:val="center"/>
          </w:tcPr>
          <w:p w14:paraId="0146F0E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49</w:t>
            </w:r>
          </w:p>
        </w:tc>
        <w:tc>
          <w:tcPr>
            <w:tcW w:w="653" w:type="pct"/>
            <w:noWrap w:val="0"/>
            <w:vAlign w:val="center"/>
          </w:tcPr>
          <w:p w14:paraId="0A43281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56</w:t>
            </w:r>
          </w:p>
        </w:tc>
        <w:tc>
          <w:tcPr>
            <w:tcW w:w="729" w:type="pct"/>
            <w:noWrap w:val="0"/>
            <w:vAlign w:val="center"/>
          </w:tcPr>
          <w:p w14:paraId="69FCBE5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48</w:t>
            </w:r>
          </w:p>
        </w:tc>
      </w:tr>
      <w:tr w14:paraId="7F1BF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8" w:type="pct"/>
            <w:noWrap w:val="0"/>
            <w:vAlign w:val="center"/>
          </w:tcPr>
          <w:p w14:paraId="4E81D2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kern w:val="0"/>
                <w:sz w:val="21"/>
                <w:szCs w:val="21"/>
                <w:highlight w:val="lightGray"/>
                <w:lang w:val="en-US" w:eastAsia="zh-CN" w:bidi="ar"/>
              </w:rPr>
            </w:pPr>
            <w:r>
              <w:rPr>
                <w:rFonts w:hint="eastAsia" w:ascii="宋体" w:hAnsi="宋体" w:cs="宋体"/>
                <w:color w:val="auto"/>
                <w:kern w:val="0"/>
                <w:sz w:val="21"/>
                <w:szCs w:val="21"/>
                <w:highlight w:val="lightGray"/>
                <w:lang w:val="en-US" w:eastAsia="zh-CN" w:bidi="ar"/>
              </w:rPr>
              <w:t>3#</w:t>
            </w:r>
          </w:p>
        </w:tc>
        <w:tc>
          <w:tcPr>
            <w:tcW w:w="1783" w:type="pct"/>
            <w:noWrap w:val="0"/>
            <w:vAlign w:val="center"/>
          </w:tcPr>
          <w:p w14:paraId="294665E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宋体" w:hAnsi="宋体" w:eastAsia="宋体" w:cs="宋体"/>
                <w:color w:val="auto"/>
                <w:sz w:val="21"/>
                <w:szCs w:val="21"/>
                <w:highlight w:val="lightGray"/>
                <w:lang w:val="en-US" w:eastAsia="zh-CN"/>
              </w:rPr>
            </w:pPr>
            <w:r>
              <w:rPr>
                <w:rFonts w:hint="eastAsia" w:ascii="宋体" w:hAnsi="宋体" w:cs="宋体"/>
                <w:color w:val="auto"/>
                <w:sz w:val="21"/>
                <w:szCs w:val="21"/>
                <w:highlight w:val="lightGray"/>
                <w:lang w:val="en-US" w:eastAsia="zh-CN"/>
              </w:rPr>
              <w:t>不受道路现有道路影响监测点</w:t>
            </w:r>
          </w:p>
        </w:tc>
        <w:tc>
          <w:tcPr>
            <w:tcW w:w="757" w:type="pct"/>
            <w:noWrap w:val="0"/>
            <w:vAlign w:val="center"/>
          </w:tcPr>
          <w:p w14:paraId="724EFD7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52</w:t>
            </w:r>
          </w:p>
        </w:tc>
        <w:tc>
          <w:tcPr>
            <w:tcW w:w="688" w:type="pct"/>
            <w:noWrap w:val="0"/>
            <w:vAlign w:val="center"/>
          </w:tcPr>
          <w:p w14:paraId="4761B21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43</w:t>
            </w:r>
          </w:p>
        </w:tc>
        <w:tc>
          <w:tcPr>
            <w:tcW w:w="653" w:type="pct"/>
            <w:noWrap w:val="0"/>
            <w:vAlign w:val="center"/>
          </w:tcPr>
          <w:p w14:paraId="3BF91A8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51</w:t>
            </w:r>
          </w:p>
        </w:tc>
        <w:tc>
          <w:tcPr>
            <w:tcW w:w="729" w:type="pct"/>
            <w:noWrap w:val="0"/>
            <w:vAlign w:val="center"/>
          </w:tcPr>
          <w:p w14:paraId="7117024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auto"/>
                <w:sz w:val="21"/>
                <w:szCs w:val="21"/>
                <w:highlight w:val="lightGray"/>
                <w:lang w:val="en-US" w:eastAsia="zh-CN"/>
              </w:rPr>
            </w:pPr>
            <w:r>
              <w:rPr>
                <w:rFonts w:hint="default" w:ascii="宋体" w:hAnsi="宋体" w:eastAsia="宋体" w:cs="宋体"/>
                <w:color w:val="auto"/>
                <w:sz w:val="21"/>
                <w:szCs w:val="21"/>
                <w:highlight w:val="lightGray"/>
                <w:lang w:val="en-US" w:eastAsia="zh-CN"/>
              </w:rPr>
              <w:t>43</w:t>
            </w:r>
          </w:p>
        </w:tc>
      </w:tr>
    </w:tbl>
    <w:p w14:paraId="6C20B4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color w:val="auto"/>
          <w:sz w:val="21"/>
          <w:szCs w:val="21"/>
          <w:highlight w:val="green"/>
        </w:rPr>
      </w:pPr>
      <w:r>
        <w:rPr>
          <w:rFonts w:hint="eastAsia" w:ascii="宋体" w:hAnsi="宋体" w:cs="宋体"/>
          <w:b/>
          <w:color w:val="auto"/>
          <w:sz w:val="21"/>
          <w:szCs w:val="21"/>
          <w:highlight w:val="green"/>
          <w:lang w:val="en-US" w:eastAsia="zh-CN"/>
        </w:rPr>
        <w:t>表9    车流量统计</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287"/>
        <w:gridCol w:w="1228"/>
        <w:gridCol w:w="1377"/>
        <w:gridCol w:w="1297"/>
        <w:gridCol w:w="1297"/>
        <w:gridCol w:w="1297"/>
      </w:tblGrid>
      <w:tr w14:paraId="48061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739" w:type="dxa"/>
            <w:vMerge w:val="restart"/>
            <w:tcBorders>
              <w:tl2br w:val="nil"/>
              <w:tr2bl w:val="nil"/>
            </w:tcBorders>
            <w:noWrap w:val="0"/>
            <w:vAlign w:val="center"/>
          </w:tcPr>
          <w:p w14:paraId="12EE7C79">
            <w:pPr>
              <w:pStyle w:val="102"/>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auto"/>
                <w:sz w:val="21"/>
                <w:szCs w:val="21"/>
                <w:highlight w:val="green"/>
                <w:lang w:eastAsia="zh-CN"/>
              </w:rPr>
            </w:pPr>
            <w:r>
              <w:rPr>
                <w:rFonts w:hint="default" w:ascii="Times New Roman" w:hAnsi="Times New Roman" w:cs="Times New Roman"/>
                <w:b/>
                <w:bCs/>
                <w:color w:val="auto"/>
                <w:sz w:val="21"/>
                <w:szCs w:val="21"/>
                <w:highlight w:val="green"/>
                <w:lang w:eastAsia="zh-CN"/>
              </w:rPr>
              <w:t>序号</w:t>
            </w:r>
          </w:p>
        </w:tc>
        <w:tc>
          <w:tcPr>
            <w:tcW w:w="1287" w:type="dxa"/>
            <w:vMerge w:val="restart"/>
            <w:tcBorders>
              <w:tl2br w:val="nil"/>
              <w:tr2bl w:val="nil"/>
            </w:tcBorders>
            <w:noWrap w:val="0"/>
            <w:vAlign w:val="center"/>
          </w:tcPr>
          <w:p w14:paraId="010CA743">
            <w:pPr>
              <w:pStyle w:val="102"/>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b/>
                <w:bCs/>
                <w:color w:val="auto"/>
                <w:sz w:val="21"/>
                <w:szCs w:val="21"/>
                <w:highlight w:val="green"/>
              </w:rPr>
            </w:pPr>
            <w:r>
              <w:rPr>
                <w:rFonts w:hint="default" w:ascii="Times New Roman" w:hAnsi="Times New Roman" w:cs="Times New Roman"/>
                <w:b/>
                <w:bCs/>
                <w:color w:val="auto"/>
                <w:sz w:val="21"/>
                <w:szCs w:val="21"/>
                <w:highlight w:val="green"/>
                <w:lang w:val="en-US" w:eastAsia="zh-CN"/>
              </w:rPr>
              <w:t>监测</w:t>
            </w:r>
            <w:r>
              <w:rPr>
                <w:rFonts w:hint="default" w:ascii="Times New Roman" w:hAnsi="Times New Roman" w:cs="Times New Roman"/>
                <w:b/>
                <w:bCs/>
                <w:color w:val="auto"/>
                <w:sz w:val="21"/>
                <w:szCs w:val="21"/>
                <w:highlight w:val="green"/>
              </w:rPr>
              <w:t>点位</w:t>
            </w:r>
          </w:p>
        </w:tc>
        <w:tc>
          <w:tcPr>
            <w:tcW w:w="1228" w:type="dxa"/>
            <w:vMerge w:val="restart"/>
            <w:tcBorders>
              <w:tl2br w:val="nil"/>
              <w:tr2bl w:val="nil"/>
            </w:tcBorders>
            <w:noWrap w:val="0"/>
            <w:vAlign w:val="center"/>
          </w:tcPr>
          <w:p w14:paraId="5635D2F4">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b/>
                <w:bCs/>
                <w:color w:val="auto"/>
                <w:sz w:val="21"/>
                <w:szCs w:val="21"/>
                <w:highlight w:val="green"/>
              </w:rPr>
            </w:pPr>
            <w:r>
              <w:rPr>
                <w:rFonts w:hint="default" w:ascii="Times New Roman" w:hAnsi="Times New Roman" w:cs="Times New Roman"/>
                <w:b/>
                <w:bCs/>
                <w:color w:val="auto"/>
                <w:sz w:val="21"/>
                <w:szCs w:val="21"/>
                <w:highlight w:val="green"/>
                <w:lang w:val="en-US" w:eastAsia="zh-CN"/>
              </w:rPr>
              <w:t>监测</w:t>
            </w:r>
            <w:r>
              <w:rPr>
                <w:rFonts w:hint="default" w:ascii="Times New Roman" w:hAnsi="Times New Roman" w:cs="Times New Roman"/>
                <w:b/>
                <w:bCs/>
                <w:color w:val="auto"/>
                <w:sz w:val="21"/>
                <w:szCs w:val="21"/>
                <w:highlight w:val="green"/>
              </w:rPr>
              <w:t>日期</w:t>
            </w:r>
          </w:p>
        </w:tc>
        <w:tc>
          <w:tcPr>
            <w:tcW w:w="1377" w:type="dxa"/>
            <w:vMerge w:val="restart"/>
            <w:tcBorders>
              <w:tl2br w:val="nil"/>
              <w:tr2bl w:val="nil"/>
            </w:tcBorders>
            <w:noWrap w:val="0"/>
            <w:vAlign w:val="center"/>
          </w:tcPr>
          <w:p w14:paraId="72DA5CBC">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b/>
                <w:bCs/>
                <w:color w:val="auto"/>
                <w:sz w:val="21"/>
                <w:szCs w:val="21"/>
                <w:highlight w:val="green"/>
              </w:rPr>
            </w:pPr>
            <w:r>
              <w:rPr>
                <w:rFonts w:hint="default" w:ascii="Times New Roman" w:hAnsi="Times New Roman" w:cs="Times New Roman"/>
                <w:b/>
                <w:bCs/>
                <w:color w:val="auto"/>
                <w:sz w:val="21"/>
                <w:szCs w:val="21"/>
                <w:highlight w:val="green"/>
                <w:lang w:val="en-US" w:eastAsia="zh-CN"/>
              </w:rPr>
              <w:t>监测</w:t>
            </w:r>
            <w:r>
              <w:rPr>
                <w:rFonts w:hint="default" w:ascii="Times New Roman" w:hAnsi="Times New Roman" w:cs="Times New Roman"/>
                <w:b/>
                <w:bCs/>
                <w:color w:val="auto"/>
                <w:sz w:val="21"/>
                <w:szCs w:val="21"/>
                <w:highlight w:val="green"/>
              </w:rPr>
              <w:t>时段</w:t>
            </w:r>
          </w:p>
        </w:tc>
        <w:tc>
          <w:tcPr>
            <w:tcW w:w="3891" w:type="dxa"/>
            <w:gridSpan w:val="3"/>
            <w:tcBorders>
              <w:tl2br w:val="nil"/>
              <w:tr2bl w:val="nil"/>
            </w:tcBorders>
            <w:noWrap w:val="0"/>
            <w:vAlign w:val="center"/>
          </w:tcPr>
          <w:p w14:paraId="5D1E5BEE">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b/>
                <w:bCs/>
                <w:color w:val="auto"/>
                <w:sz w:val="21"/>
                <w:szCs w:val="21"/>
                <w:highlight w:val="green"/>
              </w:rPr>
            </w:pPr>
            <w:r>
              <w:rPr>
                <w:rFonts w:hint="default" w:ascii="Times New Roman" w:hAnsi="Times New Roman" w:cs="Times New Roman"/>
                <w:b/>
                <w:bCs/>
                <w:color w:val="auto"/>
                <w:sz w:val="21"/>
                <w:szCs w:val="21"/>
                <w:highlight w:val="green"/>
              </w:rPr>
              <w:t>车流量(辆/20min)</w:t>
            </w:r>
          </w:p>
        </w:tc>
      </w:tr>
      <w:tr w14:paraId="1243D5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739" w:type="dxa"/>
            <w:vMerge w:val="continue"/>
            <w:tcBorders>
              <w:tl2br w:val="nil"/>
              <w:tr2bl w:val="nil"/>
            </w:tcBorders>
            <w:noWrap w:val="0"/>
            <w:vAlign w:val="center"/>
          </w:tcPr>
          <w:p w14:paraId="6B4CF561">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87" w:type="dxa"/>
            <w:vMerge w:val="continue"/>
            <w:tcBorders>
              <w:tl2br w:val="nil"/>
              <w:tr2bl w:val="nil"/>
            </w:tcBorders>
            <w:noWrap w:val="0"/>
            <w:vAlign w:val="center"/>
          </w:tcPr>
          <w:p w14:paraId="55D7B80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28" w:type="dxa"/>
            <w:vMerge w:val="continue"/>
            <w:tcBorders>
              <w:tl2br w:val="nil"/>
              <w:tr2bl w:val="nil"/>
            </w:tcBorders>
            <w:noWrap w:val="0"/>
            <w:vAlign w:val="center"/>
          </w:tcPr>
          <w:p w14:paraId="2F44B31F">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377" w:type="dxa"/>
            <w:vMerge w:val="continue"/>
            <w:tcBorders>
              <w:tl2br w:val="nil"/>
              <w:tr2bl w:val="nil"/>
            </w:tcBorders>
            <w:noWrap w:val="0"/>
            <w:vAlign w:val="center"/>
          </w:tcPr>
          <w:p w14:paraId="288DD74D">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97" w:type="dxa"/>
            <w:tcBorders>
              <w:tl2br w:val="nil"/>
              <w:tr2bl w:val="nil"/>
            </w:tcBorders>
            <w:noWrap w:val="0"/>
            <w:vAlign w:val="center"/>
          </w:tcPr>
          <w:p w14:paraId="02C03ADB">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大型</w:t>
            </w:r>
          </w:p>
        </w:tc>
        <w:tc>
          <w:tcPr>
            <w:tcW w:w="1297" w:type="dxa"/>
            <w:tcBorders>
              <w:tl2br w:val="nil"/>
              <w:tr2bl w:val="nil"/>
            </w:tcBorders>
            <w:noWrap w:val="0"/>
            <w:vAlign w:val="center"/>
          </w:tcPr>
          <w:p w14:paraId="67E9BCC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中型</w:t>
            </w:r>
          </w:p>
        </w:tc>
        <w:tc>
          <w:tcPr>
            <w:tcW w:w="1297" w:type="dxa"/>
            <w:tcBorders>
              <w:tl2br w:val="nil"/>
              <w:tr2bl w:val="nil"/>
            </w:tcBorders>
            <w:noWrap w:val="0"/>
            <w:vAlign w:val="center"/>
          </w:tcPr>
          <w:p w14:paraId="655B82A7">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小型</w:t>
            </w:r>
          </w:p>
        </w:tc>
      </w:tr>
      <w:tr w14:paraId="59472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39" w:type="dxa"/>
            <w:vMerge w:val="restart"/>
            <w:tcBorders>
              <w:tl2br w:val="nil"/>
              <w:tr2bl w:val="nil"/>
            </w:tcBorders>
            <w:noWrap w:val="0"/>
            <w:vAlign w:val="center"/>
          </w:tcPr>
          <w:p w14:paraId="4B217BF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color w:val="auto"/>
                <w:sz w:val="21"/>
                <w:szCs w:val="21"/>
                <w:highlight w:val="green"/>
                <w:lang w:val="en-US" w:eastAsia="zh-CN"/>
              </w:rPr>
              <w:t>▲</w:t>
            </w:r>
            <w:r>
              <w:rPr>
                <w:rFonts w:hint="eastAsia" w:ascii="Times New Roman" w:hAnsi="Times New Roman" w:eastAsia="宋体" w:cs="Times New Roman"/>
                <w:color w:val="auto"/>
                <w:sz w:val="21"/>
                <w:szCs w:val="21"/>
                <w:highlight w:val="green"/>
                <w:lang w:val="en-US" w:eastAsia="zh-CN"/>
              </w:rPr>
              <w:t>2</w:t>
            </w:r>
            <w:r>
              <w:rPr>
                <w:rFonts w:hint="default" w:ascii="Times New Roman" w:hAnsi="Times New Roman" w:eastAsia="宋体" w:cs="Times New Roman"/>
                <w:color w:val="auto"/>
                <w:sz w:val="21"/>
                <w:szCs w:val="21"/>
                <w:highlight w:val="green"/>
                <w:lang w:val="en-US" w:eastAsia="zh-CN"/>
              </w:rPr>
              <w:t>#</w:t>
            </w:r>
          </w:p>
        </w:tc>
        <w:tc>
          <w:tcPr>
            <w:tcW w:w="1287" w:type="dxa"/>
            <w:vMerge w:val="restart"/>
            <w:tcBorders>
              <w:tl2br w:val="nil"/>
              <w:tr2bl w:val="nil"/>
            </w:tcBorders>
            <w:noWrap w:val="0"/>
            <w:vAlign w:val="center"/>
          </w:tcPr>
          <w:p w14:paraId="61414473">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0"/>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cs="Times New Roman"/>
                <w:b w:val="0"/>
                <w:bCs w:val="0"/>
                <w:sz w:val="21"/>
                <w:szCs w:val="21"/>
                <w:highlight w:val="green"/>
                <w:vertAlign w:val="baseline"/>
                <w:lang w:val="en-US" w:eastAsia="zh-CN"/>
              </w:rPr>
              <w:t>距离公路最近住宅第一排窗前1m</w:t>
            </w:r>
          </w:p>
        </w:tc>
        <w:tc>
          <w:tcPr>
            <w:tcW w:w="1228" w:type="dxa"/>
            <w:vMerge w:val="restart"/>
            <w:tcBorders>
              <w:tl2br w:val="nil"/>
              <w:tr2bl w:val="nil"/>
            </w:tcBorders>
            <w:noWrap w:val="0"/>
            <w:vAlign w:val="center"/>
          </w:tcPr>
          <w:p w14:paraId="006A05B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green"/>
                <w:lang w:val="en-US"/>
              </w:rPr>
            </w:pPr>
            <w:r>
              <w:rPr>
                <w:rFonts w:hint="default" w:ascii="Times New Roman" w:hAnsi="Times New Roman" w:cs="Times New Roman"/>
                <w:b w:val="0"/>
                <w:bCs/>
                <w:color w:val="auto"/>
                <w:spacing w:val="0"/>
                <w:sz w:val="21"/>
                <w:szCs w:val="21"/>
                <w:highlight w:val="green"/>
                <w:lang w:val="en-US" w:eastAsia="zh-CN"/>
              </w:rPr>
              <w:t>202</w:t>
            </w:r>
            <w:r>
              <w:rPr>
                <w:rFonts w:hint="eastAsia" w:ascii="Times New Roman" w:hAnsi="Times New Roman" w:cs="Times New Roman"/>
                <w:b w:val="0"/>
                <w:bCs/>
                <w:color w:val="auto"/>
                <w:spacing w:val="0"/>
                <w:sz w:val="21"/>
                <w:szCs w:val="21"/>
                <w:highlight w:val="green"/>
                <w:lang w:val="en-US" w:eastAsia="zh-CN"/>
              </w:rPr>
              <w:t>5.03.09</w:t>
            </w:r>
          </w:p>
        </w:tc>
        <w:tc>
          <w:tcPr>
            <w:tcW w:w="1377" w:type="dxa"/>
            <w:tcBorders>
              <w:tl2br w:val="nil"/>
              <w:tr2bl w:val="nil"/>
            </w:tcBorders>
            <w:noWrap w:val="0"/>
            <w:vAlign w:val="center"/>
          </w:tcPr>
          <w:p w14:paraId="33DA657A">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昼间</w:t>
            </w:r>
          </w:p>
        </w:tc>
        <w:tc>
          <w:tcPr>
            <w:tcW w:w="1297" w:type="dxa"/>
            <w:tcBorders>
              <w:tl2br w:val="nil"/>
              <w:tr2bl w:val="nil"/>
            </w:tcBorders>
            <w:noWrap w:val="0"/>
            <w:vAlign w:val="center"/>
          </w:tcPr>
          <w:p w14:paraId="367959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9</w:t>
            </w:r>
          </w:p>
        </w:tc>
        <w:tc>
          <w:tcPr>
            <w:tcW w:w="1297" w:type="dxa"/>
            <w:tcBorders>
              <w:tl2br w:val="nil"/>
              <w:tr2bl w:val="nil"/>
            </w:tcBorders>
            <w:noWrap w:val="0"/>
            <w:vAlign w:val="center"/>
          </w:tcPr>
          <w:p w14:paraId="124E4E8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5</w:t>
            </w:r>
          </w:p>
        </w:tc>
        <w:tc>
          <w:tcPr>
            <w:tcW w:w="1297" w:type="dxa"/>
            <w:tcBorders>
              <w:tl2br w:val="nil"/>
              <w:tr2bl w:val="nil"/>
            </w:tcBorders>
            <w:noWrap w:val="0"/>
            <w:vAlign w:val="center"/>
          </w:tcPr>
          <w:p w14:paraId="0F30FD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26</w:t>
            </w:r>
          </w:p>
        </w:tc>
      </w:tr>
      <w:tr w14:paraId="36DDB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39" w:type="dxa"/>
            <w:vMerge w:val="continue"/>
            <w:tcBorders>
              <w:tl2br w:val="nil"/>
              <w:tr2bl w:val="nil"/>
            </w:tcBorders>
            <w:noWrap w:val="0"/>
            <w:vAlign w:val="center"/>
          </w:tcPr>
          <w:p w14:paraId="3350B4FC">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87" w:type="dxa"/>
            <w:vMerge w:val="continue"/>
            <w:tcBorders>
              <w:tl2br w:val="nil"/>
              <w:tr2bl w:val="nil"/>
            </w:tcBorders>
            <w:noWrap w:val="0"/>
            <w:vAlign w:val="center"/>
          </w:tcPr>
          <w:p w14:paraId="62E2B78F">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28" w:type="dxa"/>
            <w:vMerge w:val="continue"/>
            <w:tcBorders>
              <w:tl2br w:val="nil"/>
              <w:tr2bl w:val="nil"/>
            </w:tcBorders>
            <w:noWrap w:val="0"/>
            <w:vAlign w:val="center"/>
          </w:tcPr>
          <w:p w14:paraId="48A8F85E">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377" w:type="dxa"/>
            <w:tcBorders>
              <w:tl2br w:val="nil"/>
              <w:tr2bl w:val="nil"/>
            </w:tcBorders>
            <w:noWrap w:val="0"/>
            <w:vAlign w:val="center"/>
          </w:tcPr>
          <w:p w14:paraId="6DC79B13">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夜间</w:t>
            </w:r>
          </w:p>
        </w:tc>
        <w:tc>
          <w:tcPr>
            <w:tcW w:w="1297" w:type="dxa"/>
            <w:tcBorders>
              <w:tl2br w:val="nil"/>
              <w:tr2bl w:val="nil"/>
            </w:tcBorders>
            <w:noWrap w:val="0"/>
            <w:vAlign w:val="center"/>
          </w:tcPr>
          <w:p w14:paraId="6CC52F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3</w:t>
            </w:r>
          </w:p>
        </w:tc>
        <w:tc>
          <w:tcPr>
            <w:tcW w:w="1297" w:type="dxa"/>
            <w:tcBorders>
              <w:tl2br w:val="nil"/>
              <w:tr2bl w:val="nil"/>
            </w:tcBorders>
            <w:noWrap w:val="0"/>
            <w:vAlign w:val="center"/>
          </w:tcPr>
          <w:p w14:paraId="667796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1</w:t>
            </w:r>
          </w:p>
        </w:tc>
        <w:tc>
          <w:tcPr>
            <w:tcW w:w="1297" w:type="dxa"/>
            <w:tcBorders>
              <w:tl2br w:val="nil"/>
              <w:tr2bl w:val="nil"/>
            </w:tcBorders>
            <w:noWrap w:val="0"/>
            <w:vAlign w:val="center"/>
          </w:tcPr>
          <w:p w14:paraId="5DBC233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7</w:t>
            </w:r>
          </w:p>
        </w:tc>
      </w:tr>
      <w:tr w14:paraId="72839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39" w:type="dxa"/>
            <w:vMerge w:val="continue"/>
            <w:tcBorders>
              <w:tl2br w:val="nil"/>
              <w:tr2bl w:val="nil"/>
            </w:tcBorders>
            <w:noWrap w:val="0"/>
            <w:vAlign w:val="center"/>
          </w:tcPr>
          <w:p w14:paraId="325BCE75">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87" w:type="dxa"/>
            <w:vMerge w:val="continue"/>
            <w:tcBorders>
              <w:tl2br w:val="nil"/>
              <w:tr2bl w:val="nil"/>
            </w:tcBorders>
            <w:noWrap w:val="0"/>
            <w:vAlign w:val="center"/>
          </w:tcPr>
          <w:p w14:paraId="27EC308D">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28" w:type="dxa"/>
            <w:vMerge w:val="restart"/>
            <w:tcBorders>
              <w:tl2br w:val="nil"/>
              <w:tr2bl w:val="nil"/>
            </w:tcBorders>
            <w:noWrap w:val="0"/>
            <w:vAlign w:val="center"/>
          </w:tcPr>
          <w:p w14:paraId="7C929AA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green"/>
                <w:lang w:val="en-US"/>
              </w:rPr>
            </w:pPr>
            <w:r>
              <w:rPr>
                <w:rFonts w:hint="default" w:ascii="Times New Roman" w:hAnsi="Times New Roman" w:cs="Times New Roman"/>
                <w:b w:val="0"/>
                <w:bCs/>
                <w:color w:val="auto"/>
                <w:spacing w:val="0"/>
                <w:sz w:val="21"/>
                <w:szCs w:val="21"/>
                <w:highlight w:val="green"/>
                <w:lang w:val="en-US" w:eastAsia="zh-CN"/>
              </w:rPr>
              <w:t>202</w:t>
            </w:r>
            <w:r>
              <w:rPr>
                <w:rFonts w:hint="eastAsia" w:ascii="Times New Roman" w:hAnsi="Times New Roman" w:cs="Times New Roman"/>
                <w:b w:val="0"/>
                <w:bCs/>
                <w:color w:val="auto"/>
                <w:spacing w:val="0"/>
                <w:sz w:val="21"/>
                <w:szCs w:val="21"/>
                <w:highlight w:val="green"/>
                <w:lang w:val="en-US" w:eastAsia="zh-CN"/>
              </w:rPr>
              <w:t>5.03.10</w:t>
            </w:r>
          </w:p>
        </w:tc>
        <w:tc>
          <w:tcPr>
            <w:tcW w:w="1377" w:type="dxa"/>
            <w:tcBorders>
              <w:tl2br w:val="nil"/>
              <w:tr2bl w:val="nil"/>
            </w:tcBorders>
            <w:noWrap w:val="0"/>
            <w:vAlign w:val="center"/>
          </w:tcPr>
          <w:p w14:paraId="06176DA6">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昼间</w:t>
            </w:r>
          </w:p>
        </w:tc>
        <w:tc>
          <w:tcPr>
            <w:tcW w:w="1297" w:type="dxa"/>
            <w:tcBorders>
              <w:tl2br w:val="nil"/>
              <w:tr2bl w:val="nil"/>
            </w:tcBorders>
            <w:noWrap w:val="0"/>
            <w:vAlign w:val="center"/>
          </w:tcPr>
          <w:p w14:paraId="573025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7</w:t>
            </w:r>
          </w:p>
        </w:tc>
        <w:tc>
          <w:tcPr>
            <w:tcW w:w="1297" w:type="dxa"/>
            <w:tcBorders>
              <w:tl2br w:val="nil"/>
              <w:tr2bl w:val="nil"/>
            </w:tcBorders>
            <w:noWrap w:val="0"/>
            <w:vAlign w:val="center"/>
          </w:tcPr>
          <w:p w14:paraId="02C843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4</w:t>
            </w:r>
          </w:p>
        </w:tc>
        <w:tc>
          <w:tcPr>
            <w:tcW w:w="1297" w:type="dxa"/>
            <w:tcBorders>
              <w:tl2br w:val="nil"/>
              <w:tr2bl w:val="nil"/>
            </w:tcBorders>
            <w:noWrap w:val="0"/>
            <w:vAlign w:val="center"/>
          </w:tcPr>
          <w:p w14:paraId="035B8D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20</w:t>
            </w:r>
          </w:p>
        </w:tc>
      </w:tr>
      <w:tr w14:paraId="409B0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39" w:type="dxa"/>
            <w:vMerge w:val="continue"/>
            <w:tcBorders>
              <w:tl2br w:val="nil"/>
              <w:tr2bl w:val="nil"/>
            </w:tcBorders>
            <w:noWrap w:val="0"/>
            <w:vAlign w:val="center"/>
          </w:tcPr>
          <w:p w14:paraId="52C611A8">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87" w:type="dxa"/>
            <w:vMerge w:val="continue"/>
            <w:tcBorders>
              <w:tl2br w:val="nil"/>
              <w:tr2bl w:val="nil"/>
            </w:tcBorders>
            <w:noWrap w:val="0"/>
            <w:vAlign w:val="center"/>
          </w:tcPr>
          <w:p w14:paraId="76192687">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228" w:type="dxa"/>
            <w:vMerge w:val="continue"/>
            <w:tcBorders>
              <w:tl2br w:val="nil"/>
              <w:tr2bl w:val="nil"/>
            </w:tcBorders>
            <w:noWrap w:val="0"/>
            <w:vAlign w:val="center"/>
          </w:tcPr>
          <w:p w14:paraId="4C744479">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p>
        </w:tc>
        <w:tc>
          <w:tcPr>
            <w:tcW w:w="1377" w:type="dxa"/>
            <w:tcBorders>
              <w:tl2br w:val="nil"/>
              <w:tr2bl w:val="nil"/>
            </w:tcBorders>
            <w:noWrap w:val="0"/>
            <w:vAlign w:val="center"/>
          </w:tcPr>
          <w:p w14:paraId="3E8942C3">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highlight w:val="green"/>
              </w:rPr>
              <w:t>夜间</w:t>
            </w:r>
          </w:p>
        </w:tc>
        <w:tc>
          <w:tcPr>
            <w:tcW w:w="1297" w:type="dxa"/>
            <w:tcBorders>
              <w:tl2br w:val="nil"/>
              <w:tr2bl w:val="nil"/>
            </w:tcBorders>
            <w:noWrap w:val="0"/>
            <w:vAlign w:val="center"/>
          </w:tcPr>
          <w:p w14:paraId="5105A8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2</w:t>
            </w:r>
          </w:p>
        </w:tc>
        <w:tc>
          <w:tcPr>
            <w:tcW w:w="1297" w:type="dxa"/>
            <w:tcBorders>
              <w:tl2br w:val="nil"/>
              <w:tr2bl w:val="nil"/>
            </w:tcBorders>
            <w:noWrap w:val="0"/>
            <w:vAlign w:val="center"/>
          </w:tcPr>
          <w:p w14:paraId="03DC3C3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1</w:t>
            </w:r>
          </w:p>
        </w:tc>
        <w:tc>
          <w:tcPr>
            <w:tcW w:w="1297" w:type="dxa"/>
            <w:tcBorders>
              <w:tl2br w:val="nil"/>
              <w:tr2bl w:val="nil"/>
            </w:tcBorders>
            <w:noWrap w:val="0"/>
            <w:vAlign w:val="center"/>
          </w:tcPr>
          <w:p w14:paraId="42C1D9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highlight w:val="green"/>
                <w:u w:val="none"/>
                <w:lang w:val="en-US" w:eastAsia="zh-CN" w:bidi="ar"/>
              </w:rPr>
              <w:t>6</w:t>
            </w:r>
          </w:p>
        </w:tc>
      </w:tr>
    </w:tbl>
    <w:p w14:paraId="10F36A0A">
      <w:pPr>
        <w:adjustRightInd w:val="0"/>
        <w:snapToGrid w:val="0"/>
        <w:spacing w:line="360" w:lineRule="auto"/>
        <w:ind w:firstLine="480" w:firstLineChars="200"/>
        <w:rPr>
          <w:rFonts w:hint="default" w:ascii="宋体" w:hAnsi="宋体" w:eastAsia="宋体" w:cs="宋体"/>
          <w:color w:val="auto"/>
          <w:sz w:val="24"/>
          <w:szCs w:val="24"/>
          <w:highlight w:val="red"/>
          <w:lang w:val="en-US" w:eastAsia="zh-CN"/>
        </w:rPr>
      </w:pPr>
      <w:r>
        <w:rPr>
          <w:rFonts w:hint="eastAsia" w:ascii="宋体" w:hAnsi="宋体" w:eastAsia="宋体" w:cs="宋体"/>
          <w:color w:val="auto"/>
          <w:sz w:val="24"/>
          <w:szCs w:val="24"/>
          <w:highlight w:val="lightGray"/>
        </w:rPr>
        <w:t>采用直接比较的方法评价区域的声环境质量状况，由表</w:t>
      </w:r>
      <w:r>
        <w:rPr>
          <w:rFonts w:hint="eastAsia" w:ascii="宋体" w:hAnsi="宋体" w:eastAsia="宋体" w:cs="宋体"/>
          <w:color w:val="auto"/>
          <w:sz w:val="24"/>
          <w:szCs w:val="24"/>
          <w:highlight w:val="lightGray"/>
          <w:lang w:val="en-US" w:eastAsia="zh-CN"/>
        </w:rPr>
        <w:t>8</w:t>
      </w:r>
      <w:r>
        <w:rPr>
          <w:rFonts w:hint="eastAsia" w:ascii="宋体" w:hAnsi="宋体" w:eastAsia="宋体" w:cs="宋体"/>
          <w:color w:val="auto"/>
          <w:sz w:val="24"/>
          <w:szCs w:val="24"/>
          <w:highlight w:val="lightGray"/>
        </w:rPr>
        <w:t>可见，</w:t>
      </w:r>
      <w:r>
        <w:rPr>
          <w:rFonts w:hint="eastAsia" w:ascii="宋体" w:hAnsi="宋体" w:eastAsia="宋体" w:cs="宋体"/>
          <w:color w:val="auto"/>
          <w:sz w:val="24"/>
          <w:szCs w:val="24"/>
          <w:highlight w:val="lightGray"/>
          <w:lang w:val="en-US" w:eastAsia="zh-CN"/>
        </w:rPr>
        <w:t>本项目1#</w:t>
      </w:r>
      <w:r>
        <w:rPr>
          <w:rFonts w:hint="eastAsia" w:ascii="宋体" w:hAnsi="宋体" w:eastAsia="宋体" w:cs="宋体"/>
          <w:color w:val="auto"/>
          <w:sz w:val="24"/>
          <w:szCs w:val="24"/>
          <w:highlight w:val="lightGray"/>
        </w:rPr>
        <w:t>监测点位噪声监测值能够满足《声环境质量标准》GB3096-2008中</w:t>
      </w:r>
      <w:r>
        <w:rPr>
          <w:rFonts w:hint="eastAsia" w:ascii="宋体" w:hAnsi="宋体" w:cs="宋体"/>
          <w:color w:val="auto"/>
          <w:sz w:val="24"/>
          <w:szCs w:val="24"/>
          <w:highlight w:val="lightGray"/>
          <w:lang w:val="en-US" w:eastAsia="zh-CN"/>
        </w:rPr>
        <w:t>2</w:t>
      </w:r>
      <w:r>
        <w:rPr>
          <w:rFonts w:hint="eastAsia" w:ascii="宋体" w:hAnsi="宋体" w:eastAsia="宋体" w:cs="宋体"/>
          <w:color w:val="auto"/>
          <w:sz w:val="24"/>
          <w:szCs w:val="24"/>
          <w:highlight w:val="lightGray"/>
        </w:rPr>
        <w:t>类区标准，</w:t>
      </w:r>
      <w:r>
        <w:rPr>
          <w:rFonts w:hint="eastAsia" w:ascii="宋体" w:hAnsi="宋体" w:eastAsia="宋体" w:cs="宋体"/>
          <w:color w:val="auto"/>
          <w:sz w:val="24"/>
          <w:szCs w:val="24"/>
          <w:highlight w:val="lightGray"/>
          <w:lang w:val="en-US" w:eastAsia="zh-CN"/>
        </w:rPr>
        <w:t>2#</w:t>
      </w:r>
      <w:r>
        <w:rPr>
          <w:rFonts w:hint="eastAsia" w:ascii="宋体" w:hAnsi="宋体" w:eastAsia="宋体" w:cs="宋体"/>
          <w:color w:val="auto"/>
          <w:sz w:val="24"/>
          <w:szCs w:val="24"/>
          <w:highlight w:val="lightGray"/>
        </w:rPr>
        <w:t>监测点位噪声监测值能够满足《声环境质量标准》GB3096-2008中</w:t>
      </w:r>
      <w:r>
        <w:rPr>
          <w:rFonts w:hint="eastAsia" w:ascii="宋体" w:hAnsi="宋体" w:cs="宋体"/>
          <w:color w:val="auto"/>
          <w:sz w:val="24"/>
          <w:szCs w:val="24"/>
          <w:highlight w:val="lightGray"/>
          <w:lang w:val="en-US" w:eastAsia="zh-CN"/>
        </w:rPr>
        <w:t>4a</w:t>
      </w:r>
      <w:r>
        <w:rPr>
          <w:rFonts w:hint="eastAsia" w:ascii="宋体" w:hAnsi="宋体" w:eastAsia="宋体" w:cs="宋体"/>
          <w:color w:val="auto"/>
          <w:sz w:val="24"/>
          <w:szCs w:val="24"/>
          <w:highlight w:val="lightGray"/>
        </w:rPr>
        <w:t>类区标准</w:t>
      </w:r>
      <w:r>
        <w:rPr>
          <w:rFonts w:hint="eastAsia" w:ascii="宋体" w:hAnsi="宋体" w:cs="宋体"/>
          <w:color w:val="auto"/>
          <w:sz w:val="24"/>
          <w:szCs w:val="24"/>
          <w:highlight w:val="lightGray"/>
          <w:lang w:eastAsia="zh-CN"/>
        </w:rPr>
        <w:t>，</w:t>
      </w:r>
      <w:r>
        <w:rPr>
          <w:rFonts w:hint="eastAsia" w:ascii="宋体" w:hAnsi="宋体" w:cs="宋体"/>
          <w:color w:val="auto"/>
          <w:sz w:val="24"/>
          <w:szCs w:val="24"/>
          <w:highlight w:val="lightGray"/>
          <w:lang w:val="en-US" w:eastAsia="zh-CN"/>
        </w:rPr>
        <w:t>3#监测点满足</w:t>
      </w:r>
      <w:r>
        <w:rPr>
          <w:rFonts w:hint="eastAsia" w:ascii="宋体" w:hAnsi="宋体" w:eastAsia="宋体" w:cs="宋体"/>
          <w:color w:val="auto"/>
          <w:sz w:val="24"/>
          <w:szCs w:val="24"/>
          <w:highlight w:val="lightGray"/>
        </w:rPr>
        <w:t>《声环境质量标准》GB3096-2008</w:t>
      </w:r>
      <w:r>
        <w:rPr>
          <w:rFonts w:hint="eastAsia" w:ascii="宋体" w:hAnsi="宋体" w:eastAsia="宋体" w:cs="宋体"/>
          <w:color w:val="auto"/>
          <w:sz w:val="24"/>
          <w:szCs w:val="24"/>
          <w:highlight w:val="lightGray"/>
          <w:lang w:val="en-US" w:eastAsia="zh-CN"/>
        </w:rPr>
        <w:t>中2类区标准。</w:t>
      </w:r>
      <w:r>
        <w:rPr>
          <w:rFonts w:hint="eastAsia" w:ascii="宋体" w:hAnsi="宋体" w:eastAsia="宋体" w:cs="宋体"/>
          <w:color w:val="auto"/>
          <w:sz w:val="24"/>
          <w:szCs w:val="24"/>
          <w:highlight w:val="lightGray"/>
        </w:rPr>
        <w:t>评价区域声环境质量良好。</w:t>
      </w:r>
    </w:p>
    <w:p w14:paraId="4154E6D1">
      <w:pPr>
        <w:pStyle w:val="2"/>
        <w:keepNext w:val="0"/>
        <w:keepLines w:val="0"/>
        <w:pageBreakBefore w:val="0"/>
        <w:widowControl w:val="0"/>
        <w:kinsoku/>
        <w:wordWrap/>
        <w:overflowPunct/>
        <w:topLinePunct w:val="0"/>
        <w:autoSpaceDE w:val="0"/>
        <w:autoSpaceDN w:val="0"/>
        <w:bidi w:val="0"/>
        <w:adjustRightInd w:val="0"/>
        <w:snapToGrid w:val="0"/>
        <w:spacing w:line="240" w:lineRule="auto"/>
        <w:textAlignment w:val="baseline"/>
        <w:rPr>
          <w:rFonts w:hint="eastAsia" w:ascii="宋体" w:hAnsi="宋体" w:eastAsia="宋体" w:cs="宋体"/>
          <w:highlight w:val="none"/>
          <w:lang w:eastAsia="zh-CN"/>
        </w:rPr>
      </w:pPr>
      <w:r>
        <w:rPr>
          <w:rFonts w:hint="eastAsia" w:ascii="Times New Roman" w:hAnsi="Times New Roman" w:eastAsia="宋体" w:cs="Times New Roman"/>
          <w:highlight w:val="none"/>
          <w:lang w:eastAsia="zh-CN"/>
        </w:rPr>
        <w:drawing>
          <wp:inline distT="0" distB="0" distL="114300" distR="114300">
            <wp:extent cx="5454015" cy="2824480"/>
            <wp:effectExtent l="0" t="0" r="13335" b="13970"/>
            <wp:docPr id="155" name="图片 47" descr="174176709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7" descr="1741767092144"/>
                    <pic:cNvPicPr>
                      <a:picLocks noChangeAspect="1"/>
                    </pic:cNvPicPr>
                  </pic:nvPicPr>
                  <pic:blipFill>
                    <a:blip r:embed="rId100"/>
                    <a:stretch>
                      <a:fillRect/>
                    </a:stretch>
                  </pic:blipFill>
                  <pic:spPr>
                    <a:xfrm>
                      <a:off x="0" y="0"/>
                      <a:ext cx="5454015" cy="2824480"/>
                    </a:xfrm>
                    <a:prstGeom prst="rect">
                      <a:avLst/>
                    </a:prstGeom>
                    <a:noFill/>
                    <a:ln>
                      <a:noFill/>
                    </a:ln>
                  </pic:spPr>
                </pic:pic>
              </a:graphicData>
            </a:graphic>
          </wp:inline>
        </w:drawing>
      </w:r>
    </w:p>
    <w:p w14:paraId="2C30DD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sz w:val="21"/>
          <w:szCs w:val="24"/>
          <w:highlight w:val="none"/>
          <w:lang w:val="en-US"/>
        </w:rPr>
      </w:pPr>
      <w:r>
        <w:rPr>
          <w:rFonts w:hint="eastAsia" w:ascii="宋体" w:hAnsi="宋体" w:eastAsia="宋体" w:cs="宋体"/>
          <w:b/>
          <w:bCs/>
          <w:sz w:val="21"/>
          <w:szCs w:val="24"/>
          <w:highlight w:val="none"/>
          <w:lang w:val="en-US" w:eastAsia="zh-CN"/>
        </w:rPr>
        <w:t>图3噪声监测布点图</w:t>
      </w:r>
    </w:p>
    <w:p w14:paraId="134B2945">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bCs/>
          <w:color w:val="auto"/>
          <w:sz w:val="24"/>
          <w:szCs w:val="24"/>
          <w:highlight w:val="none"/>
        </w:rPr>
      </w:pPr>
      <w:bookmarkStart w:id="20" w:name="_Toc15612"/>
      <w:r>
        <w:rPr>
          <w:rFonts w:hint="eastAsia" w:ascii="宋体" w:hAnsi="宋体" w:eastAsia="宋体" w:cs="宋体"/>
          <w:b/>
          <w:bCs/>
          <w:color w:val="auto"/>
          <w:sz w:val="24"/>
          <w:szCs w:val="24"/>
          <w:highlight w:val="none"/>
          <w:lang w:val="en-US" w:eastAsia="zh-CN"/>
        </w:rPr>
        <w:t>6、</w:t>
      </w:r>
      <w:r>
        <w:rPr>
          <w:rFonts w:hint="eastAsia" w:ascii="宋体" w:hAnsi="宋体" w:eastAsia="宋体" w:cs="宋体"/>
          <w:b/>
          <w:bCs/>
          <w:color w:val="auto"/>
          <w:sz w:val="24"/>
          <w:szCs w:val="24"/>
          <w:highlight w:val="none"/>
        </w:rPr>
        <w:t>交通量预测</w:t>
      </w:r>
      <w:bookmarkEnd w:id="20"/>
    </w:p>
    <w:p w14:paraId="223C9CAA">
      <w:pPr>
        <w:spacing w:line="360" w:lineRule="auto"/>
        <w:ind w:firstLine="480" w:firstLineChars="200"/>
        <w:rPr>
          <w:rFonts w:hint="eastAsia" w:ascii="宋体" w:hAnsi="宋体" w:eastAsia="宋体" w:cs="宋体"/>
          <w:color w:val="auto"/>
          <w:sz w:val="24"/>
          <w:szCs w:val="24"/>
          <w:highlight w:val="lightGray"/>
          <w:lang w:val="en-US" w:eastAsia="zh-CN"/>
        </w:rPr>
      </w:pPr>
      <w:r>
        <w:rPr>
          <w:rFonts w:hint="eastAsia" w:ascii="宋体" w:hAnsi="宋体" w:eastAsia="宋体" w:cs="宋体"/>
          <w:color w:val="auto"/>
          <w:sz w:val="24"/>
          <w:szCs w:val="24"/>
          <w:highlight w:val="lightGray"/>
        </w:rPr>
        <w:t>本项目202</w:t>
      </w:r>
      <w:r>
        <w:rPr>
          <w:rFonts w:hint="eastAsia" w:ascii="宋体" w:hAnsi="宋体" w:eastAsia="宋体" w:cs="宋体"/>
          <w:color w:val="auto"/>
          <w:sz w:val="24"/>
          <w:szCs w:val="24"/>
          <w:highlight w:val="lightGray"/>
          <w:lang w:val="en-US" w:eastAsia="zh-CN"/>
        </w:rPr>
        <w:t>5</w:t>
      </w:r>
      <w:r>
        <w:rPr>
          <w:rFonts w:hint="eastAsia" w:ascii="宋体" w:hAnsi="宋体" w:eastAsia="宋体" w:cs="宋体"/>
          <w:color w:val="auto"/>
          <w:sz w:val="24"/>
          <w:szCs w:val="24"/>
          <w:highlight w:val="lightGray"/>
        </w:rPr>
        <w:t>年</w:t>
      </w:r>
      <w:r>
        <w:rPr>
          <w:rFonts w:hint="eastAsia" w:ascii="宋体" w:hAnsi="宋体" w:eastAsia="宋体" w:cs="宋体"/>
          <w:color w:val="auto"/>
          <w:sz w:val="24"/>
          <w:szCs w:val="24"/>
          <w:highlight w:val="lightGray"/>
          <w:lang w:val="en-US" w:eastAsia="zh-CN"/>
        </w:rPr>
        <w:t>6</w:t>
      </w:r>
      <w:r>
        <w:rPr>
          <w:rFonts w:hint="eastAsia" w:ascii="宋体" w:hAnsi="宋体" w:eastAsia="宋体" w:cs="宋体"/>
          <w:color w:val="auto"/>
          <w:sz w:val="24"/>
          <w:szCs w:val="24"/>
          <w:highlight w:val="lightGray"/>
        </w:rPr>
        <w:t>月开工，202</w:t>
      </w:r>
      <w:r>
        <w:rPr>
          <w:rFonts w:hint="eastAsia" w:ascii="宋体" w:hAnsi="宋体" w:eastAsia="宋体" w:cs="宋体"/>
          <w:color w:val="auto"/>
          <w:sz w:val="24"/>
          <w:szCs w:val="24"/>
          <w:highlight w:val="lightGray"/>
          <w:lang w:val="en-US" w:eastAsia="zh-CN"/>
        </w:rPr>
        <w:t>5</w:t>
      </w:r>
      <w:r>
        <w:rPr>
          <w:rFonts w:hint="eastAsia" w:ascii="宋体" w:hAnsi="宋体" w:eastAsia="宋体" w:cs="宋体"/>
          <w:color w:val="auto"/>
          <w:sz w:val="24"/>
          <w:szCs w:val="24"/>
          <w:highlight w:val="lightGray"/>
        </w:rPr>
        <w:t>年9月末竣工通车，</w:t>
      </w:r>
      <w:r>
        <w:rPr>
          <w:rFonts w:hint="eastAsia" w:ascii="宋体" w:hAnsi="宋体" w:cs="宋体"/>
          <w:color w:val="auto"/>
          <w:sz w:val="24"/>
          <w:szCs w:val="24"/>
          <w:highlight w:val="lightGray"/>
          <w:lang w:val="en-US" w:eastAsia="zh-CN"/>
        </w:rPr>
        <w:t>根据《环境影响评价技术导则公路建设项目》（HJ 1358—2024）选取运营第1、7和15年作为运营近、中、远期的代表年份，本项目</w:t>
      </w:r>
      <w:r>
        <w:rPr>
          <w:rFonts w:hint="eastAsia" w:ascii="宋体" w:hAnsi="宋体" w:eastAsia="宋体" w:cs="宋体"/>
          <w:color w:val="auto"/>
          <w:sz w:val="24"/>
          <w:szCs w:val="24"/>
          <w:highlight w:val="lightGray"/>
        </w:rPr>
        <w:t>预测特征年为202</w:t>
      </w:r>
      <w:r>
        <w:rPr>
          <w:rFonts w:hint="eastAsia" w:ascii="宋体" w:hAnsi="宋体" w:eastAsia="宋体" w:cs="宋体"/>
          <w:color w:val="auto"/>
          <w:sz w:val="24"/>
          <w:szCs w:val="24"/>
          <w:highlight w:val="lightGray"/>
          <w:lang w:val="en-US" w:eastAsia="zh-CN"/>
        </w:rPr>
        <w:t>6</w:t>
      </w:r>
      <w:r>
        <w:rPr>
          <w:rFonts w:hint="eastAsia" w:ascii="宋体" w:hAnsi="宋体" w:eastAsia="宋体" w:cs="宋体"/>
          <w:color w:val="auto"/>
          <w:sz w:val="24"/>
          <w:szCs w:val="24"/>
          <w:highlight w:val="lightGray"/>
        </w:rPr>
        <w:t>年、20</w:t>
      </w:r>
      <w:r>
        <w:rPr>
          <w:rFonts w:hint="eastAsia" w:ascii="宋体" w:hAnsi="宋体" w:eastAsia="宋体" w:cs="宋体"/>
          <w:color w:val="auto"/>
          <w:sz w:val="24"/>
          <w:szCs w:val="24"/>
          <w:highlight w:val="lightGray"/>
          <w:lang w:val="en-US" w:eastAsia="zh-CN"/>
        </w:rPr>
        <w:t>32</w:t>
      </w:r>
      <w:r>
        <w:rPr>
          <w:rFonts w:hint="eastAsia" w:ascii="宋体" w:hAnsi="宋体" w:eastAsia="宋体" w:cs="宋体"/>
          <w:color w:val="auto"/>
          <w:sz w:val="24"/>
          <w:szCs w:val="24"/>
          <w:highlight w:val="lightGray"/>
        </w:rPr>
        <w:t>年、20</w:t>
      </w:r>
      <w:r>
        <w:rPr>
          <w:rFonts w:hint="eastAsia" w:ascii="宋体" w:hAnsi="宋体" w:eastAsia="宋体" w:cs="宋体"/>
          <w:color w:val="auto"/>
          <w:sz w:val="24"/>
          <w:szCs w:val="24"/>
          <w:highlight w:val="lightGray"/>
          <w:lang w:val="en-US" w:eastAsia="zh-CN"/>
        </w:rPr>
        <w:t>40</w:t>
      </w:r>
      <w:r>
        <w:rPr>
          <w:rFonts w:hint="eastAsia" w:ascii="宋体" w:hAnsi="宋体" w:eastAsia="宋体" w:cs="宋体"/>
          <w:color w:val="auto"/>
          <w:sz w:val="24"/>
          <w:szCs w:val="24"/>
          <w:highlight w:val="lightGray"/>
        </w:rPr>
        <w:t>年。</w:t>
      </w:r>
      <w:r>
        <w:rPr>
          <w:rFonts w:hint="eastAsia" w:ascii="宋体" w:hAnsi="宋体" w:eastAsia="宋体" w:cs="宋体"/>
          <w:color w:val="auto"/>
          <w:sz w:val="24"/>
          <w:szCs w:val="24"/>
          <w:highlight w:val="lightGray"/>
          <w:lang w:val="en-US" w:eastAsia="zh-CN"/>
        </w:rPr>
        <w:t>以2026年为近期，2032年为中期，2040年为远期。</w:t>
      </w:r>
    </w:p>
    <w:p w14:paraId="4C1BEBAB">
      <w:pPr>
        <w:spacing w:line="360" w:lineRule="auto"/>
        <w:ind w:firstLine="480" w:firstLineChars="200"/>
        <w:rPr>
          <w:rFonts w:hint="eastAsia" w:ascii="宋体" w:hAnsi="宋体" w:eastAsia="宋体" w:cs="宋体"/>
          <w:bCs/>
          <w:sz w:val="24"/>
          <w:szCs w:val="24"/>
          <w:highlight w:val="none"/>
          <w:u w:val="none"/>
          <w:lang w:val="en-US" w:eastAsia="zh-CN"/>
        </w:rPr>
      </w:pPr>
      <w:r>
        <w:rPr>
          <w:rFonts w:hint="eastAsia" w:ascii="宋体" w:hAnsi="宋体" w:eastAsia="宋体" w:cs="宋体"/>
          <w:bCs/>
          <w:sz w:val="24"/>
          <w:szCs w:val="24"/>
          <w:highlight w:val="none"/>
          <w:u w:val="none"/>
          <w:lang w:val="en-US" w:eastAsia="zh-CN"/>
        </w:rPr>
        <w:t>根据现状调查，本项目沿线多为工业企业，包括建龙矿业、建龙化工、水泥厂、中双石墨等企业，项目的建设也承担沿线工业企业的运输要求。因此大型车辆占比相比同类、同等级公路较高。占比可在30%。因此本项目小型车、中型车、大型车的占比为：大型车30%；中型车15%；小型车55%。</w:t>
      </w:r>
    </w:p>
    <w:p w14:paraId="65288C33">
      <w:pPr>
        <w:spacing w:line="360" w:lineRule="auto"/>
        <w:ind w:firstLine="480" w:firstLineChars="200"/>
        <w:rPr>
          <w:rFonts w:hint="eastAsia" w:ascii="宋体" w:hAnsi="宋体" w:eastAsia="宋体" w:cs="宋体"/>
          <w:bCs/>
          <w:sz w:val="24"/>
          <w:szCs w:val="24"/>
          <w:highlight w:val="none"/>
          <w:u w:val="none"/>
        </w:rPr>
      </w:pPr>
      <w:r>
        <w:rPr>
          <w:rFonts w:hint="eastAsia" w:ascii="宋体" w:hAnsi="宋体" w:eastAsia="宋体" w:cs="宋体"/>
          <w:bCs/>
          <w:sz w:val="24"/>
          <w:szCs w:val="24"/>
          <w:highlight w:val="none"/>
          <w:u w:val="none"/>
        </w:rPr>
        <w:t>昼夜间一般分为：昼间06</w:t>
      </w:r>
      <w:r>
        <w:rPr>
          <w:rFonts w:hint="eastAsia" w:ascii="宋体" w:hAnsi="宋体" w:eastAsia="宋体" w:cs="宋体"/>
          <w:bCs/>
          <w:sz w:val="24"/>
          <w:szCs w:val="24"/>
          <w:highlight w:val="none"/>
          <w:u w:val="none"/>
          <w:lang w:eastAsia="zh-CN"/>
        </w:rPr>
        <w:t>:</w:t>
      </w:r>
      <w:r>
        <w:rPr>
          <w:rFonts w:hint="eastAsia" w:ascii="宋体" w:hAnsi="宋体" w:eastAsia="宋体" w:cs="宋体"/>
          <w:bCs/>
          <w:sz w:val="24"/>
          <w:szCs w:val="24"/>
          <w:highlight w:val="none"/>
          <w:u w:val="none"/>
        </w:rPr>
        <w:t>00~22</w:t>
      </w:r>
      <w:r>
        <w:rPr>
          <w:rFonts w:hint="eastAsia" w:ascii="宋体" w:hAnsi="宋体" w:eastAsia="宋体" w:cs="宋体"/>
          <w:bCs/>
          <w:sz w:val="24"/>
          <w:szCs w:val="24"/>
          <w:highlight w:val="none"/>
          <w:u w:val="none"/>
          <w:lang w:eastAsia="zh-CN"/>
        </w:rPr>
        <w:t>:</w:t>
      </w:r>
      <w:r>
        <w:rPr>
          <w:rFonts w:hint="eastAsia" w:ascii="宋体" w:hAnsi="宋体" w:eastAsia="宋体" w:cs="宋体"/>
          <w:bCs/>
          <w:sz w:val="24"/>
          <w:szCs w:val="24"/>
          <w:highlight w:val="none"/>
          <w:u w:val="none"/>
        </w:rPr>
        <w:t>00，夜间22</w:t>
      </w:r>
      <w:r>
        <w:rPr>
          <w:rFonts w:hint="eastAsia" w:ascii="宋体" w:hAnsi="宋体" w:eastAsia="宋体" w:cs="宋体"/>
          <w:bCs/>
          <w:sz w:val="24"/>
          <w:szCs w:val="24"/>
          <w:highlight w:val="none"/>
          <w:u w:val="none"/>
          <w:lang w:eastAsia="zh-CN"/>
        </w:rPr>
        <w:t>:</w:t>
      </w:r>
      <w:r>
        <w:rPr>
          <w:rFonts w:hint="eastAsia" w:ascii="宋体" w:hAnsi="宋体" w:eastAsia="宋体" w:cs="宋体"/>
          <w:bCs/>
          <w:sz w:val="24"/>
          <w:szCs w:val="24"/>
          <w:highlight w:val="none"/>
          <w:u w:val="none"/>
        </w:rPr>
        <w:t>00~06</w:t>
      </w:r>
      <w:r>
        <w:rPr>
          <w:rFonts w:hint="eastAsia" w:ascii="宋体" w:hAnsi="宋体" w:eastAsia="宋体" w:cs="宋体"/>
          <w:bCs/>
          <w:sz w:val="24"/>
          <w:szCs w:val="24"/>
          <w:highlight w:val="none"/>
          <w:u w:val="none"/>
          <w:lang w:eastAsia="zh-CN"/>
        </w:rPr>
        <w:t>:</w:t>
      </w:r>
      <w:r>
        <w:rPr>
          <w:rFonts w:hint="eastAsia" w:ascii="宋体" w:hAnsi="宋体" w:eastAsia="宋体" w:cs="宋体"/>
          <w:bCs/>
          <w:sz w:val="24"/>
          <w:szCs w:val="24"/>
          <w:highlight w:val="none"/>
          <w:u w:val="none"/>
        </w:rPr>
        <w:t>00。</w:t>
      </w:r>
      <w:r>
        <w:rPr>
          <w:rFonts w:hint="eastAsia" w:ascii="宋体" w:hAnsi="宋体" w:eastAsia="宋体" w:cs="宋体"/>
          <w:bCs/>
          <w:sz w:val="24"/>
          <w:szCs w:val="24"/>
          <w:highlight w:val="none"/>
          <w:u w:val="none"/>
          <w:lang w:val="en-US" w:eastAsia="zh-CN"/>
        </w:rPr>
        <w:t>昼夜车流量比为8:2，</w:t>
      </w:r>
      <w:r>
        <w:rPr>
          <w:rFonts w:hint="eastAsia" w:ascii="宋体" w:hAnsi="宋体" w:eastAsia="宋体" w:cs="宋体"/>
          <w:bCs/>
          <w:sz w:val="24"/>
          <w:szCs w:val="24"/>
          <w:highlight w:val="none"/>
          <w:u w:val="none"/>
        </w:rPr>
        <w:t>根据项目可行性研究报告所提供的各预测特征年日均交通量。由此，可推算出各类车型的昼夜间平均小时交通量，计算结果见表</w:t>
      </w:r>
      <w:r>
        <w:rPr>
          <w:rFonts w:hint="eastAsia" w:ascii="宋体" w:hAnsi="宋体" w:eastAsia="宋体" w:cs="宋体"/>
          <w:bCs/>
          <w:sz w:val="24"/>
          <w:szCs w:val="24"/>
          <w:highlight w:val="none"/>
          <w:u w:val="none"/>
          <w:lang w:val="en-US" w:eastAsia="zh-CN"/>
        </w:rPr>
        <w:t>11</w:t>
      </w:r>
      <w:r>
        <w:rPr>
          <w:rFonts w:hint="eastAsia" w:ascii="宋体" w:hAnsi="宋体" w:eastAsia="宋体" w:cs="宋体"/>
          <w:bCs/>
          <w:sz w:val="24"/>
          <w:szCs w:val="24"/>
          <w:highlight w:val="none"/>
          <w:u w:val="none"/>
        </w:rPr>
        <w:t>。</w:t>
      </w:r>
    </w:p>
    <w:p w14:paraId="7C63B043">
      <w:pPr>
        <w:spacing w:line="240" w:lineRule="auto"/>
        <w:jc w:val="center"/>
        <w:rPr>
          <w:rFonts w:hint="eastAsia" w:ascii="宋体" w:hAnsi="宋体" w:eastAsia="宋体" w:cs="宋体"/>
          <w:sz w:val="21"/>
          <w:szCs w:val="21"/>
          <w:highlight w:val="none"/>
          <w:u w:val="none"/>
        </w:rPr>
      </w:pPr>
      <w:r>
        <w:rPr>
          <w:rFonts w:hint="eastAsia" w:ascii="宋体" w:hAnsi="宋体" w:eastAsia="宋体" w:cs="宋体"/>
          <w:b/>
          <w:sz w:val="21"/>
          <w:szCs w:val="21"/>
          <w:highlight w:val="none"/>
          <w:u w:val="none"/>
        </w:rPr>
        <w:t>表</w:t>
      </w:r>
      <w:r>
        <w:rPr>
          <w:rFonts w:hint="eastAsia" w:ascii="宋体" w:hAnsi="宋体" w:cs="宋体"/>
          <w:b/>
          <w:sz w:val="21"/>
          <w:szCs w:val="21"/>
          <w:highlight w:val="none"/>
          <w:u w:val="none"/>
          <w:lang w:val="en-US" w:eastAsia="zh-CN"/>
        </w:rPr>
        <w:t>10</w:t>
      </w:r>
      <w:r>
        <w:rPr>
          <w:rFonts w:hint="eastAsia" w:ascii="宋体" w:hAnsi="宋体" w:eastAsia="宋体" w:cs="宋体"/>
          <w:b/>
          <w:sz w:val="21"/>
          <w:szCs w:val="21"/>
          <w:highlight w:val="none"/>
          <w:u w:val="none"/>
          <w:lang w:val="en-US" w:eastAsia="zh-CN"/>
        </w:rPr>
        <w:t xml:space="preserve"> </w:t>
      </w:r>
      <w:r>
        <w:rPr>
          <w:rFonts w:hint="eastAsia" w:ascii="宋体" w:hAnsi="宋体" w:eastAsia="宋体" w:cs="宋体"/>
          <w:b/>
          <w:sz w:val="21"/>
          <w:szCs w:val="21"/>
          <w:highlight w:val="none"/>
          <w:u w:val="none"/>
        </w:rPr>
        <w:t>本项目</w:t>
      </w:r>
      <w:r>
        <w:rPr>
          <w:rFonts w:hint="eastAsia" w:ascii="宋体" w:hAnsi="宋体" w:eastAsia="宋体" w:cs="宋体"/>
          <w:b/>
          <w:bCs/>
          <w:sz w:val="21"/>
          <w:szCs w:val="21"/>
          <w:highlight w:val="none"/>
          <w:u w:val="none"/>
        </w:rPr>
        <w:t>特征年日</w:t>
      </w:r>
      <w:r>
        <w:rPr>
          <w:rFonts w:hint="eastAsia" w:ascii="宋体" w:hAnsi="宋体" w:eastAsia="宋体" w:cs="宋体"/>
          <w:b/>
          <w:sz w:val="21"/>
          <w:szCs w:val="21"/>
          <w:highlight w:val="none"/>
          <w:u w:val="none"/>
        </w:rPr>
        <w:t>交通量</w:t>
      </w:r>
      <w:r>
        <w:rPr>
          <w:rFonts w:hint="eastAsia" w:ascii="宋体" w:hAnsi="宋体" w:eastAsia="宋体" w:cs="宋体"/>
          <w:sz w:val="21"/>
          <w:szCs w:val="21"/>
          <w:highlight w:val="none"/>
          <w:u w:val="none"/>
        </w:rPr>
        <w:t xml:space="preserve">      </w:t>
      </w:r>
      <w:r>
        <w:rPr>
          <w:rFonts w:hint="eastAsia" w:ascii="宋体" w:hAnsi="宋体" w:eastAsia="宋体" w:cs="宋体"/>
          <w:b/>
          <w:bCs/>
          <w:sz w:val="21"/>
          <w:szCs w:val="21"/>
          <w:highlight w:val="none"/>
          <w:u w:val="none"/>
        </w:rPr>
        <w:t>单位：pcu/d</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34E1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6" w:type="pct"/>
            <w:noWrap w:val="0"/>
            <w:vAlign w:val="center"/>
          </w:tcPr>
          <w:p w14:paraId="5F8D27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序号</w:t>
            </w:r>
          </w:p>
        </w:tc>
        <w:tc>
          <w:tcPr>
            <w:tcW w:w="1667" w:type="pct"/>
            <w:noWrap w:val="0"/>
            <w:vAlign w:val="center"/>
          </w:tcPr>
          <w:p w14:paraId="6B0869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年份</w:t>
            </w:r>
          </w:p>
        </w:tc>
        <w:tc>
          <w:tcPr>
            <w:tcW w:w="1667" w:type="pct"/>
            <w:noWrap w:val="0"/>
            <w:vAlign w:val="center"/>
          </w:tcPr>
          <w:p w14:paraId="72C025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lang w:val="en-US" w:eastAsia="zh-CN"/>
              </w:rPr>
            </w:pPr>
            <w:r>
              <w:rPr>
                <w:rFonts w:hint="eastAsia" w:ascii="宋体" w:hAnsi="宋体" w:eastAsia="宋体" w:cs="宋体"/>
                <w:sz w:val="21"/>
                <w:szCs w:val="21"/>
                <w:highlight w:val="none"/>
                <w:u w:val="none"/>
                <w:lang w:val="en-US" w:eastAsia="zh-CN"/>
              </w:rPr>
              <w:t>交通量</w:t>
            </w:r>
          </w:p>
        </w:tc>
      </w:tr>
      <w:tr w14:paraId="70529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6" w:type="pct"/>
            <w:noWrap w:val="0"/>
            <w:vAlign w:val="center"/>
          </w:tcPr>
          <w:p w14:paraId="6BA336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1</w:t>
            </w:r>
          </w:p>
        </w:tc>
        <w:tc>
          <w:tcPr>
            <w:tcW w:w="1667" w:type="pct"/>
            <w:noWrap w:val="0"/>
            <w:vAlign w:val="center"/>
          </w:tcPr>
          <w:p w14:paraId="292E04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近期（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26）</w:t>
            </w:r>
          </w:p>
        </w:tc>
        <w:tc>
          <w:tcPr>
            <w:tcW w:w="1667" w:type="pct"/>
            <w:noWrap w:val="0"/>
            <w:vAlign w:val="center"/>
          </w:tcPr>
          <w:p w14:paraId="719D4E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3876</w:t>
            </w:r>
          </w:p>
        </w:tc>
      </w:tr>
      <w:tr w14:paraId="7AC1C0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6" w:type="pct"/>
            <w:noWrap w:val="0"/>
            <w:vAlign w:val="center"/>
          </w:tcPr>
          <w:p w14:paraId="7222F4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2</w:t>
            </w:r>
          </w:p>
        </w:tc>
        <w:tc>
          <w:tcPr>
            <w:tcW w:w="1667" w:type="pct"/>
            <w:noWrap w:val="0"/>
            <w:vAlign w:val="center"/>
          </w:tcPr>
          <w:p w14:paraId="4A74D5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中期（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32）</w:t>
            </w:r>
          </w:p>
        </w:tc>
        <w:tc>
          <w:tcPr>
            <w:tcW w:w="1667" w:type="pct"/>
            <w:noWrap w:val="0"/>
            <w:vAlign w:val="center"/>
          </w:tcPr>
          <w:p w14:paraId="6D4044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4107</w:t>
            </w:r>
          </w:p>
        </w:tc>
      </w:tr>
      <w:tr w14:paraId="61265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6" w:type="pct"/>
            <w:noWrap w:val="0"/>
            <w:vAlign w:val="center"/>
          </w:tcPr>
          <w:p w14:paraId="2A4139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3</w:t>
            </w:r>
          </w:p>
        </w:tc>
        <w:tc>
          <w:tcPr>
            <w:tcW w:w="1667" w:type="pct"/>
            <w:noWrap w:val="0"/>
            <w:vAlign w:val="center"/>
          </w:tcPr>
          <w:p w14:paraId="7DBEC5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远期（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40）</w:t>
            </w:r>
          </w:p>
        </w:tc>
        <w:tc>
          <w:tcPr>
            <w:tcW w:w="1667" w:type="pct"/>
            <w:noWrap w:val="0"/>
            <w:vAlign w:val="center"/>
          </w:tcPr>
          <w:p w14:paraId="1E83A7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4573</w:t>
            </w:r>
          </w:p>
        </w:tc>
      </w:tr>
    </w:tbl>
    <w:p w14:paraId="77504674">
      <w:pPr>
        <w:spacing w:line="240" w:lineRule="auto"/>
        <w:jc w:val="center"/>
        <w:rPr>
          <w:rFonts w:hint="eastAsia" w:ascii="宋体" w:hAnsi="宋体" w:eastAsia="宋体" w:cs="宋体"/>
          <w:b/>
          <w:sz w:val="21"/>
          <w:szCs w:val="21"/>
          <w:highlight w:val="none"/>
          <w:u w:val="none"/>
        </w:rPr>
      </w:pPr>
    </w:p>
    <w:p w14:paraId="5369B94A">
      <w:pPr>
        <w:pStyle w:val="2"/>
        <w:rPr>
          <w:rFonts w:hint="eastAsia" w:ascii="宋体" w:hAnsi="宋体" w:eastAsia="宋体" w:cs="宋体"/>
          <w:b/>
          <w:sz w:val="21"/>
          <w:szCs w:val="21"/>
          <w:highlight w:val="none"/>
          <w:u w:val="none"/>
        </w:rPr>
      </w:pPr>
    </w:p>
    <w:p w14:paraId="1CCEF2F2">
      <w:pPr>
        <w:rPr>
          <w:rFonts w:hint="eastAsia"/>
        </w:rPr>
      </w:pPr>
    </w:p>
    <w:p w14:paraId="14B68250">
      <w:pPr>
        <w:spacing w:line="240" w:lineRule="auto"/>
        <w:jc w:val="center"/>
        <w:rPr>
          <w:rFonts w:hint="eastAsia" w:ascii="宋体" w:hAnsi="宋体" w:eastAsia="宋体" w:cs="宋体"/>
          <w:b/>
          <w:sz w:val="21"/>
          <w:szCs w:val="21"/>
          <w:highlight w:val="none"/>
          <w:u w:val="none"/>
        </w:rPr>
      </w:pPr>
      <w:r>
        <w:rPr>
          <w:rFonts w:hint="eastAsia" w:ascii="宋体" w:hAnsi="宋体" w:eastAsia="宋体" w:cs="宋体"/>
          <w:b/>
          <w:sz w:val="21"/>
          <w:szCs w:val="21"/>
          <w:highlight w:val="none"/>
          <w:u w:val="none"/>
        </w:rPr>
        <w:t>表</w:t>
      </w:r>
      <w:r>
        <w:rPr>
          <w:rFonts w:hint="eastAsia" w:ascii="宋体" w:hAnsi="宋体" w:cs="宋体"/>
          <w:b/>
          <w:sz w:val="21"/>
          <w:szCs w:val="21"/>
          <w:highlight w:val="none"/>
          <w:u w:val="none"/>
          <w:lang w:val="en-US" w:eastAsia="zh-CN"/>
        </w:rPr>
        <w:t>11</w:t>
      </w:r>
      <w:r>
        <w:rPr>
          <w:rFonts w:hint="eastAsia" w:ascii="宋体" w:hAnsi="宋体" w:eastAsia="宋体" w:cs="宋体"/>
          <w:b/>
          <w:sz w:val="21"/>
          <w:szCs w:val="21"/>
          <w:highlight w:val="none"/>
          <w:u w:val="none"/>
        </w:rPr>
        <w:t xml:space="preserve"> 车型比参数</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343"/>
        <w:gridCol w:w="2119"/>
        <w:gridCol w:w="2118"/>
        <w:gridCol w:w="2118"/>
      </w:tblGrid>
      <w:tr w14:paraId="1BC49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1" w:type="dxa"/>
            <w:gridSpan w:val="2"/>
            <w:noWrap w:val="0"/>
            <w:vAlign w:val="center"/>
          </w:tcPr>
          <w:p w14:paraId="316A67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车型</w:t>
            </w:r>
          </w:p>
        </w:tc>
        <w:tc>
          <w:tcPr>
            <w:tcW w:w="2181" w:type="dxa"/>
            <w:noWrap w:val="0"/>
            <w:vAlign w:val="center"/>
          </w:tcPr>
          <w:p w14:paraId="2FF357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小型车</w:t>
            </w:r>
          </w:p>
        </w:tc>
        <w:tc>
          <w:tcPr>
            <w:tcW w:w="2179" w:type="dxa"/>
            <w:noWrap w:val="0"/>
            <w:vAlign w:val="center"/>
          </w:tcPr>
          <w:p w14:paraId="7452E6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中型车</w:t>
            </w:r>
          </w:p>
        </w:tc>
        <w:tc>
          <w:tcPr>
            <w:tcW w:w="2179" w:type="dxa"/>
            <w:noWrap w:val="0"/>
            <w:vAlign w:val="center"/>
          </w:tcPr>
          <w:p w14:paraId="21298F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大型车</w:t>
            </w:r>
          </w:p>
        </w:tc>
      </w:tr>
      <w:tr w14:paraId="140C8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8" w:type="dxa"/>
            <w:vMerge w:val="restart"/>
            <w:noWrap w:val="0"/>
            <w:vAlign w:val="center"/>
          </w:tcPr>
          <w:p w14:paraId="46D74E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车型比例（%）</w:t>
            </w:r>
          </w:p>
        </w:tc>
        <w:tc>
          <w:tcPr>
            <w:tcW w:w="1353" w:type="dxa"/>
            <w:noWrap w:val="0"/>
            <w:vAlign w:val="center"/>
          </w:tcPr>
          <w:p w14:paraId="4C21FE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r>
              <w:rPr>
                <w:rFonts w:hint="eastAsia" w:ascii="宋体" w:hAnsi="宋体" w:eastAsia="宋体" w:cs="宋体"/>
                <w:sz w:val="21"/>
                <w:szCs w:val="21"/>
                <w:highlight w:val="yellow"/>
                <w:u w:val="none"/>
                <w:lang w:val="en-US" w:eastAsia="zh-CN"/>
              </w:rPr>
              <w:t>近期（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26）</w:t>
            </w:r>
          </w:p>
        </w:tc>
        <w:tc>
          <w:tcPr>
            <w:tcW w:w="2181" w:type="dxa"/>
            <w:noWrap w:val="0"/>
            <w:vAlign w:val="center"/>
          </w:tcPr>
          <w:p w14:paraId="0E04A6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55</w:t>
            </w:r>
          </w:p>
        </w:tc>
        <w:tc>
          <w:tcPr>
            <w:tcW w:w="2179" w:type="dxa"/>
            <w:noWrap w:val="0"/>
            <w:vAlign w:val="center"/>
          </w:tcPr>
          <w:p w14:paraId="636EBC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15</w:t>
            </w:r>
          </w:p>
        </w:tc>
        <w:tc>
          <w:tcPr>
            <w:tcW w:w="2179" w:type="dxa"/>
            <w:noWrap w:val="0"/>
            <w:vAlign w:val="center"/>
          </w:tcPr>
          <w:p w14:paraId="494410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30</w:t>
            </w:r>
          </w:p>
        </w:tc>
      </w:tr>
      <w:tr w14:paraId="19577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8" w:type="dxa"/>
            <w:vMerge w:val="continue"/>
            <w:noWrap w:val="0"/>
            <w:vAlign w:val="center"/>
          </w:tcPr>
          <w:p w14:paraId="3EFE82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p>
        </w:tc>
        <w:tc>
          <w:tcPr>
            <w:tcW w:w="1353" w:type="dxa"/>
            <w:noWrap w:val="0"/>
            <w:vAlign w:val="center"/>
          </w:tcPr>
          <w:p w14:paraId="055409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r>
              <w:rPr>
                <w:rFonts w:hint="eastAsia" w:ascii="宋体" w:hAnsi="宋体" w:eastAsia="宋体" w:cs="宋体"/>
                <w:sz w:val="21"/>
                <w:szCs w:val="21"/>
                <w:highlight w:val="yellow"/>
                <w:u w:val="none"/>
                <w:lang w:val="en-US" w:eastAsia="zh-CN"/>
              </w:rPr>
              <w:t>中期（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32）</w:t>
            </w:r>
          </w:p>
        </w:tc>
        <w:tc>
          <w:tcPr>
            <w:tcW w:w="2181" w:type="dxa"/>
            <w:noWrap w:val="0"/>
            <w:vAlign w:val="center"/>
          </w:tcPr>
          <w:p w14:paraId="204859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55</w:t>
            </w:r>
          </w:p>
        </w:tc>
        <w:tc>
          <w:tcPr>
            <w:tcW w:w="2179" w:type="dxa"/>
            <w:noWrap w:val="0"/>
            <w:vAlign w:val="center"/>
          </w:tcPr>
          <w:p w14:paraId="28B310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15</w:t>
            </w:r>
          </w:p>
        </w:tc>
        <w:tc>
          <w:tcPr>
            <w:tcW w:w="2179" w:type="dxa"/>
            <w:noWrap w:val="0"/>
            <w:vAlign w:val="center"/>
          </w:tcPr>
          <w:p w14:paraId="79F256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30</w:t>
            </w:r>
          </w:p>
        </w:tc>
      </w:tr>
      <w:tr w14:paraId="0E1D8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8" w:type="dxa"/>
            <w:vMerge w:val="continue"/>
            <w:noWrap w:val="0"/>
            <w:vAlign w:val="center"/>
          </w:tcPr>
          <w:p w14:paraId="724645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p>
        </w:tc>
        <w:tc>
          <w:tcPr>
            <w:tcW w:w="1353" w:type="dxa"/>
            <w:noWrap w:val="0"/>
            <w:vAlign w:val="center"/>
          </w:tcPr>
          <w:p w14:paraId="053192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r>
              <w:rPr>
                <w:rFonts w:hint="eastAsia" w:ascii="宋体" w:hAnsi="宋体" w:eastAsia="宋体" w:cs="宋体"/>
                <w:sz w:val="21"/>
                <w:szCs w:val="21"/>
                <w:highlight w:val="yellow"/>
                <w:u w:val="none"/>
                <w:lang w:val="en-US" w:eastAsia="zh-CN"/>
              </w:rPr>
              <w:t>远期（</w:t>
            </w: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40）</w:t>
            </w:r>
          </w:p>
        </w:tc>
        <w:tc>
          <w:tcPr>
            <w:tcW w:w="2181" w:type="dxa"/>
            <w:noWrap w:val="0"/>
            <w:vAlign w:val="center"/>
          </w:tcPr>
          <w:p w14:paraId="69F76D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55</w:t>
            </w:r>
          </w:p>
        </w:tc>
        <w:tc>
          <w:tcPr>
            <w:tcW w:w="2179" w:type="dxa"/>
            <w:noWrap w:val="0"/>
            <w:vAlign w:val="center"/>
          </w:tcPr>
          <w:p w14:paraId="4AD72B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15</w:t>
            </w:r>
          </w:p>
        </w:tc>
        <w:tc>
          <w:tcPr>
            <w:tcW w:w="2179" w:type="dxa"/>
            <w:noWrap w:val="0"/>
            <w:vAlign w:val="center"/>
          </w:tcPr>
          <w:p w14:paraId="6AC742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30</w:t>
            </w:r>
          </w:p>
        </w:tc>
      </w:tr>
    </w:tbl>
    <w:p w14:paraId="62DC0549">
      <w:pPr>
        <w:spacing w:line="240" w:lineRule="auto"/>
        <w:jc w:val="center"/>
        <w:rPr>
          <w:rFonts w:hint="eastAsia" w:ascii="宋体" w:hAnsi="宋体" w:eastAsia="宋体" w:cs="宋体"/>
          <w:b/>
          <w:sz w:val="21"/>
          <w:szCs w:val="21"/>
          <w:highlight w:val="none"/>
          <w:u w:val="none"/>
        </w:rPr>
      </w:pPr>
      <w:r>
        <w:rPr>
          <w:rFonts w:hint="eastAsia" w:ascii="宋体" w:hAnsi="宋体" w:eastAsia="宋体" w:cs="宋体"/>
          <w:b/>
          <w:sz w:val="21"/>
          <w:szCs w:val="21"/>
          <w:highlight w:val="none"/>
          <w:u w:val="none"/>
        </w:rPr>
        <w:t>表</w:t>
      </w:r>
      <w:r>
        <w:rPr>
          <w:rFonts w:hint="eastAsia" w:ascii="宋体" w:hAnsi="宋体" w:eastAsia="宋体" w:cs="宋体"/>
          <w:b/>
          <w:sz w:val="21"/>
          <w:szCs w:val="21"/>
          <w:highlight w:val="none"/>
          <w:u w:val="none"/>
          <w:lang w:val="en-US" w:eastAsia="zh-CN"/>
        </w:rPr>
        <w:t>1</w:t>
      </w:r>
      <w:r>
        <w:rPr>
          <w:rFonts w:hint="eastAsia" w:ascii="宋体" w:hAnsi="宋体" w:cs="宋体"/>
          <w:b/>
          <w:sz w:val="21"/>
          <w:szCs w:val="21"/>
          <w:highlight w:val="none"/>
          <w:u w:val="none"/>
          <w:lang w:val="en-US" w:eastAsia="zh-CN"/>
        </w:rPr>
        <w:t>2</w:t>
      </w:r>
      <w:r>
        <w:rPr>
          <w:rFonts w:hint="eastAsia" w:ascii="宋体" w:hAnsi="宋体" w:eastAsia="宋体" w:cs="宋体"/>
          <w:b/>
          <w:sz w:val="21"/>
          <w:szCs w:val="21"/>
          <w:highlight w:val="none"/>
          <w:u w:val="none"/>
        </w:rPr>
        <w:t xml:space="preserve">  各类车型交通量预测</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270"/>
        <w:gridCol w:w="1940"/>
        <w:gridCol w:w="2021"/>
        <w:gridCol w:w="2022"/>
      </w:tblGrid>
      <w:tr w14:paraId="7F976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noWrap w:val="0"/>
            <w:vAlign w:val="center"/>
          </w:tcPr>
          <w:p w14:paraId="6D0B1C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年份</w:t>
            </w:r>
          </w:p>
        </w:tc>
        <w:tc>
          <w:tcPr>
            <w:tcW w:w="745" w:type="pct"/>
            <w:noWrap w:val="0"/>
            <w:vAlign w:val="center"/>
          </w:tcPr>
          <w:p w14:paraId="66610D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车型</w:t>
            </w:r>
          </w:p>
        </w:tc>
        <w:tc>
          <w:tcPr>
            <w:tcW w:w="1138" w:type="pct"/>
            <w:noWrap w:val="0"/>
            <w:vAlign w:val="center"/>
          </w:tcPr>
          <w:p w14:paraId="4965D3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年均日交通量</w:t>
            </w:r>
          </w:p>
          <w:p w14:paraId="193AE9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（辆/d）</w:t>
            </w:r>
          </w:p>
        </w:tc>
        <w:tc>
          <w:tcPr>
            <w:tcW w:w="1186" w:type="pct"/>
            <w:noWrap w:val="0"/>
            <w:vAlign w:val="center"/>
          </w:tcPr>
          <w:p w14:paraId="1AFC5A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昼间</w:t>
            </w:r>
          </w:p>
          <w:p w14:paraId="209A69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（辆/h）</w:t>
            </w:r>
          </w:p>
        </w:tc>
        <w:tc>
          <w:tcPr>
            <w:tcW w:w="1186" w:type="pct"/>
            <w:noWrap w:val="0"/>
            <w:vAlign w:val="center"/>
          </w:tcPr>
          <w:p w14:paraId="691F1A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夜间</w:t>
            </w:r>
          </w:p>
          <w:p w14:paraId="4D3148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（辆/h）</w:t>
            </w:r>
          </w:p>
        </w:tc>
      </w:tr>
      <w:tr w14:paraId="3FEC7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restart"/>
            <w:noWrap w:val="0"/>
            <w:vAlign w:val="center"/>
          </w:tcPr>
          <w:p w14:paraId="06FE3F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26</w:t>
            </w:r>
          </w:p>
        </w:tc>
        <w:tc>
          <w:tcPr>
            <w:tcW w:w="745" w:type="pct"/>
            <w:noWrap w:val="0"/>
            <w:vAlign w:val="center"/>
          </w:tcPr>
          <w:p w14:paraId="73E1C7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小型车</w:t>
            </w:r>
          </w:p>
        </w:tc>
        <w:tc>
          <w:tcPr>
            <w:tcW w:w="1985" w:type="dxa"/>
            <w:noWrap w:val="0"/>
            <w:vAlign w:val="center"/>
          </w:tcPr>
          <w:p w14:paraId="26D6B3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2132</w:t>
            </w:r>
          </w:p>
        </w:tc>
        <w:tc>
          <w:tcPr>
            <w:tcW w:w="2068" w:type="dxa"/>
            <w:noWrap w:val="0"/>
            <w:vAlign w:val="center"/>
          </w:tcPr>
          <w:p w14:paraId="699C41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142</w:t>
            </w:r>
          </w:p>
        </w:tc>
        <w:tc>
          <w:tcPr>
            <w:tcW w:w="2069" w:type="dxa"/>
            <w:noWrap w:val="0"/>
            <w:vAlign w:val="center"/>
          </w:tcPr>
          <w:p w14:paraId="06CC41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36</w:t>
            </w:r>
          </w:p>
        </w:tc>
      </w:tr>
      <w:tr w14:paraId="34A30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73BC8F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p>
        </w:tc>
        <w:tc>
          <w:tcPr>
            <w:tcW w:w="745" w:type="pct"/>
            <w:noWrap w:val="0"/>
            <w:vAlign w:val="center"/>
          </w:tcPr>
          <w:p w14:paraId="117A0C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中型车</w:t>
            </w:r>
          </w:p>
        </w:tc>
        <w:tc>
          <w:tcPr>
            <w:tcW w:w="1985" w:type="dxa"/>
            <w:noWrap w:val="0"/>
            <w:vAlign w:val="center"/>
          </w:tcPr>
          <w:p w14:paraId="4F9DCD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581</w:t>
            </w:r>
          </w:p>
        </w:tc>
        <w:tc>
          <w:tcPr>
            <w:tcW w:w="2068" w:type="dxa"/>
            <w:noWrap w:val="0"/>
            <w:vAlign w:val="center"/>
          </w:tcPr>
          <w:p w14:paraId="555DB5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39</w:t>
            </w:r>
          </w:p>
        </w:tc>
        <w:tc>
          <w:tcPr>
            <w:tcW w:w="2069" w:type="dxa"/>
            <w:noWrap w:val="0"/>
            <w:vAlign w:val="center"/>
          </w:tcPr>
          <w:p w14:paraId="195832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10</w:t>
            </w:r>
          </w:p>
        </w:tc>
      </w:tr>
      <w:tr w14:paraId="6D821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5CFA83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p>
        </w:tc>
        <w:tc>
          <w:tcPr>
            <w:tcW w:w="745" w:type="pct"/>
            <w:noWrap w:val="0"/>
            <w:vAlign w:val="center"/>
          </w:tcPr>
          <w:p w14:paraId="72C378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大型车</w:t>
            </w:r>
          </w:p>
        </w:tc>
        <w:tc>
          <w:tcPr>
            <w:tcW w:w="1985" w:type="dxa"/>
            <w:noWrap w:val="0"/>
            <w:vAlign w:val="center"/>
          </w:tcPr>
          <w:p w14:paraId="4F8847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1163</w:t>
            </w:r>
          </w:p>
        </w:tc>
        <w:tc>
          <w:tcPr>
            <w:tcW w:w="2068" w:type="dxa"/>
            <w:noWrap w:val="0"/>
            <w:vAlign w:val="center"/>
          </w:tcPr>
          <w:p w14:paraId="47D1AB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78</w:t>
            </w:r>
          </w:p>
        </w:tc>
        <w:tc>
          <w:tcPr>
            <w:tcW w:w="2069" w:type="dxa"/>
            <w:noWrap w:val="0"/>
            <w:vAlign w:val="center"/>
          </w:tcPr>
          <w:p w14:paraId="681100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19</w:t>
            </w:r>
          </w:p>
        </w:tc>
      </w:tr>
      <w:tr w14:paraId="33CB2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restart"/>
            <w:noWrap w:val="0"/>
            <w:vAlign w:val="center"/>
          </w:tcPr>
          <w:p w14:paraId="257A7F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32</w:t>
            </w:r>
          </w:p>
        </w:tc>
        <w:tc>
          <w:tcPr>
            <w:tcW w:w="745" w:type="pct"/>
            <w:noWrap w:val="0"/>
            <w:vAlign w:val="center"/>
          </w:tcPr>
          <w:p w14:paraId="65A84F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小型车</w:t>
            </w:r>
          </w:p>
        </w:tc>
        <w:tc>
          <w:tcPr>
            <w:tcW w:w="1985" w:type="dxa"/>
            <w:noWrap w:val="0"/>
            <w:vAlign w:val="center"/>
          </w:tcPr>
          <w:p w14:paraId="31E63C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2259</w:t>
            </w:r>
          </w:p>
        </w:tc>
        <w:tc>
          <w:tcPr>
            <w:tcW w:w="2068" w:type="dxa"/>
            <w:noWrap w:val="0"/>
            <w:vAlign w:val="center"/>
          </w:tcPr>
          <w:p w14:paraId="75EE4A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151</w:t>
            </w:r>
          </w:p>
        </w:tc>
        <w:tc>
          <w:tcPr>
            <w:tcW w:w="2069" w:type="dxa"/>
            <w:noWrap w:val="0"/>
            <w:vAlign w:val="center"/>
          </w:tcPr>
          <w:p w14:paraId="571F48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38</w:t>
            </w:r>
          </w:p>
        </w:tc>
      </w:tr>
      <w:tr w14:paraId="0F89B5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728AB1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p>
        </w:tc>
        <w:tc>
          <w:tcPr>
            <w:tcW w:w="745" w:type="pct"/>
            <w:noWrap w:val="0"/>
            <w:vAlign w:val="center"/>
          </w:tcPr>
          <w:p w14:paraId="26831D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中型车</w:t>
            </w:r>
          </w:p>
        </w:tc>
        <w:tc>
          <w:tcPr>
            <w:tcW w:w="1985" w:type="dxa"/>
            <w:noWrap w:val="0"/>
            <w:vAlign w:val="center"/>
          </w:tcPr>
          <w:p w14:paraId="4588F7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616</w:t>
            </w:r>
          </w:p>
        </w:tc>
        <w:tc>
          <w:tcPr>
            <w:tcW w:w="2068" w:type="dxa"/>
            <w:noWrap w:val="0"/>
            <w:vAlign w:val="center"/>
          </w:tcPr>
          <w:p w14:paraId="23A696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41</w:t>
            </w:r>
          </w:p>
        </w:tc>
        <w:tc>
          <w:tcPr>
            <w:tcW w:w="2069" w:type="dxa"/>
            <w:noWrap w:val="0"/>
            <w:vAlign w:val="center"/>
          </w:tcPr>
          <w:p w14:paraId="458D6E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10</w:t>
            </w:r>
          </w:p>
        </w:tc>
      </w:tr>
      <w:tr w14:paraId="63C7C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478EA6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rPr>
            </w:pPr>
          </w:p>
        </w:tc>
        <w:tc>
          <w:tcPr>
            <w:tcW w:w="745" w:type="pct"/>
            <w:noWrap w:val="0"/>
            <w:vAlign w:val="center"/>
          </w:tcPr>
          <w:p w14:paraId="23F369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大型车</w:t>
            </w:r>
          </w:p>
        </w:tc>
        <w:tc>
          <w:tcPr>
            <w:tcW w:w="1985" w:type="dxa"/>
            <w:noWrap w:val="0"/>
            <w:vAlign w:val="center"/>
          </w:tcPr>
          <w:p w14:paraId="710043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1232</w:t>
            </w:r>
          </w:p>
        </w:tc>
        <w:tc>
          <w:tcPr>
            <w:tcW w:w="2068" w:type="dxa"/>
            <w:noWrap w:val="0"/>
            <w:vAlign w:val="center"/>
          </w:tcPr>
          <w:p w14:paraId="089581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82</w:t>
            </w:r>
          </w:p>
        </w:tc>
        <w:tc>
          <w:tcPr>
            <w:tcW w:w="2069" w:type="dxa"/>
            <w:noWrap w:val="0"/>
            <w:vAlign w:val="center"/>
          </w:tcPr>
          <w:p w14:paraId="30D9B1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21</w:t>
            </w:r>
          </w:p>
        </w:tc>
      </w:tr>
      <w:tr w14:paraId="61F72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restart"/>
            <w:noWrap w:val="0"/>
            <w:vAlign w:val="center"/>
          </w:tcPr>
          <w:p w14:paraId="6BE56C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rPr>
              <w:t>20</w:t>
            </w:r>
            <w:r>
              <w:rPr>
                <w:rFonts w:hint="eastAsia" w:ascii="宋体" w:hAnsi="宋体" w:eastAsia="宋体" w:cs="宋体"/>
                <w:sz w:val="21"/>
                <w:szCs w:val="21"/>
                <w:highlight w:val="yellow"/>
                <w:u w:val="none"/>
                <w:lang w:val="en-US" w:eastAsia="zh-CN"/>
              </w:rPr>
              <w:t>40</w:t>
            </w:r>
          </w:p>
        </w:tc>
        <w:tc>
          <w:tcPr>
            <w:tcW w:w="745" w:type="pct"/>
            <w:noWrap w:val="0"/>
            <w:vAlign w:val="center"/>
          </w:tcPr>
          <w:p w14:paraId="37BA56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小型车</w:t>
            </w:r>
          </w:p>
        </w:tc>
        <w:tc>
          <w:tcPr>
            <w:tcW w:w="1985" w:type="dxa"/>
            <w:noWrap w:val="0"/>
            <w:vAlign w:val="center"/>
          </w:tcPr>
          <w:p w14:paraId="476ED9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2515</w:t>
            </w:r>
          </w:p>
        </w:tc>
        <w:tc>
          <w:tcPr>
            <w:tcW w:w="2068" w:type="dxa"/>
            <w:noWrap w:val="0"/>
            <w:vAlign w:val="center"/>
          </w:tcPr>
          <w:p w14:paraId="35405D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168</w:t>
            </w:r>
          </w:p>
        </w:tc>
        <w:tc>
          <w:tcPr>
            <w:tcW w:w="2069" w:type="dxa"/>
            <w:noWrap w:val="0"/>
            <w:vAlign w:val="center"/>
          </w:tcPr>
          <w:p w14:paraId="11E423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42</w:t>
            </w:r>
          </w:p>
        </w:tc>
      </w:tr>
      <w:tr w14:paraId="62C84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64F70E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p>
        </w:tc>
        <w:tc>
          <w:tcPr>
            <w:tcW w:w="745" w:type="pct"/>
            <w:noWrap w:val="0"/>
            <w:vAlign w:val="center"/>
          </w:tcPr>
          <w:p w14:paraId="784301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中型车</w:t>
            </w:r>
          </w:p>
        </w:tc>
        <w:tc>
          <w:tcPr>
            <w:tcW w:w="1985" w:type="dxa"/>
            <w:noWrap w:val="0"/>
            <w:vAlign w:val="center"/>
          </w:tcPr>
          <w:p w14:paraId="6405DE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686</w:t>
            </w:r>
          </w:p>
        </w:tc>
        <w:tc>
          <w:tcPr>
            <w:tcW w:w="2068" w:type="dxa"/>
            <w:noWrap w:val="0"/>
            <w:vAlign w:val="center"/>
          </w:tcPr>
          <w:p w14:paraId="364C1E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46</w:t>
            </w:r>
          </w:p>
        </w:tc>
        <w:tc>
          <w:tcPr>
            <w:tcW w:w="2069" w:type="dxa"/>
            <w:noWrap w:val="0"/>
            <w:vAlign w:val="center"/>
          </w:tcPr>
          <w:p w14:paraId="776F24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11</w:t>
            </w:r>
          </w:p>
        </w:tc>
      </w:tr>
      <w:tr w14:paraId="7B58E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3" w:type="pct"/>
            <w:vMerge w:val="continue"/>
            <w:noWrap w:val="0"/>
            <w:vAlign w:val="center"/>
          </w:tcPr>
          <w:p w14:paraId="72D211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p>
        </w:tc>
        <w:tc>
          <w:tcPr>
            <w:tcW w:w="745" w:type="pct"/>
            <w:noWrap w:val="0"/>
            <w:vAlign w:val="center"/>
          </w:tcPr>
          <w:p w14:paraId="7FE9F1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none"/>
                <w:u w:val="none"/>
              </w:rPr>
            </w:pPr>
            <w:r>
              <w:rPr>
                <w:rFonts w:hint="eastAsia" w:ascii="宋体" w:hAnsi="宋体" w:eastAsia="宋体" w:cs="宋体"/>
                <w:sz w:val="21"/>
                <w:szCs w:val="21"/>
                <w:highlight w:val="none"/>
                <w:u w:val="none"/>
              </w:rPr>
              <w:t>大型车</w:t>
            </w:r>
          </w:p>
        </w:tc>
        <w:tc>
          <w:tcPr>
            <w:tcW w:w="1985" w:type="dxa"/>
            <w:noWrap w:val="0"/>
            <w:vAlign w:val="center"/>
          </w:tcPr>
          <w:p w14:paraId="6AE7DB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1372</w:t>
            </w:r>
          </w:p>
        </w:tc>
        <w:tc>
          <w:tcPr>
            <w:tcW w:w="2068" w:type="dxa"/>
            <w:noWrap w:val="0"/>
            <w:vAlign w:val="center"/>
          </w:tcPr>
          <w:p w14:paraId="17420A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91</w:t>
            </w:r>
          </w:p>
        </w:tc>
        <w:tc>
          <w:tcPr>
            <w:tcW w:w="2069" w:type="dxa"/>
            <w:noWrap w:val="0"/>
            <w:vAlign w:val="center"/>
          </w:tcPr>
          <w:p w14:paraId="59169B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highlight w:val="yellow"/>
                <w:u w:val="none"/>
                <w:lang w:val="en-US" w:eastAsia="zh-CN"/>
              </w:rPr>
            </w:pPr>
            <w:r>
              <w:rPr>
                <w:rFonts w:hint="eastAsia" w:ascii="宋体" w:hAnsi="宋体" w:eastAsia="宋体" w:cs="宋体"/>
                <w:sz w:val="21"/>
                <w:szCs w:val="21"/>
                <w:highlight w:val="yellow"/>
                <w:u w:val="none"/>
                <w:lang w:val="en-US" w:eastAsia="zh-CN"/>
              </w:rPr>
              <w:t>23</w:t>
            </w:r>
          </w:p>
        </w:tc>
      </w:tr>
    </w:tbl>
    <w:p w14:paraId="044BA907">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lang w:val="en-US" w:eastAsia="zh-CN"/>
        </w:rPr>
        <w:t>7</w:t>
      </w:r>
      <w:r>
        <w:rPr>
          <w:rFonts w:hint="eastAsia" w:ascii="宋体" w:hAnsi="宋体" w:eastAsia="宋体" w:cs="宋体"/>
          <w:b/>
          <w:color w:val="auto"/>
          <w:sz w:val="24"/>
          <w:szCs w:val="24"/>
          <w:highlight w:val="none"/>
        </w:rPr>
        <w:t>、噪声污染源分析</w:t>
      </w:r>
    </w:p>
    <w:p w14:paraId="37D44B14">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lang w:val="en-US" w:eastAsia="zh-CN"/>
        </w:rPr>
        <w:t>施工期噪声污染源分析</w:t>
      </w:r>
    </w:p>
    <w:p w14:paraId="72845C5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道路施工期，作业机械品种较</w:t>
      </w:r>
      <w:r>
        <w:rPr>
          <w:rFonts w:hint="eastAsia" w:ascii="宋体" w:hAnsi="宋体" w:eastAsia="宋体" w:cs="宋体"/>
          <w:color w:val="auto"/>
          <w:sz w:val="24"/>
          <w:szCs w:val="24"/>
          <w:highlight w:val="none"/>
        </w:rPr>
        <w:t>多，机械运行时噪声较高，这些非稳态噪声源将对周围环境产生暂时的严重影响。根据《公路建设项目环境影响评价规范》，公路工程机械噪声测试值详见下表：</w:t>
      </w:r>
    </w:p>
    <w:p w14:paraId="4917EB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1</w:t>
      </w:r>
      <w:r>
        <w:rPr>
          <w:rFonts w:hint="eastAsia" w:ascii="宋体" w:hAnsi="宋体" w:cs="宋体"/>
          <w:b/>
          <w:color w:val="auto"/>
          <w:sz w:val="21"/>
          <w:szCs w:val="21"/>
          <w:highlight w:val="none"/>
          <w:lang w:val="en-US" w:eastAsia="zh-CN"/>
        </w:rPr>
        <w:t>3</w:t>
      </w:r>
      <w:r>
        <w:rPr>
          <w:rFonts w:hint="eastAsia" w:ascii="宋体" w:hAnsi="宋体" w:eastAsia="宋体" w:cs="宋体"/>
          <w:b/>
          <w:color w:val="auto"/>
          <w:sz w:val="21"/>
          <w:szCs w:val="21"/>
          <w:highlight w:val="none"/>
        </w:rPr>
        <w:t xml:space="preserve">  施工机械噪声测试值</w:t>
      </w:r>
    </w:p>
    <w:tbl>
      <w:tblPr>
        <w:tblStyle w:val="3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3632"/>
        <w:gridCol w:w="2097"/>
        <w:gridCol w:w="2106"/>
      </w:tblGrid>
      <w:tr w14:paraId="33F16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11063F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2130" w:type="pct"/>
            <w:noWrap w:val="0"/>
            <w:vAlign w:val="center"/>
          </w:tcPr>
          <w:p w14:paraId="6C897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机械类型</w:t>
            </w:r>
          </w:p>
        </w:tc>
        <w:tc>
          <w:tcPr>
            <w:tcW w:w="1230" w:type="pct"/>
            <w:noWrap w:val="0"/>
            <w:vAlign w:val="center"/>
          </w:tcPr>
          <w:p w14:paraId="437402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测点距离（m）</w:t>
            </w:r>
          </w:p>
        </w:tc>
        <w:tc>
          <w:tcPr>
            <w:tcW w:w="1235" w:type="pct"/>
            <w:noWrap w:val="0"/>
            <w:vAlign w:val="center"/>
          </w:tcPr>
          <w:p w14:paraId="14E296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最大声级L</w:t>
            </w:r>
            <w:r>
              <w:rPr>
                <w:rFonts w:hint="eastAsia" w:ascii="宋体" w:hAnsi="宋体" w:eastAsia="宋体" w:cs="宋体"/>
                <w:color w:val="auto"/>
                <w:sz w:val="21"/>
                <w:szCs w:val="21"/>
                <w:highlight w:val="none"/>
                <w:vertAlign w:val="subscript"/>
              </w:rPr>
              <w:t>max</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dB</w:t>
            </w:r>
            <w:r>
              <w:rPr>
                <w:rFonts w:hint="eastAsia" w:ascii="宋体" w:hAnsi="宋体" w:eastAsia="宋体" w:cs="宋体"/>
                <w:color w:val="auto"/>
                <w:sz w:val="21"/>
                <w:szCs w:val="21"/>
                <w:highlight w:val="none"/>
                <w:lang w:eastAsia="zh-CN"/>
              </w:rPr>
              <w:t>)</w:t>
            </w:r>
          </w:p>
        </w:tc>
      </w:tr>
      <w:tr w14:paraId="5DBFB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70ED36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2130" w:type="pct"/>
            <w:noWrap w:val="0"/>
            <w:vAlign w:val="center"/>
          </w:tcPr>
          <w:p w14:paraId="463DB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挖掘机</w:t>
            </w:r>
          </w:p>
        </w:tc>
        <w:tc>
          <w:tcPr>
            <w:tcW w:w="1230" w:type="pct"/>
            <w:noWrap w:val="0"/>
            <w:vAlign w:val="center"/>
          </w:tcPr>
          <w:p w14:paraId="5C4DB4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7FFD1B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16"/>
                <w:highlight w:val="none"/>
                <w:vertAlign w:val="baseline"/>
                <w:lang w:val="en-US" w:eastAsia="zh-CN"/>
              </w:rPr>
              <w:t>84</w:t>
            </w:r>
          </w:p>
        </w:tc>
      </w:tr>
      <w:tr w14:paraId="0CCAF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05B334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2130" w:type="pct"/>
            <w:noWrap w:val="0"/>
            <w:vAlign w:val="center"/>
          </w:tcPr>
          <w:p w14:paraId="368126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推土机</w:t>
            </w:r>
          </w:p>
        </w:tc>
        <w:tc>
          <w:tcPr>
            <w:tcW w:w="1230" w:type="pct"/>
            <w:noWrap w:val="0"/>
            <w:vAlign w:val="center"/>
          </w:tcPr>
          <w:p w14:paraId="337D3B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77C89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16"/>
                <w:highlight w:val="none"/>
                <w:vertAlign w:val="baseline"/>
                <w:lang w:val="en-US" w:eastAsia="zh-CN"/>
              </w:rPr>
              <w:t>86</w:t>
            </w:r>
          </w:p>
        </w:tc>
      </w:tr>
      <w:tr w14:paraId="07312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1F0D0C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2130" w:type="pct"/>
            <w:noWrap w:val="0"/>
            <w:vAlign w:val="center"/>
          </w:tcPr>
          <w:p w14:paraId="088276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压路机</w:t>
            </w:r>
          </w:p>
        </w:tc>
        <w:tc>
          <w:tcPr>
            <w:tcW w:w="1230" w:type="pct"/>
            <w:noWrap w:val="0"/>
            <w:vAlign w:val="center"/>
          </w:tcPr>
          <w:p w14:paraId="1F6B39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43650D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16"/>
                <w:highlight w:val="none"/>
                <w:vertAlign w:val="baseline"/>
                <w:lang w:val="en-US" w:eastAsia="zh-CN"/>
              </w:rPr>
              <w:t>81</w:t>
            </w:r>
          </w:p>
        </w:tc>
      </w:tr>
      <w:tr w14:paraId="544B8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7433C9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2130" w:type="pct"/>
            <w:noWrap w:val="0"/>
            <w:vAlign w:val="center"/>
          </w:tcPr>
          <w:p w14:paraId="21CDBD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大型运输机</w:t>
            </w:r>
          </w:p>
        </w:tc>
        <w:tc>
          <w:tcPr>
            <w:tcW w:w="1230" w:type="pct"/>
            <w:noWrap w:val="0"/>
            <w:vAlign w:val="center"/>
          </w:tcPr>
          <w:p w14:paraId="6058AD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11A26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16"/>
                <w:highlight w:val="none"/>
                <w:vertAlign w:val="baseline"/>
                <w:lang w:val="en-US" w:eastAsia="zh-CN"/>
              </w:rPr>
              <w:t>90</w:t>
            </w:r>
          </w:p>
        </w:tc>
      </w:tr>
      <w:tr w14:paraId="72225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475839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30" w:type="pct"/>
            <w:noWrap w:val="0"/>
            <w:vAlign w:val="center"/>
          </w:tcPr>
          <w:p w14:paraId="7A1952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打桩机</w:t>
            </w:r>
          </w:p>
        </w:tc>
        <w:tc>
          <w:tcPr>
            <w:tcW w:w="1230" w:type="pct"/>
            <w:noWrap w:val="0"/>
            <w:vAlign w:val="center"/>
          </w:tcPr>
          <w:p w14:paraId="5E17F4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4F0E2D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16"/>
                <w:highlight w:val="none"/>
                <w:vertAlign w:val="baseline"/>
                <w:lang w:val="en-US" w:eastAsia="zh-CN"/>
              </w:rPr>
              <w:t>90</w:t>
            </w:r>
          </w:p>
        </w:tc>
      </w:tr>
      <w:tr w14:paraId="3229E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noWrap w:val="0"/>
            <w:vAlign w:val="center"/>
          </w:tcPr>
          <w:p w14:paraId="5C4E72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w:t>
            </w:r>
          </w:p>
        </w:tc>
        <w:tc>
          <w:tcPr>
            <w:tcW w:w="2130" w:type="pct"/>
            <w:noWrap w:val="0"/>
            <w:vAlign w:val="center"/>
          </w:tcPr>
          <w:p w14:paraId="227FCD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21"/>
                <w:highlight w:val="none"/>
                <w:vertAlign w:val="baseline"/>
                <w:lang w:val="en-US" w:eastAsia="zh-CN"/>
              </w:rPr>
              <w:t>摊铺机</w:t>
            </w:r>
          </w:p>
        </w:tc>
        <w:tc>
          <w:tcPr>
            <w:tcW w:w="1230" w:type="pct"/>
            <w:noWrap w:val="0"/>
            <w:vAlign w:val="center"/>
          </w:tcPr>
          <w:p w14:paraId="68EDF8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2155" w:type="dxa"/>
            <w:noWrap w:val="0"/>
            <w:vAlign w:val="center"/>
          </w:tcPr>
          <w:p w14:paraId="458B56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16"/>
                <w:highlight w:val="none"/>
                <w:vertAlign w:val="baseline"/>
                <w:lang w:val="en-US" w:eastAsia="zh-CN"/>
              </w:rPr>
              <w:t>82</w:t>
            </w:r>
          </w:p>
        </w:tc>
      </w:tr>
      <w:bookmarkEnd w:id="19"/>
    </w:tbl>
    <w:p w14:paraId="400EE5E7">
      <w:pPr>
        <w:keepNext w:val="0"/>
        <w:keepLines w:val="0"/>
        <w:pageBreakBefore w:val="0"/>
        <w:widowControl w:val="0"/>
        <w:kinsoku/>
        <w:wordWrap/>
        <w:overflowPunct/>
        <w:topLinePunct w:val="0"/>
        <w:autoSpaceDE/>
        <w:autoSpaceDN/>
        <w:bidi w:val="0"/>
        <w:adjustRightInd w:val="0"/>
        <w:snapToGrid w:val="0"/>
        <w:spacing w:before="0" w:after="0" w:line="360" w:lineRule="auto"/>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营运期噪声污染源分析</w:t>
      </w:r>
    </w:p>
    <w:p w14:paraId="1028A7E7">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outlineLvl w:val="9"/>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车速及平均辐射声级</w:t>
      </w:r>
    </w:p>
    <w:p w14:paraId="383114A9">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outlineLvl w:val="9"/>
        <w:rPr>
          <w:rFonts w:hint="eastAsia" w:ascii="宋体" w:hAnsi="宋体" w:eastAsia="宋体" w:cs="宋体"/>
          <w:b w:val="0"/>
          <w:bCs w:val="0"/>
          <w:sz w:val="32"/>
          <w:szCs w:val="32"/>
          <w:highlight w:val="none"/>
          <w:lang w:val="en-US" w:eastAsia="zh-CN"/>
        </w:rPr>
      </w:pPr>
      <w:r>
        <w:rPr>
          <w:rFonts w:hint="eastAsia" w:ascii="宋体" w:hAnsi="宋体" w:eastAsia="宋体" w:cs="宋体"/>
          <w:snapToGrid w:val="0"/>
          <w:color w:val="000000"/>
          <w:sz w:val="24"/>
          <w:szCs w:val="32"/>
          <w:highlight w:val="none"/>
        </w:rPr>
        <w:t>根据项目直接影响区相似公路车辆运行状况分析确定车速。</w:t>
      </w:r>
      <w:r>
        <w:rPr>
          <w:rFonts w:hint="eastAsia" w:ascii="宋体" w:hAnsi="宋体" w:eastAsia="宋体" w:cs="宋体"/>
          <w:snapToGrid w:val="0"/>
          <w:color w:val="000000"/>
          <w:sz w:val="24"/>
          <w:szCs w:val="32"/>
          <w:highlight w:val="none"/>
          <w:lang w:val="en-US" w:eastAsia="zh-CN"/>
        </w:rPr>
        <w:t>本项目设计车速40km/h。本项目按设计车速计算，不计算平均车速。</w:t>
      </w:r>
    </w:p>
    <w:p w14:paraId="17E500C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b w:val="0"/>
          <w:bCs w:val="0"/>
          <w:sz w:val="24"/>
          <w:szCs w:val="24"/>
          <w:highlight w:val="none"/>
          <w:lang w:val="en-US" w:eastAsia="zh-CN"/>
        </w:rPr>
        <w:t>本次评价第i种车型车辆在参照点（7.5m）处的平均辐射噪声级（dB）</w:t>
      </w:r>
      <w:r>
        <w:rPr>
          <w:rFonts w:hint="eastAsia" w:ascii="宋体" w:hAnsi="宋体" w:eastAsia="宋体" w:cs="宋体"/>
          <w:b w:val="0"/>
          <w:bCs w:val="0"/>
          <w:i/>
          <w:iCs/>
          <w:sz w:val="24"/>
          <w:szCs w:val="24"/>
          <w:highlight w:val="none"/>
          <w:lang w:val="en-US" w:eastAsia="zh-CN"/>
        </w:rPr>
        <w:t>L</w:t>
      </w:r>
      <w:r>
        <w:rPr>
          <w:rFonts w:hint="eastAsia" w:ascii="宋体" w:hAnsi="宋体" w:eastAsia="宋体" w:cs="宋体"/>
          <w:b w:val="0"/>
          <w:bCs w:val="0"/>
          <w:i/>
          <w:iCs/>
          <w:sz w:val="24"/>
          <w:szCs w:val="24"/>
          <w:highlight w:val="none"/>
          <w:vertAlign w:val="subscript"/>
          <w:lang w:val="en-US" w:eastAsia="zh-CN"/>
        </w:rPr>
        <w:t>oi</w:t>
      </w:r>
      <w:r>
        <w:rPr>
          <w:rFonts w:hint="eastAsia" w:ascii="宋体" w:hAnsi="宋体" w:eastAsia="宋体" w:cs="宋体"/>
          <w:b w:val="0"/>
          <w:bCs w:val="0"/>
          <w:sz w:val="24"/>
          <w:szCs w:val="24"/>
          <w:highlight w:val="none"/>
          <w:lang w:val="en-US" w:eastAsia="zh-CN"/>
        </w:rPr>
        <w:t>参照下式公式计算：</w:t>
      </w:r>
    </w:p>
    <w:p w14:paraId="0B606E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snapToGrid w:val="0"/>
          <w:color w:val="auto"/>
          <w:sz w:val="24"/>
          <w:szCs w:val="24"/>
          <w:highlight w:val="none"/>
        </w:rPr>
      </w:pPr>
      <w:r>
        <w:rPr>
          <w:rFonts w:hint="eastAsia" w:ascii="宋体" w:hAnsi="宋体" w:eastAsia="宋体" w:cs="宋体"/>
          <w:snapToGrid w:val="0"/>
          <w:color w:val="auto"/>
          <w:sz w:val="24"/>
          <w:szCs w:val="24"/>
          <w:highlight w:val="none"/>
        </w:rPr>
        <w:t>根据项目直接影响区相似公路车辆运行状况分析确定车速。</w:t>
      </w:r>
    </w:p>
    <w:p w14:paraId="74B650B0">
      <w:pPr>
        <w:spacing w:line="360" w:lineRule="auto"/>
        <w:ind w:firstLine="480"/>
        <w:rPr>
          <w:rFonts w:hint="eastAsia" w:ascii="宋体" w:hAnsi="宋体" w:eastAsia="宋体" w:cs="宋体"/>
          <w:snapToGrid w:val="0"/>
          <w:color w:val="auto"/>
          <w:sz w:val="24"/>
          <w:szCs w:val="24"/>
          <w:highlight w:val="none"/>
        </w:rPr>
      </w:pPr>
      <w:r>
        <w:rPr>
          <w:rFonts w:hint="eastAsia" w:ascii="宋体" w:hAnsi="宋体" w:eastAsia="宋体" w:cs="宋体"/>
          <w:color w:val="auto"/>
          <w:sz w:val="24"/>
          <w:szCs w:val="24"/>
          <w:highlight w:val="none"/>
        </w:rPr>
        <w:t>①单车行驶辐射噪声级</w:t>
      </w:r>
      <w:r>
        <w:rPr>
          <w:rFonts w:hint="eastAsia" w:ascii="宋体" w:hAnsi="宋体" w:eastAsia="宋体" w:cs="宋体"/>
          <w:i/>
          <w:color w:val="auto"/>
          <w:sz w:val="24"/>
          <w:szCs w:val="24"/>
          <w:highlight w:val="none"/>
        </w:rPr>
        <w:t>L</w:t>
      </w:r>
      <w:r>
        <w:rPr>
          <w:rFonts w:hint="eastAsia" w:ascii="宋体" w:hAnsi="宋体" w:eastAsia="宋体" w:cs="宋体"/>
          <w:i/>
          <w:color w:val="auto"/>
          <w:sz w:val="24"/>
          <w:szCs w:val="24"/>
          <w:highlight w:val="none"/>
          <w:vertAlign w:val="subscript"/>
        </w:rPr>
        <w:t>oi</w:t>
      </w:r>
    </w:p>
    <w:p w14:paraId="529173DB">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第i种车型车辆在参照点（7.5m处）的平均辐射噪声级dB（A）</w:t>
      </w:r>
    </w:p>
    <w:p w14:paraId="18F0B00F">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i/>
          <w:color w:val="auto"/>
          <w:sz w:val="24"/>
          <w:szCs w:val="24"/>
          <w:highlight w:val="none"/>
        </w:rPr>
        <w:t>L</w:t>
      </w:r>
      <w:r>
        <w:rPr>
          <w:rFonts w:hint="eastAsia" w:ascii="宋体" w:hAnsi="宋体" w:eastAsia="宋体" w:cs="宋体"/>
          <w:i/>
          <w:color w:val="auto"/>
          <w:sz w:val="24"/>
          <w:szCs w:val="24"/>
          <w:highlight w:val="none"/>
          <w:vertAlign w:val="subscript"/>
        </w:rPr>
        <w:t>oi</w:t>
      </w:r>
      <w:r>
        <w:rPr>
          <w:rFonts w:hint="eastAsia" w:ascii="宋体" w:hAnsi="宋体" w:eastAsia="宋体" w:cs="宋体"/>
          <w:color w:val="auto"/>
          <w:sz w:val="24"/>
          <w:szCs w:val="24"/>
          <w:highlight w:val="none"/>
        </w:rPr>
        <w:t>按下式计算：</w:t>
      </w:r>
    </w:p>
    <w:p w14:paraId="1E877D3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小型车      L</w:t>
      </w:r>
      <w:r>
        <w:rPr>
          <w:rFonts w:hint="eastAsia" w:ascii="宋体" w:hAnsi="宋体" w:eastAsia="宋体" w:cs="宋体"/>
          <w:color w:val="auto"/>
          <w:sz w:val="24"/>
          <w:szCs w:val="24"/>
          <w:highlight w:val="none"/>
          <w:vertAlign w:val="subscript"/>
        </w:rPr>
        <w:t>OS</w:t>
      </w:r>
      <w:r>
        <w:rPr>
          <w:rFonts w:hint="eastAsia" w:ascii="宋体" w:hAnsi="宋体" w:eastAsia="宋体" w:cs="宋体"/>
          <w:color w:val="auto"/>
          <w:sz w:val="24"/>
          <w:szCs w:val="24"/>
          <w:highlight w:val="none"/>
        </w:rPr>
        <w:t>=12.6+34.73lgV</w:t>
      </w:r>
      <w:r>
        <w:rPr>
          <w:rFonts w:hint="eastAsia" w:ascii="宋体" w:hAnsi="宋体" w:eastAsia="宋体" w:cs="宋体"/>
          <w:color w:val="auto"/>
          <w:sz w:val="24"/>
          <w:szCs w:val="24"/>
          <w:highlight w:val="none"/>
          <w:vertAlign w:val="subscript"/>
        </w:rPr>
        <w:t>S</w:t>
      </w:r>
      <w:r>
        <w:rPr>
          <w:rFonts w:hint="eastAsia" w:ascii="宋体" w:hAnsi="宋体" w:eastAsia="宋体" w:cs="宋体"/>
          <w:color w:val="auto"/>
          <w:sz w:val="24"/>
          <w:szCs w:val="24"/>
          <w:highlight w:val="none"/>
        </w:rPr>
        <w:t>+△L</w:t>
      </w:r>
      <w:r>
        <w:rPr>
          <w:rFonts w:hint="eastAsia" w:ascii="宋体" w:hAnsi="宋体" w:eastAsia="宋体" w:cs="宋体"/>
          <w:color w:val="auto"/>
          <w:sz w:val="24"/>
          <w:szCs w:val="24"/>
          <w:highlight w:val="none"/>
          <w:vertAlign w:val="subscript"/>
        </w:rPr>
        <w:t>路面</w:t>
      </w:r>
    </w:p>
    <w:p w14:paraId="3E5DA5B8">
      <w:pPr>
        <w:spacing w:line="360" w:lineRule="auto"/>
        <w:ind w:firstLine="480" w:firstLineChars="200"/>
        <w:rPr>
          <w:rFonts w:hint="eastAsia" w:ascii="宋体" w:hAnsi="宋体" w:eastAsia="宋体" w:cs="宋体"/>
          <w:color w:val="auto"/>
          <w:sz w:val="24"/>
          <w:szCs w:val="24"/>
          <w:highlight w:val="none"/>
          <w:vertAlign w:val="subscript"/>
        </w:rPr>
      </w:pPr>
      <w:r>
        <w:rPr>
          <w:rFonts w:hint="eastAsia" w:ascii="宋体" w:hAnsi="宋体" w:eastAsia="宋体" w:cs="宋体"/>
          <w:color w:val="auto"/>
          <w:sz w:val="24"/>
          <w:szCs w:val="24"/>
          <w:highlight w:val="none"/>
        </w:rPr>
        <w:t>中型车      L</w:t>
      </w:r>
      <w:r>
        <w:rPr>
          <w:rFonts w:hint="eastAsia" w:ascii="宋体" w:hAnsi="宋体" w:eastAsia="宋体" w:cs="宋体"/>
          <w:color w:val="auto"/>
          <w:sz w:val="24"/>
          <w:szCs w:val="24"/>
          <w:highlight w:val="none"/>
          <w:vertAlign w:val="subscript"/>
        </w:rPr>
        <w:t>0M</w:t>
      </w:r>
      <w:r>
        <w:rPr>
          <w:rFonts w:hint="eastAsia" w:ascii="宋体" w:hAnsi="宋体" w:eastAsia="宋体" w:cs="宋体"/>
          <w:color w:val="auto"/>
          <w:sz w:val="24"/>
          <w:szCs w:val="24"/>
          <w:highlight w:val="none"/>
        </w:rPr>
        <w:t>=8.8+40.48lgV</w:t>
      </w:r>
      <w:r>
        <w:rPr>
          <w:rFonts w:hint="eastAsia" w:ascii="宋体" w:hAnsi="宋体" w:eastAsia="宋体" w:cs="宋体"/>
          <w:color w:val="auto"/>
          <w:sz w:val="24"/>
          <w:szCs w:val="24"/>
          <w:highlight w:val="none"/>
          <w:vertAlign w:val="subscript"/>
        </w:rPr>
        <w:t>M</w:t>
      </w:r>
      <w:r>
        <w:rPr>
          <w:rFonts w:hint="eastAsia" w:ascii="宋体" w:hAnsi="宋体" w:eastAsia="宋体" w:cs="宋体"/>
          <w:color w:val="auto"/>
          <w:sz w:val="24"/>
          <w:szCs w:val="24"/>
          <w:highlight w:val="none"/>
        </w:rPr>
        <w:t>+△L</w:t>
      </w:r>
      <w:r>
        <w:rPr>
          <w:rFonts w:hint="eastAsia" w:ascii="宋体" w:hAnsi="宋体" w:eastAsia="宋体" w:cs="宋体"/>
          <w:color w:val="auto"/>
          <w:sz w:val="24"/>
          <w:szCs w:val="24"/>
          <w:highlight w:val="none"/>
          <w:vertAlign w:val="subscript"/>
        </w:rPr>
        <w:t>纵坡</w:t>
      </w:r>
    </w:p>
    <w:p w14:paraId="642EA42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大型车      L</w:t>
      </w:r>
      <w:r>
        <w:rPr>
          <w:rFonts w:hint="eastAsia" w:ascii="宋体" w:hAnsi="宋体" w:eastAsia="宋体" w:cs="宋体"/>
          <w:color w:val="auto"/>
          <w:sz w:val="24"/>
          <w:szCs w:val="24"/>
          <w:highlight w:val="none"/>
          <w:vertAlign w:val="subscript"/>
        </w:rPr>
        <w:t>0L</w:t>
      </w:r>
      <w:r>
        <w:rPr>
          <w:rFonts w:hint="eastAsia" w:ascii="宋体" w:hAnsi="宋体" w:eastAsia="宋体" w:cs="宋体"/>
          <w:color w:val="auto"/>
          <w:sz w:val="24"/>
          <w:szCs w:val="24"/>
          <w:highlight w:val="none"/>
        </w:rPr>
        <w:t>=22.0+36.32lgV</w:t>
      </w:r>
      <w:r>
        <w:rPr>
          <w:rFonts w:hint="eastAsia" w:ascii="宋体" w:hAnsi="宋体" w:eastAsia="宋体" w:cs="宋体"/>
          <w:color w:val="auto"/>
          <w:sz w:val="24"/>
          <w:szCs w:val="24"/>
          <w:highlight w:val="none"/>
          <w:vertAlign w:val="subscript"/>
        </w:rPr>
        <w:t>L</w:t>
      </w:r>
      <w:r>
        <w:rPr>
          <w:rFonts w:hint="eastAsia" w:ascii="宋体" w:hAnsi="宋体" w:eastAsia="宋体" w:cs="宋体"/>
          <w:color w:val="auto"/>
          <w:sz w:val="24"/>
          <w:szCs w:val="24"/>
          <w:highlight w:val="none"/>
        </w:rPr>
        <w:t>+△L</w:t>
      </w:r>
      <w:r>
        <w:rPr>
          <w:rFonts w:hint="eastAsia" w:ascii="宋体" w:hAnsi="宋体" w:eastAsia="宋体" w:cs="宋体"/>
          <w:color w:val="auto"/>
          <w:sz w:val="24"/>
          <w:szCs w:val="24"/>
          <w:highlight w:val="none"/>
          <w:vertAlign w:val="subscript"/>
        </w:rPr>
        <w:t>纵坡</w:t>
      </w:r>
    </w:p>
    <w:p w14:paraId="1E9BAAFF">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式中：S、M、L——分别表示小、中、大型车；</w:t>
      </w:r>
    </w:p>
    <w:p w14:paraId="35B93BAA">
      <w:pPr>
        <w:spacing w:line="360" w:lineRule="auto"/>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V</w:t>
      </w:r>
      <w:r>
        <w:rPr>
          <w:rFonts w:hint="eastAsia" w:ascii="宋体" w:hAnsi="宋体" w:eastAsia="宋体" w:cs="宋体"/>
          <w:color w:val="auto"/>
          <w:sz w:val="24"/>
          <w:szCs w:val="24"/>
          <w:highlight w:val="none"/>
          <w:vertAlign w:val="subscript"/>
        </w:rPr>
        <w:t>i</w:t>
      </w:r>
      <w:r>
        <w:rPr>
          <w:rFonts w:hint="eastAsia" w:ascii="宋体" w:hAnsi="宋体" w:eastAsia="宋体" w:cs="宋体"/>
          <w:color w:val="auto"/>
          <w:sz w:val="24"/>
          <w:szCs w:val="24"/>
          <w:highlight w:val="none"/>
        </w:rPr>
        <w:t>——该车型车辆的平均行驶速度，km/h。</w:t>
      </w:r>
    </w:p>
    <w:p w14:paraId="307975A9">
      <w:pPr>
        <w:numPr>
          <w:ilvl w:val="0"/>
          <w:numId w:val="7"/>
        </w:numPr>
        <w:spacing w:line="360" w:lineRule="auto"/>
        <w:ind w:left="840" w:hanging="36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源强修订</w:t>
      </w:r>
    </w:p>
    <w:p w14:paraId="20C5DB43">
      <w:pPr>
        <w:spacing w:line="360" w:lineRule="auto"/>
        <w:ind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t>公路纵坡引起的交通源强修正量△L</w:t>
      </w:r>
      <w:r>
        <w:rPr>
          <w:rFonts w:hint="eastAsia" w:ascii="宋体" w:hAnsi="宋体" w:eastAsia="宋体" w:cs="宋体"/>
          <w:color w:val="auto"/>
          <w:sz w:val="24"/>
          <w:szCs w:val="24"/>
          <w:highlight w:val="none"/>
          <w:vertAlign w:val="subscript"/>
        </w:rPr>
        <w:t>纵坡</w:t>
      </w:r>
      <w:r>
        <w:rPr>
          <w:rFonts w:hint="eastAsia" w:ascii="宋体" w:hAnsi="宋体" w:eastAsia="宋体" w:cs="宋体"/>
          <w:color w:val="auto"/>
          <w:sz w:val="24"/>
          <w:szCs w:val="24"/>
          <w:highlight w:val="none"/>
        </w:rPr>
        <w:t>计算</w:t>
      </w:r>
      <w:r>
        <w:rPr>
          <w:rFonts w:hint="eastAsia" w:ascii="宋体" w:hAnsi="宋体" w:eastAsia="宋体" w:cs="宋体"/>
          <w:color w:val="auto"/>
          <w:kern w:val="0"/>
          <w:sz w:val="24"/>
          <w:szCs w:val="24"/>
          <w:highlight w:val="none"/>
        </w:rPr>
        <w:t>取值详见</w:t>
      </w:r>
      <w:r>
        <w:rPr>
          <w:rFonts w:hint="eastAsia" w:ascii="宋体" w:hAnsi="宋体" w:eastAsia="宋体" w:cs="宋体"/>
          <w:color w:val="auto"/>
          <w:spacing w:val="6"/>
          <w:sz w:val="24"/>
          <w:szCs w:val="24"/>
          <w:highlight w:val="none"/>
        </w:rPr>
        <w:t>表</w:t>
      </w:r>
      <w:r>
        <w:rPr>
          <w:rFonts w:hint="eastAsia" w:ascii="宋体" w:hAnsi="宋体" w:eastAsia="宋体" w:cs="宋体"/>
          <w:color w:val="auto"/>
          <w:sz w:val="24"/>
          <w:szCs w:val="24"/>
          <w:highlight w:val="none"/>
          <w:lang w:val="en-US" w:eastAsia="zh-CN"/>
        </w:rPr>
        <w:t>14</w:t>
      </w:r>
      <w:r>
        <w:rPr>
          <w:rFonts w:hint="eastAsia" w:ascii="宋体" w:hAnsi="宋体" w:eastAsia="宋体" w:cs="宋体"/>
          <w:color w:val="auto"/>
          <w:kern w:val="0"/>
          <w:sz w:val="24"/>
          <w:szCs w:val="24"/>
          <w:highlight w:val="none"/>
        </w:rPr>
        <w:t>。</w:t>
      </w:r>
    </w:p>
    <w:p w14:paraId="5E7A7AC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color w:val="auto"/>
          <w:kern w:val="0"/>
          <w:sz w:val="21"/>
          <w:szCs w:val="21"/>
          <w:highlight w:val="none"/>
        </w:rPr>
      </w:pPr>
      <w:r>
        <w:rPr>
          <w:rFonts w:hint="eastAsia" w:ascii="宋体" w:hAnsi="宋体" w:eastAsia="宋体" w:cs="宋体"/>
          <w:b/>
          <w:color w:val="auto"/>
          <w:spacing w:val="6"/>
          <w:sz w:val="21"/>
          <w:szCs w:val="21"/>
          <w:highlight w:val="none"/>
        </w:rPr>
        <w:t>表</w:t>
      </w:r>
      <w:r>
        <w:rPr>
          <w:rFonts w:hint="eastAsia" w:ascii="宋体" w:hAnsi="宋体" w:eastAsia="宋体" w:cs="宋体"/>
          <w:b/>
          <w:color w:val="auto"/>
          <w:sz w:val="21"/>
          <w:szCs w:val="21"/>
          <w:highlight w:val="none"/>
          <w:lang w:val="en-US" w:eastAsia="zh-CN"/>
        </w:rPr>
        <w:t xml:space="preserve">14  </w:t>
      </w:r>
      <w:r>
        <w:rPr>
          <w:rFonts w:hint="eastAsia" w:ascii="宋体" w:hAnsi="宋体" w:eastAsia="宋体" w:cs="宋体"/>
          <w:b/>
          <w:color w:val="auto"/>
          <w:kern w:val="0"/>
          <w:sz w:val="21"/>
          <w:szCs w:val="21"/>
          <w:highlight w:val="none"/>
        </w:rPr>
        <w:t xml:space="preserve"> 路面纵坡噪声级修正值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1C1D2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top w:val="single" w:color="auto" w:sz="12" w:space="0"/>
              <w:left w:val="nil"/>
            </w:tcBorders>
            <w:noWrap w:val="0"/>
            <w:vAlign w:val="center"/>
          </w:tcPr>
          <w:p w14:paraId="78B3BAE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纵坡（%）</w:t>
            </w:r>
          </w:p>
        </w:tc>
        <w:tc>
          <w:tcPr>
            <w:tcW w:w="2500" w:type="pct"/>
            <w:tcBorders>
              <w:top w:val="single" w:color="auto" w:sz="12" w:space="0"/>
              <w:right w:val="nil"/>
            </w:tcBorders>
            <w:noWrap w:val="0"/>
            <w:vAlign w:val="center"/>
          </w:tcPr>
          <w:p w14:paraId="21A7643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噪声级修正值</w:t>
            </w:r>
            <w:r>
              <w:rPr>
                <w:rFonts w:hint="eastAsia" w:ascii="宋体" w:hAnsi="宋体" w:eastAsia="宋体" w:cs="宋体"/>
                <w:color w:val="auto"/>
                <w:sz w:val="21"/>
                <w:szCs w:val="21"/>
                <w:highlight w:val="none"/>
              </w:rPr>
              <w:t>dB（A）</w:t>
            </w:r>
          </w:p>
        </w:tc>
      </w:tr>
      <w:tr w14:paraId="5E95E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tcBorders>
            <w:noWrap w:val="0"/>
            <w:vAlign w:val="center"/>
          </w:tcPr>
          <w:p w14:paraId="34289FC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w:t>
            </w:r>
          </w:p>
        </w:tc>
        <w:tc>
          <w:tcPr>
            <w:tcW w:w="2500" w:type="pct"/>
            <w:tcBorders>
              <w:right w:val="nil"/>
            </w:tcBorders>
            <w:noWrap w:val="0"/>
            <w:vAlign w:val="center"/>
          </w:tcPr>
          <w:p w14:paraId="259928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w:t>
            </w:r>
          </w:p>
        </w:tc>
      </w:tr>
      <w:tr w14:paraId="08922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tcBorders>
            <w:noWrap w:val="0"/>
            <w:vAlign w:val="center"/>
          </w:tcPr>
          <w:p w14:paraId="18169FE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5</w:t>
            </w:r>
          </w:p>
        </w:tc>
        <w:tc>
          <w:tcPr>
            <w:tcW w:w="2500" w:type="pct"/>
            <w:tcBorders>
              <w:right w:val="nil"/>
            </w:tcBorders>
            <w:noWrap w:val="0"/>
            <w:vAlign w:val="center"/>
          </w:tcPr>
          <w:p w14:paraId="1427E3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w:t>
            </w:r>
          </w:p>
        </w:tc>
      </w:tr>
      <w:tr w14:paraId="726C3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tcBorders>
            <w:noWrap w:val="0"/>
            <w:vAlign w:val="center"/>
          </w:tcPr>
          <w:p w14:paraId="6B25F6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6～7</w:t>
            </w:r>
          </w:p>
        </w:tc>
        <w:tc>
          <w:tcPr>
            <w:tcW w:w="2500" w:type="pct"/>
            <w:tcBorders>
              <w:right w:val="nil"/>
            </w:tcBorders>
            <w:noWrap w:val="0"/>
            <w:vAlign w:val="center"/>
          </w:tcPr>
          <w:p w14:paraId="1D83420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w:t>
            </w:r>
          </w:p>
        </w:tc>
      </w:tr>
      <w:tr w14:paraId="4BE45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bottom w:val="single" w:color="auto" w:sz="12" w:space="0"/>
            </w:tcBorders>
            <w:noWrap w:val="0"/>
            <w:vAlign w:val="center"/>
          </w:tcPr>
          <w:p w14:paraId="78D4EFA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eastAsia="zh-CN"/>
              </w:rPr>
              <w:t>&gt;</w:t>
            </w:r>
            <w:r>
              <w:rPr>
                <w:rFonts w:hint="eastAsia" w:ascii="宋体" w:hAnsi="宋体" w:eastAsia="宋体" w:cs="宋体"/>
                <w:color w:val="auto"/>
                <w:kern w:val="0"/>
                <w:sz w:val="21"/>
                <w:szCs w:val="21"/>
                <w:highlight w:val="none"/>
              </w:rPr>
              <w:t>7</w:t>
            </w:r>
          </w:p>
        </w:tc>
        <w:tc>
          <w:tcPr>
            <w:tcW w:w="2500" w:type="pct"/>
            <w:tcBorders>
              <w:bottom w:val="single" w:color="auto" w:sz="12" w:space="0"/>
              <w:right w:val="nil"/>
            </w:tcBorders>
            <w:noWrap w:val="0"/>
            <w:vAlign w:val="center"/>
          </w:tcPr>
          <w:p w14:paraId="61D8BB9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w:t>
            </w:r>
          </w:p>
        </w:tc>
      </w:tr>
    </w:tbl>
    <w:p w14:paraId="063A17F8">
      <w:pPr>
        <w:autoSpaceDE w:val="0"/>
        <w:autoSpaceDN w:val="0"/>
        <w:adjustRightInd w:val="0"/>
        <w:spacing w:line="360" w:lineRule="auto"/>
        <w:ind w:firstLine="435"/>
        <w:jc w:val="left"/>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本项目纵坡小于3%，噪声级修正值取0。</w:t>
      </w:r>
    </w:p>
    <w:p w14:paraId="36FCD2B4">
      <w:pPr>
        <w:autoSpaceDE w:val="0"/>
        <w:autoSpaceDN w:val="0"/>
        <w:adjustRightInd w:val="0"/>
        <w:spacing w:line="360" w:lineRule="auto"/>
        <w:ind w:firstLine="435"/>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公路路面引起的交通噪声源强修正量</w:t>
      </w:r>
      <w:r>
        <w:rPr>
          <w:rFonts w:hint="eastAsia" w:ascii="宋体" w:hAnsi="宋体" w:eastAsia="宋体" w:cs="宋体"/>
          <w:color w:val="auto"/>
          <w:sz w:val="24"/>
          <w:szCs w:val="24"/>
          <w:highlight w:val="none"/>
        </w:rPr>
        <w:t>△L</w:t>
      </w:r>
      <w:r>
        <w:rPr>
          <w:rFonts w:hint="eastAsia" w:ascii="宋体" w:hAnsi="宋体" w:eastAsia="宋体" w:cs="宋体"/>
          <w:color w:val="auto"/>
          <w:sz w:val="24"/>
          <w:szCs w:val="24"/>
          <w:highlight w:val="none"/>
          <w:vertAlign w:val="subscript"/>
        </w:rPr>
        <w:t>路面</w:t>
      </w:r>
      <w:r>
        <w:rPr>
          <w:rFonts w:hint="eastAsia" w:ascii="宋体" w:hAnsi="宋体" w:eastAsia="宋体" w:cs="宋体"/>
          <w:color w:val="auto"/>
          <w:kern w:val="0"/>
          <w:sz w:val="24"/>
          <w:szCs w:val="24"/>
          <w:highlight w:val="none"/>
        </w:rPr>
        <w:t>取值详见</w:t>
      </w:r>
      <w:r>
        <w:rPr>
          <w:rFonts w:hint="eastAsia" w:ascii="宋体" w:hAnsi="宋体" w:eastAsia="宋体" w:cs="宋体"/>
          <w:color w:val="auto"/>
          <w:spacing w:val="6"/>
          <w:sz w:val="24"/>
          <w:szCs w:val="24"/>
          <w:highlight w:val="none"/>
        </w:rPr>
        <w:t>表</w:t>
      </w:r>
      <w:r>
        <w:rPr>
          <w:rFonts w:hint="eastAsia" w:ascii="宋体" w:hAnsi="宋体" w:eastAsia="宋体" w:cs="宋体"/>
          <w:color w:val="auto"/>
          <w:sz w:val="24"/>
          <w:szCs w:val="24"/>
          <w:highlight w:val="none"/>
          <w:lang w:val="en-US" w:eastAsia="zh-CN"/>
        </w:rPr>
        <w:t>15</w:t>
      </w:r>
      <w:r>
        <w:rPr>
          <w:rFonts w:hint="eastAsia" w:ascii="宋体" w:hAnsi="宋体" w:eastAsia="宋体" w:cs="宋体"/>
          <w:color w:val="auto"/>
          <w:kern w:val="0"/>
          <w:sz w:val="24"/>
          <w:szCs w:val="24"/>
          <w:highlight w:val="none"/>
        </w:rPr>
        <w:t>。</w:t>
      </w:r>
    </w:p>
    <w:p w14:paraId="75DA08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b/>
          <w:color w:val="auto"/>
          <w:kern w:val="0"/>
          <w:sz w:val="21"/>
          <w:szCs w:val="21"/>
          <w:highlight w:val="none"/>
        </w:rPr>
      </w:pPr>
      <w:r>
        <w:rPr>
          <w:rFonts w:hint="eastAsia" w:ascii="宋体" w:hAnsi="宋体" w:eastAsia="宋体" w:cs="宋体"/>
          <w:b/>
          <w:snapToGrid w:val="0"/>
          <w:color w:val="auto"/>
          <w:kern w:val="0"/>
          <w:sz w:val="21"/>
          <w:szCs w:val="21"/>
          <w:highlight w:val="none"/>
          <w:lang w:val="zh-CN"/>
        </w:rPr>
        <w:t>表</w:t>
      </w:r>
      <w:r>
        <w:rPr>
          <w:rFonts w:hint="eastAsia" w:ascii="宋体" w:hAnsi="宋体" w:eastAsia="宋体" w:cs="宋体"/>
          <w:b/>
          <w:color w:val="auto"/>
          <w:sz w:val="21"/>
          <w:szCs w:val="21"/>
          <w:highlight w:val="none"/>
          <w:lang w:val="en-US" w:eastAsia="zh-CN"/>
        </w:rPr>
        <w:t>15</w:t>
      </w:r>
      <w:r>
        <w:rPr>
          <w:rFonts w:hint="eastAsia" w:ascii="宋体" w:hAnsi="宋体" w:eastAsia="宋体" w:cs="宋体"/>
          <w:b/>
          <w:color w:val="auto"/>
          <w:kern w:val="0"/>
          <w:sz w:val="21"/>
          <w:szCs w:val="21"/>
          <w:highlight w:val="none"/>
        </w:rPr>
        <w:t xml:space="preserve">  常规路面修正值</w:t>
      </w:r>
      <w:r>
        <w:rPr>
          <w:rFonts w:hint="eastAsia" w:ascii="宋体" w:hAnsi="宋体" w:eastAsia="宋体" w:cs="宋体"/>
          <w:b/>
          <w:color w:val="auto"/>
          <w:sz w:val="21"/>
          <w:szCs w:val="21"/>
          <w:highlight w:val="none"/>
        </w:rPr>
        <w:t>△L</w:t>
      </w:r>
      <w:r>
        <w:rPr>
          <w:rFonts w:hint="eastAsia" w:ascii="宋体" w:hAnsi="宋体" w:eastAsia="宋体" w:cs="宋体"/>
          <w:b/>
          <w:color w:val="auto"/>
          <w:sz w:val="21"/>
          <w:szCs w:val="21"/>
          <w:highlight w:val="none"/>
          <w:vertAlign w:val="subscript"/>
        </w:rPr>
        <w:t>路面</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57E0C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top w:val="single" w:color="auto" w:sz="12" w:space="0"/>
              <w:left w:val="nil"/>
            </w:tcBorders>
            <w:noWrap w:val="0"/>
            <w:vAlign w:val="center"/>
          </w:tcPr>
          <w:p w14:paraId="455A80E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路面</w:t>
            </w:r>
          </w:p>
        </w:tc>
        <w:tc>
          <w:tcPr>
            <w:tcW w:w="2500" w:type="pct"/>
            <w:tcBorders>
              <w:top w:val="single" w:color="auto" w:sz="12" w:space="0"/>
              <w:right w:val="nil"/>
            </w:tcBorders>
            <w:noWrap w:val="0"/>
            <w:vAlign w:val="center"/>
          </w:tcPr>
          <w:p w14:paraId="1944F31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rPr>
              <w:t>△L</w:t>
            </w:r>
            <w:r>
              <w:rPr>
                <w:rFonts w:hint="eastAsia" w:ascii="宋体" w:hAnsi="宋体" w:eastAsia="宋体" w:cs="宋体"/>
                <w:color w:val="auto"/>
                <w:sz w:val="21"/>
                <w:szCs w:val="21"/>
                <w:highlight w:val="none"/>
                <w:vertAlign w:val="subscript"/>
              </w:rPr>
              <w:t>路面</w:t>
            </w:r>
          </w:p>
        </w:tc>
      </w:tr>
      <w:tr w14:paraId="2FDAA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tcBorders>
            <w:noWrap w:val="0"/>
            <w:vAlign w:val="center"/>
          </w:tcPr>
          <w:p w14:paraId="56F0DE8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沥青混凝土路面</w:t>
            </w:r>
          </w:p>
        </w:tc>
        <w:tc>
          <w:tcPr>
            <w:tcW w:w="2500" w:type="pct"/>
            <w:tcBorders>
              <w:right w:val="nil"/>
            </w:tcBorders>
            <w:noWrap w:val="0"/>
            <w:vAlign w:val="center"/>
          </w:tcPr>
          <w:p w14:paraId="32B8187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w:t>
            </w:r>
          </w:p>
        </w:tc>
      </w:tr>
      <w:tr w14:paraId="3AB28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left w:val="nil"/>
              <w:bottom w:val="single" w:color="auto" w:sz="12" w:space="0"/>
            </w:tcBorders>
            <w:noWrap w:val="0"/>
            <w:vAlign w:val="center"/>
          </w:tcPr>
          <w:p w14:paraId="098C120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水泥混凝土路面</w:t>
            </w:r>
          </w:p>
        </w:tc>
        <w:tc>
          <w:tcPr>
            <w:tcW w:w="2500" w:type="pct"/>
            <w:tcBorders>
              <w:bottom w:val="single" w:color="auto" w:sz="12" w:space="0"/>
              <w:right w:val="nil"/>
            </w:tcBorders>
            <w:noWrap w:val="0"/>
            <w:vAlign w:val="center"/>
          </w:tcPr>
          <w:p w14:paraId="59FAE79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w:t>
            </w:r>
          </w:p>
        </w:tc>
      </w:tr>
    </w:tbl>
    <w:p w14:paraId="1B81F013">
      <w:pPr>
        <w:autoSpaceDE w:val="0"/>
        <w:autoSpaceDN w:val="0"/>
        <w:adjustRightInd w:val="0"/>
        <w:spacing w:line="360" w:lineRule="auto"/>
        <w:ind w:firstLine="420" w:firstLineChars="200"/>
        <w:jc w:val="left"/>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注：本表仅对小型车修正，大型车和中型车不作修正。</w:t>
      </w:r>
      <w:r>
        <w:rPr>
          <w:rFonts w:hint="eastAsia" w:ascii="宋体" w:hAnsi="宋体" w:eastAsia="宋体" w:cs="宋体"/>
          <w:color w:val="auto"/>
          <w:kern w:val="0"/>
          <w:sz w:val="21"/>
          <w:szCs w:val="21"/>
          <w:highlight w:val="none"/>
          <w:lang w:val="en-US" w:eastAsia="zh-CN"/>
        </w:rPr>
        <w:t>本项目为水泥路面，修正值取1。</w:t>
      </w:r>
    </w:p>
    <w:p w14:paraId="02F72D0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 2 \* GB3 \* MERGEFORMAT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②</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预测结果</w:t>
      </w:r>
    </w:p>
    <w:p w14:paraId="1034B8F1">
      <w:pPr>
        <w:keepNext w:val="0"/>
        <w:keepLines w:val="0"/>
        <w:pageBreakBefore w:val="0"/>
        <w:widowControl w:val="0"/>
        <w:kinsoku/>
        <w:wordWrap/>
        <w:overflowPunct/>
        <w:topLinePunct w:val="0"/>
        <w:bidi w:val="0"/>
        <w:adjustRightInd/>
        <w:snapToGrid/>
        <w:spacing w:line="360" w:lineRule="auto"/>
        <w:ind w:lef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本次评价进行近期、中期</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远期进行</w:t>
      </w:r>
      <w:r>
        <w:rPr>
          <w:rFonts w:hint="eastAsia" w:ascii="宋体" w:hAnsi="宋体" w:eastAsia="宋体" w:cs="宋体"/>
          <w:color w:val="auto"/>
          <w:sz w:val="24"/>
          <w:szCs w:val="24"/>
          <w:highlight w:val="none"/>
        </w:rPr>
        <w:t>预测。本公路车辆在参照点（7.5m处）的平均辐射噪声级</w:t>
      </w:r>
      <w:r>
        <w:rPr>
          <w:rFonts w:hint="eastAsia" w:ascii="宋体" w:hAnsi="宋体" w:eastAsia="宋体" w:cs="宋体"/>
          <w:color w:val="auto"/>
          <w:position w:val="-12"/>
          <w:sz w:val="24"/>
          <w:szCs w:val="24"/>
          <w:highlight w:val="none"/>
        </w:rPr>
        <w:object>
          <v:shape id="_x0000_i1027" o:spt="75" type="#_x0000_t75" style="height:19pt;width:17.3pt;" o:ole="t" filled="f" o:preferrelative="t" stroked="f" coordsize="21600,21600">
            <v:path/>
            <v:fill on="f" focussize="0,0"/>
            <v:stroke on="f" joinstyle="miter"/>
            <v:imagedata r:id="rId102" o:title=""/>
            <o:lock v:ext="edit" aspectratio="t"/>
            <w10:wrap type="none"/>
            <w10:anchorlock/>
          </v:shape>
          <o:OLEObject Type="Embed" ProgID="Equation.3" ShapeID="_x0000_i1027" DrawAspect="Content" ObjectID="_1468075734" r:id="rId101">
            <o:LockedField>false</o:LockedField>
          </o:OLEObject>
        </w:object>
      </w:r>
      <w:r>
        <w:rPr>
          <w:rFonts w:hint="eastAsia" w:ascii="宋体" w:hAnsi="宋体" w:eastAsia="宋体" w:cs="宋体"/>
          <w:color w:val="auto"/>
          <w:sz w:val="24"/>
          <w:szCs w:val="24"/>
          <w:highlight w:val="none"/>
        </w:rPr>
        <w:t>计算结果见下表。</w:t>
      </w:r>
    </w:p>
    <w:p w14:paraId="614C011A">
      <w:pPr>
        <w:widowControl w:val="0"/>
        <w:ind w:left="6000" w:leftChars="2500"/>
        <w:jc w:val="both"/>
        <w:rPr>
          <w:rFonts w:hint="eastAsia" w:ascii="宋体" w:hAnsi="宋体" w:eastAsia="宋体" w:cs="宋体"/>
          <w:color w:val="auto"/>
          <w:kern w:val="0"/>
          <w:sz w:val="24"/>
          <w:szCs w:val="24"/>
          <w:highlight w:val="none"/>
          <w:lang w:val="en-US" w:eastAsia="zh-CN" w:bidi="ar-SA"/>
        </w:rPr>
      </w:pPr>
    </w:p>
    <w:p w14:paraId="69948B21">
      <w:pPr>
        <w:autoSpaceDE w:val="0"/>
        <w:autoSpaceDN w:val="0"/>
        <w:spacing w:line="360" w:lineRule="auto"/>
        <w:ind w:firstLine="482" w:firstLineChars="200"/>
        <w:textAlignment w:val="baseline"/>
        <w:rPr>
          <w:rFonts w:hint="eastAsia" w:ascii="宋体" w:hAnsi="宋体" w:eastAsia="宋体" w:cs="宋体"/>
          <w:b/>
          <w:color w:val="auto"/>
          <w:sz w:val="24"/>
          <w:szCs w:val="24"/>
          <w:highlight w:val="none"/>
        </w:rPr>
        <w:sectPr>
          <w:headerReference r:id="rId1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rtlGutter w:val="0"/>
          <w:docGrid w:type="lines" w:linePitch="327" w:charSpace="0"/>
        </w:sectPr>
      </w:pPr>
    </w:p>
    <w:p w14:paraId="55211560">
      <w:pPr>
        <w:autoSpaceDE w:val="0"/>
        <w:autoSpaceDN w:val="0"/>
        <w:spacing w:line="240" w:lineRule="auto"/>
        <w:jc w:val="center"/>
        <w:textAlignment w:val="baseline"/>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16</w:t>
      </w:r>
      <w:r>
        <w:rPr>
          <w:rFonts w:hint="eastAsia" w:ascii="宋体" w:hAnsi="宋体" w:eastAsia="宋体" w:cs="宋体"/>
          <w:b/>
          <w:color w:val="auto"/>
          <w:sz w:val="21"/>
          <w:szCs w:val="21"/>
          <w:highlight w:val="none"/>
        </w:rPr>
        <w:t xml:space="preserve">  各车型平均时速计算结果及7.5m处平均辐射噪声级预测结果表</w:t>
      </w:r>
    </w:p>
    <w:tbl>
      <w:tblPr>
        <w:tblStyle w:val="33"/>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04"/>
        <w:gridCol w:w="705"/>
        <w:gridCol w:w="708"/>
        <w:gridCol w:w="848"/>
        <w:gridCol w:w="711"/>
        <w:gridCol w:w="711"/>
        <w:gridCol w:w="854"/>
        <w:gridCol w:w="711"/>
        <w:gridCol w:w="711"/>
        <w:gridCol w:w="848"/>
        <w:gridCol w:w="711"/>
        <w:gridCol w:w="711"/>
        <w:gridCol w:w="848"/>
        <w:gridCol w:w="711"/>
        <w:gridCol w:w="711"/>
        <w:gridCol w:w="848"/>
        <w:gridCol w:w="711"/>
        <w:gridCol w:w="711"/>
        <w:gridCol w:w="848"/>
      </w:tblGrid>
      <w:tr w14:paraId="479EE5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246" w:type="pct"/>
            <w:vMerge w:val="restart"/>
            <w:tcBorders>
              <w:tl2br w:val="nil"/>
              <w:tr2bl w:val="nil"/>
            </w:tcBorders>
            <w:noWrap w:val="0"/>
            <w:vAlign w:val="center"/>
          </w:tcPr>
          <w:p w14:paraId="6DA10F7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车型</w:t>
            </w:r>
          </w:p>
        </w:tc>
        <w:tc>
          <w:tcPr>
            <w:tcW w:w="1583" w:type="pct"/>
            <w:gridSpan w:val="6"/>
            <w:tcBorders>
              <w:tl2br w:val="nil"/>
              <w:tr2bl w:val="nil"/>
            </w:tcBorders>
            <w:noWrap w:val="0"/>
            <w:vAlign w:val="center"/>
          </w:tcPr>
          <w:p w14:paraId="61DBA57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2026年近期</w:t>
            </w:r>
          </w:p>
        </w:tc>
        <w:tc>
          <w:tcPr>
            <w:tcW w:w="1584" w:type="pct"/>
            <w:gridSpan w:val="6"/>
            <w:tcBorders>
              <w:tl2br w:val="nil"/>
              <w:tr2bl w:val="nil"/>
            </w:tcBorders>
            <w:noWrap w:val="0"/>
            <w:vAlign w:val="center"/>
          </w:tcPr>
          <w:p w14:paraId="4CC4A3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2032年中期</w:t>
            </w:r>
          </w:p>
        </w:tc>
        <w:tc>
          <w:tcPr>
            <w:tcW w:w="1584" w:type="pct"/>
            <w:gridSpan w:val="6"/>
            <w:tcBorders>
              <w:tl2br w:val="nil"/>
              <w:tr2bl w:val="nil"/>
            </w:tcBorders>
            <w:noWrap w:val="0"/>
            <w:vAlign w:val="center"/>
          </w:tcPr>
          <w:p w14:paraId="5B4FEA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20</w:t>
            </w:r>
            <w:r>
              <w:rPr>
                <w:rStyle w:val="100"/>
                <w:rFonts w:hint="eastAsia" w:ascii="宋体" w:hAnsi="宋体" w:eastAsia="宋体" w:cs="宋体"/>
                <w:b w:val="0"/>
                <w:bCs w:val="0"/>
                <w:color w:val="auto"/>
                <w:sz w:val="21"/>
                <w:szCs w:val="21"/>
                <w:highlight w:val="none"/>
                <w:lang w:val="en-US" w:eastAsia="zh-CN" w:bidi="ar"/>
              </w:rPr>
              <w:t>40</w:t>
            </w:r>
            <w:r>
              <w:rPr>
                <w:rFonts w:hint="eastAsia" w:ascii="宋体" w:hAnsi="宋体" w:eastAsia="宋体" w:cs="宋体"/>
                <w:i w:val="0"/>
                <w:iCs w:val="0"/>
                <w:color w:val="auto"/>
                <w:kern w:val="0"/>
                <w:sz w:val="21"/>
                <w:szCs w:val="21"/>
                <w:highlight w:val="none"/>
                <w:u w:val="none"/>
                <w:lang w:val="en-US" w:eastAsia="zh-CN" w:bidi="ar"/>
              </w:rPr>
              <w:t>年远期</w:t>
            </w:r>
          </w:p>
        </w:tc>
      </w:tr>
      <w:tr w14:paraId="67086D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246" w:type="pct"/>
            <w:vMerge w:val="continue"/>
            <w:tcBorders>
              <w:tl2br w:val="nil"/>
              <w:tr2bl w:val="nil"/>
            </w:tcBorders>
            <w:noWrap w:val="0"/>
            <w:vAlign w:val="center"/>
          </w:tcPr>
          <w:p w14:paraId="1C36B029">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i w:val="0"/>
                <w:iCs w:val="0"/>
                <w:color w:val="auto"/>
                <w:sz w:val="21"/>
                <w:szCs w:val="21"/>
                <w:highlight w:val="none"/>
                <w:u w:val="none"/>
              </w:rPr>
            </w:pPr>
          </w:p>
        </w:tc>
        <w:tc>
          <w:tcPr>
            <w:tcW w:w="789" w:type="pct"/>
            <w:gridSpan w:val="3"/>
            <w:tcBorders>
              <w:tl2br w:val="nil"/>
              <w:tr2bl w:val="nil"/>
            </w:tcBorders>
            <w:noWrap w:val="0"/>
            <w:vAlign w:val="center"/>
          </w:tcPr>
          <w:p w14:paraId="76BA4F6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昼间</w:t>
            </w:r>
          </w:p>
        </w:tc>
        <w:tc>
          <w:tcPr>
            <w:tcW w:w="793" w:type="pct"/>
            <w:gridSpan w:val="3"/>
            <w:tcBorders>
              <w:tl2br w:val="nil"/>
              <w:tr2bl w:val="nil"/>
            </w:tcBorders>
            <w:noWrap w:val="0"/>
            <w:vAlign w:val="center"/>
          </w:tcPr>
          <w:p w14:paraId="45F8EE2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夜间</w:t>
            </w:r>
          </w:p>
        </w:tc>
        <w:tc>
          <w:tcPr>
            <w:tcW w:w="792" w:type="pct"/>
            <w:gridSpan w:val="3"/>
            <w:tcBorders>
              <w:tl2br w:val="nil"/>
              <w:tr2bl w:val="nil"/>
            </w:tcBorders>
            <w:noWrap w:val="0"/>
            <w:vAlign w:val="center"/>
          </w:tcPr>
          <w:p w14:paraId="6BEDC1C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昼间</w:t>
            </w:r>
          </w:p>
        </w:tc>
        <w:tc>
          <w:tcPr>
            <w:tcW w:w="792" w:type="pct"/>
            <w:gridSpan w:val="3"/>
            <w:tcBorders>
              <w:tl2br w:val="nil"/>
              <w:tr2bl w:val="nil"/>
            </w:tcBorders>
            <w:noWrap w:val="0"/>
            <w:vAlign w:val="center"/>
          </w:tcPr>
          <w:p w14:paraId="1C578A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夜间</w:t>
            </w:r>
          </w:p>
        </w:tc>
        <w:tc>
          <w:tcPr>
            <w:tcW w:w="792" w:type="pct"/>
            <w:gridSpan w:val="3"/>
            <w:tcBorders>
              <w:tl2br w:val="nil"/>
              <w:tr2bl w:val="nil"/>
            </w:tcBorders>
            <w:noWrap w:val="0"/>
            <w:vAlign w:val="center"/>
          </w:tcPr>
          <w:p w14:paraId="6CE39C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昼间</w:t>
            </w:r>
          </w:p>
        </w:tc>
        <w:tc>
          <w:tcPr>
            <w:tcW w:w="792" w:type="pct"/>
            <w:gridSpan w:val="3"/>
            <w:tcBorders>
              <w:tl2br w:val="nil"/>
              <w:tr2bl w:val="nil"/>
            </w:tcBorders>
            <w:noWrap w:val="0"/>
            <w:vAlign w:val="center"/>
          </w:tcPr>
          <w:p w14:paraId="6B0E67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夜间</w:t>
            </w:r>
          </w:p>
        </w:tc>
      </w:tr>
      <w:tr w14:paraId="6F7114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246" w:type="pct"/>
            <w:vMerge w:val="continue"/>
            <w:tcBorders>
              <w:tl2br w:val="nil"/>
              <w:tr2bl w:val="nil"/>
            </w:tcBorders>
            <w:noWrap w:val="0"/>
            <w:vAlign w:val="center"/>
          </w:tcPr>
          <w:p w14:paraId="207E0CB2">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i w:val="0"/>
                <w:iCs w:val="0"/>
                <w:color w:val="auto"/>
                <w:sz w:val="21"/>
                <w:szCs w:val="21"/>
                <w:highlight w:val="none"/>
                <w:u w:val="none"/>
              </w:rPr>
            </w:pPr>
          </w:p>
        </w:tc>
        <w:tc>
          <w:tcPr>
            <w:tcW w:w="246" w:type="pct"/>
            <w:tcBorders>
              <w:tl2br w:val="nil"/>
              <w:tr2bl w:val="nil"/>
            </w:tcBorders>
            <w:noWrap w:val="0"/>
            <w:vAlign w:val="center"/>
          </w:tcPr>
          <w:p w14:paraId="77BDEB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7" w:type="pct"/>
            <w:tcBorders>
              <w:tl2br w:val="nil"/>
              <w:tr2bl w:val="nil"/>
            </w:tcBorders>
            <w:noWrap w:val="0"/>
            <w:vAlign w:val="center"/>
          </w:tcPr>
          <w:p w14:paraId="38AD28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6" w:type="pct"/>
            <w:tcBorders>
              <w:tl2br w:val="nil"/>
              <w:tr2bl w:val="nil"/>
            </w:tcBorders>
            <w:noWrap w:val="0"/>
            <w:vAlign w:val="center"/>
          </w:tcPr>
          <w:p w14:paraId="20BE32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c>
          <w:tcPr>
            <w:tcW w:w="248" w:type="pct"/>
            <w:tcBorders>
              <w:tl2br w:val="nil"/>
              <w:tr2bl w:val="nil"/>
            </w:tcBorders>
            <w:noWrap w:val="0"/>
            <w:vAlign w:val="center"/>
          </w:tcPr>
          <w:p w14:paraId="53E1DF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8" w:type="pct"/>
            <w:tcBorders>
              <w:tl2br w:val="nil"/>
              <w:tr2bl w:val="nil"/>
            </w:tcBorders>
            <w:noWrap w:val="0"/>
            <w:vAlign w:val="center"/>
          </w:tcPr>
          <w:p w14:paraId="08F87B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7" w:type="pct"/>
            <w:tcBorders>
              <w:tl2br w:val="nil"/>
              <w:tr2bl w:val="nil"/>
            </w:tcBorders>
            <w:noWrap w:val="0"/>
            <w:vAlign w:val="center"/>
          </w:tcPr>
          <w:p w14:paraId="1845A7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c>
          <w:tcPr>
            <w:tcW w:w="248" w:type="pct"/>
            <w:tcBorders>
              <w:tl2br w:val="nil"/>
              <w:tr2bl w:val="nil"/>
            </w:tcBorders>
            <w:noWrap w:val="0"/>
            <w:vAlign w:val="center"/>
          </w:tcPr>
          <w:p w14:paraId="2EC553B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8" w:type="pct"/>
            <w:tcBorders>
              <w:tl2br w:val="nil"/>
              <w:tr2bl w:val="nil"/>
            </w:tcBorders>
            <w:noWrap w:val="0"/>
            <w:vAlign w:val="center"/>
          </w:tcPr>
          <w:p w14:paraId="034C8F7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6" w:type="pct"/>
            <w:tcBorders>
              <w:tl2br w:val="nil"/>
              <w:tr2bl w:val="nil"/>
            </w:tcBorders>
            <w:noWrap w:val="0"/>
            <w:vAlign w:val="center"/>
          </w:tcPr>
          <w:p w14:paraId="5E41889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c>
          <w:tcPr>
            <w:tcW w:w="248" w:type="pct"/>
            <w:tcBorders>
              <w:tl2br w:val="nil"/>
              <w:tr2bl w:val="nil"/>
            </w:tcBorders>
            <w:noWrap w:val="0"/>
            <w:vAlign w:val="center"/>
          </w:tcPr>
          <w:p w14:paraId="78C409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8" w:type="pct"/>
            <w:tcBorders>
              <w:tl2br w:val="nil"/>
              <w:tr2bl w:val="nil"/>
            </w:tcBorders>
            <w:noWrap w:val="0"/>
            <w:vAlign w:val="center"/>
          </w:tcPr>
          <w:p w14:paraId="1F4EAFB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6" w:type="pct"/>
            <w:tcBorders>
              <w:tl2br w:val="nil"/>
              <w:tr2bl w:val="nil"/>
            </w:tcBorders>
            <w:noWrap w:val="0"/>
            <w:vAlign w:val="center"/>
          </w:tcPr>
          <w:p w14:paraId="747BCD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c>
          <w:tcPr>
            <w:tcW w:w="248" w:type="pct"/>
            <w:tcBorders>
              <w:tl2br w:val="nil"/>
              <w:tr2bl w:val="nil"/>
            </w:tcBorders>
            <w:noWrap w:val="0"/>
            <w:vAlign w:val="center"/>
          </w:tcPr>
          <w:p w14:paraId="3290BD5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8" w:type="pct"/>
            <w:tcBorders>
              <w:tl2br w:val="nil"/>
              <w:tr2bl w:val="nil"/>
            </w:tcBorders>
            <w:noWrap w:val="0"/>
            <w:vAlign w:val="center"/>
          </w:tcPr>
          <w:p w14:paraId="33F0AE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6" w:type="pct"/>
            <w:tcBorders>
              <w:tl2br w:val="nil"/>
              <w:tr2bl w:val="nil"/>
            </w:tcBorders>
            <w:noWrap w:val="0"/>
            <w:vAlign w:val="center"/>
          </w:tcPr>
          <w:p w14:paraId="1A1533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c>
          <w:tcPr>
            <w:tcW w:w="248" w:type="pct"/>
            <w:tcBorders>
              <w:tl2br w:val="nil"/>
              <w:tr2bl w:val="nil"/>
            </w:tcBorders>
            <w:noWrap w:val="0"/>
            <w:vAlign w:val="center"/>
          </w:tcPr>
          <w:p w14:paraId="21C87F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车速</w:t>
            </w:r>
          </w:p>
        </w:tc>
        <w:tc>
          <w:tcPr>
            <w:tcW w:w="248" w:type="pct"/>
            <w:tcBorders>
              <w:tl2br w:val="nil"/>
              <w:tr2bl w:val="nil"/>
            </w:tcBorders>
            <w:noWrap w:val="0"/>
            <w:vAlign w:val="center"/>
          </w:tcPr>
          <w:p w14:paraId="4C6BE1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车流量</w:t>
            </w:r>
          </w:p>
        </w:tc>
        <w:tc>
          <w:tcPr>
            <w:tcW w:w="296" w:type="pct"/>
            <w:tcBorders>
              <w:tl2br w:val="nil"/>
              <w:tr2bl w:val="nil"/>
            </w:tcBorders>
            <w:noWrap w:val="0"/>
            <w:vAlign w:val="center"/>
          </w:tcPr>
          <w:p w14:paraId="21801A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声级</w:t>
            </w:r>
          </w:p>
        </w:tc>
      </w:tr>
      <w:tr w14:paraId="7E2E3D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246" w:type="pct"/>
            <w:vMerge w:val="continue"/>
            <w:tcBorders>
              <w:tl2br w:val="nil"/>
              <w:tr2bl w:val="nil"/>
            </w:tcBorders>
            <w:noWrap w:val="0"/>
            <w:vAlign w:val="center"/>
          </w:tcPr>
          <w:p w14:paraId="39BF3794">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i w:val="0"/>
                <w:iCs w:val="0"/>
                <w:color w:val="auto"/>
                <w:sz w:val="21"/>
                <w:szCs w:val="21"/>
                <w:highlight w:val="none"/>
                <w:u w:val="none"/>
              </w:rPr>
            </w:pPr>
          </w:p>
        </w:tc>
        <w:tc>
          <w:tcPr>
            <w:tcW w:w="246" w:type="pct"/>
            <w:tcBorders>
              <w:tl2br w:val="nil"/>
              <w:tr2bl w:val="nil"/>
            </w:tcBorders>
            <w:noWrap w:val="0"/>
            <w:vAlign w:val="center"/>
          </w:tcPr>
          <w:p w14:paraId="1B7411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7" w:type="pct"/>
            <w:tcBorders>
              <w:tl2br w:val="nil"/>
              <w:tr2bl w:val="nil"/>
            </w:tcBorders>
            <w:noWrap w:val="0"/>
            <w:vAlign w:val="center"/>
          </w:tcPr>
          <w:p w14:paraId="5117A7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6" w:type="pct"/>
            <w:tcBorders>
              <w:tl2br w:val="nil"/>
              <w:tr2bl w:val="nil"/>
            </w:tcBorders>
            <w:noWrap w:val="0"/>
            <w:vAlign w:val="center"/>
          </w:tcPr>
          <w:p w14:paraId="284E2B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c>
          <w:tcPr>
            <w:tcW w:w="248" w:type="pct"/>
            <w:tcBorders>
              <w:tl2br w:val="nil"/>
              <w:tr2bl w:val="nil"/>
            </w:tcBorders>
            <w:noWrap w:val="0"/>
            <w:vAlign w:val="center"/>
          </w:tcPr>
          <w:p w14:paraId="33BD69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8" w:type="pct"/>
            <w:tcBorders>
              <w:tl2br w:val="nil"/>
              <w:tr2bl w:val="nil"/>
            </w:tcBorders>
            <w:noWrap w:val="0"/>
            <w:vAlign w:val="center"/>
          </w:tcPr>
          <w:p w14:paraId="56185C5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7" w:type="pct"/>
            <w:tcBorders>
              <w:tl2br w:val="nil"/>
              <w:tr2bl w:val="nil"/>
            </w:tcBorders>
            <w:noWrap w:val="0"/>
            <w:vAlign w:val="center"/>
          </w:tcPr>
          <w:p w14:paraId="4930FDC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c>
          <w:tcPr>
            <w:tcW w:w="248" w:type="pct"/>
            <w:tcBorders>
              <w:tl2br w:val="nil"/>
              <w:tr2bl w:val="nil"/>
            </w:tcBorders>
            <w:noWrap w:val="0"/>
            <w:vAlign w:val="center"/>
          </w:tcPr>
          <w:p w14:paraId="5E2A8B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8" w:type="pct"/>
            <w:tcBorders>
              <w:tl2br w:val="nil"/>
              <w:tr2bl w:val="nil"/>
            </w:tcBorders>
            <w:noWrap w:val="0"/>
            <w:vAlign w:val="center"/>
          </w:tcPr>
          <w:p w14:paraId="435C9F4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6" w:type="pct"/>
            <w:tcBorders>
              <w:tl2br w:val="nil"/>
              <w:tr2bl w:val="nil"/>
            </w:tcBorders>
            <w:noWrap w:val="0"/>
            <w:vAlign w:val="center"/>
          </w:tcPr>
          <w:p w14:paraId="4B90DA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c>
          <w:tcPr>
            <w:tcW w:w="248" w:type="pct"/>
            <w:tcBorders>
              <w:tl2br w:val="nil"/>
              <w:tr2bl w:val="nil"/>
            </w:tcBorders>
            <w:noWrap w:val="0"/>
            <w:vAlign w:val="center"/>
          </w:tcPr>
          <w:p w14:paraId="03D10C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8" w:type="pct"/>
            <w:tcBorders>
              <w:tl2br w:val="nil"/>
              <w:tr2bl w:val="nil"/>
            </w:tcBorders>
            <w:noWrap w:val="0"/>
            <w:vAlign w:val="center"/>
          </w:tcPr>
          <w:p w14:paraId="217471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6" w:type="pct"/>
            <w:tcBorders>
              <w:tl2br w:val="nil"/>
              <w:tr2bl w:val="nil"/>
            </w:tcBorders>
            <w:noWrap w:val="0"/>
            <w:vAlign w:val="center"/>
          </w:tcPr>
          <w:p w14:paraId="16A974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c>
          <w:tcPr>
            <w:tcW w:w="248" w:type="pct"/>
            <w:tcBorders>
              <w:tl2br w:val="nil"/>
              <w:tr2bl w:val="nil"/>
            </w:tcBorders>
            <w:noWrap w:val="0"/>
            <w:vAlign w:val="center"/>
          </w:tcPr>
          <w:p w14:paraId="7500CE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8" w:type="pct"/>
            <w:tcBorders>
              <w:tl2br w:val="nil"/>
              <w:tr2bl w:val="nil"/>
            </w:tcBorders>
            <w:noWrap w:val="0"/>
            <w:vAlign w:val="center"/>
          </w:tcPr>
          <w:p w14:paraId="5A74FE3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6" w:type="pct"/>
            <w:tcBorders>
              <w:tl2br w:val="nil"/>
              <w:tr2bl w:val="nil"/>
            </w:tcBorders>
            <w:noWrap w:val="0"/>
            <w:vAlign w:val="center"/>
          </w:tcPr>
          <w:p w14:paraId="2CFA487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c>
          <w:tcPr>
            <w:tcW w:w="248" w:type="pct"/>
            <w:tcBorders>
              <w:tl2br w:val="nil"/>
              <w:tr2bl w:val="nil"/>
            </w:tcBorders>
            <w:noWrap w:val="0"/>
            <w:vAlign w:val="center"/>
          </w:tcPr>
          <w:p w14:paraId="379C09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km/h</w:t>
            </w:r>
          </w:p>
        </w:tc>
        <w:tc>
          <w:tcPr>
            <w:tcW w:w="248" w:type="pct"/>
            <w:tcBorders>
              <w:tl2br w:val="nil"/>
              <w:tr2bl w:val="nil"/>
            </w:tcBorders>
            <w:noWrap w:val="0"/>
            <w:vAlign w:val="center"/>
          </w:tcPr>
          <w:p w14:paraId="3CBA463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辆</w:t>
            </w:r>
            <w:r>
              <w:rPr>
                <w:rStyle w:val="100"/>
                <w:rFonts w:hint="eastAsia" w:ascii="宋体" w:hAnsi="宋体" w:eastAsia="宋体" w:cs="宋体"/>
                <w:b w:val="0"/>
                <w:bCs w:val="0"/>
                <w:color w:val="auto"/>
                <w:sz w:val="21"/>
                <w:szCs w:val="21"/>
                <w:highlight w:val="none"/>
                <w:lang w:val="en-US" w:eastAsia="zh-CN" w:bidi="ar"/>
              </w:rPr>
              <w:t>/h</w:t>
            </w:r>
          </w:p>
        </w:tc>
        <w:tc>
          <w:tcPr>
            <w:tcW w:w="296" w:type="pct"/>
            <w:tcBorders>
              <w:tl2br w:val="nil"/>
              <w:tr2bl w:val="nil"/>
            </w:tcBorders>
            <w:noWrap w:val="0"/>
            <w:vAlign w:val="center"/>
          </w:tcPr>
          <w:p w14:paraId="6D4237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dB(A)</w:t>
            </w:r>
          </w:p>
        </w:tc>
      </w:tr>
      <w:tr w14:paraId="3E1CF6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46" w:type="pct"/>
            <w:tcBorders>
              <w:tl2br w:val="nil"/>
              <w:tr2bl w:val="nil"/>
            </w:tcBorders>
            <w:noWrap w:val="0"/>
            <w:vAlign w:val="center"/>
          </w:tcPr>
          <w:p w14:paraId="1ED48F5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小型车</w:t>
            </w:r>
          </w:p>
        </w:tc>
        <w:tc>
          <w:tcPr>
            <w:tcW w:w="246" w:type="pct"/>
            <w:tcBorders>
              <w:tl2br w:val="nil"/>
              <w:tr2bl w:val="nil"/>
            </w:tcBorders>
            <w:noWrap w:val="0"/>
            <w:vAlign w:val="center"/>
          </w:tcPr>
          <w:p w14:paraId="238D39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7" w:type="pct"/>
            <w:tcBorders>
              <w:tl2br w:val="nil"/>
              <w:tr2bl w:val="nil"/>
            </w:tcBorders>
            <w:noWrap w:val="0"/>
            <w:vAlign w:val="center"/>
          </w:tcPr>
          <w:p w14:paraId="6DFA5C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sz w:val="21"/>
                <w:szCs w:val="21"/>
                <w:highlight w:val="yellow"/>
                <w:u w:val="none"/>
                <w:lang w:val="en-US" w:eastAsia="zh-CN"/>
              </w:rPr>
              <w:t>142</w:t>
            </w:r>
          </w:p>
        </w:tc>
        <w:tc>
          <w:tcPr>
            <w:tcW w:w="296" w:type="pct"/>
            <w:tcBorders>
              <w:tl2br w:val="nil"/>
              <w:tr2bl w:val="nil"/>
            </w:tcBorders>
            <w:noWrap w:val="0"/>
            <w:vAlign w:val="center"/>
          </w:tcPr>
          <w:p w14:paraId="25D4087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c>
          <w:tcPr>
            <w:tcW w:w="248" w:type="pct"/>
            <w:tcBorders>
              <w:tl2br w:val="nil"/>
              <w:tr2bl w:val="nil"/>
            </w:tcBorders>
            <w:noWrap w:val="0"/>
            <w:vAlign w:val="center"/>
          </w:tcPr>
          <w:p w14:paraId="7B3F02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62B4CD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36</w:t>
            </w:r>
          </w:p>
        </w:tc>
        <w:tc>
          <w:tcPr>
            <w:tcW w:w="297" w:type="pct"/>
            <w:tcBorders>
              <w:tl2br w:val="nil"/>
              <w:tr2bl w:val="nil"/>
            </w:tcBorders>
            <w:noWrap w:val="0"/>
            <w:vAlign w:val="center"/>
          </w:tcPr>
          <w:p w14:paraId="5CF58A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c>
          <w:tcPr>
            <w:tcW w:w="248" w:type="pct"/>
            <w:tcBorders>
              <w:tl2br w:val="nil"/>
              <w:tr2bl w:val="nil"/>
            </w:tcBorders>
            <w:noWrap w:val="0"/>
            <w:vAlign w:val="center"/>
          </w:tcPr>
          <w:p w14:paraId="615F34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2D940C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151</w:t>
            </w:r>
          </w:p>
        </w:tc>
        <w:tc>
          <w:tcPr>
            <w:tcW w:w="296" w:type="pct"/>
            <w:tcBorders>
              <w:tl2br w:val="nil"/>
              <w:tr2bl w:val="nil"/>
            </w:tcBorders>
            <w:noWrap w:val="0"/>
            <w:vAlign w:val="center"/>
          </w:tcPr>
          <w:p w14:paraId="2483ABC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c>
          <w:tcPr>
            <w:tcW w:w="248" w:type="pct"/>
            <w:tcBorders>
              <w:tl2br w:val="nil"/>
              <w:tr2bl w:val="nil"/>
            </w:tcBorders>
            <w:noWrap w:val="0"/>
            <w:vAlign w:val="center"/>
          </w:tcPr>
          <w:p w14:paraId="325CD07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261182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38</w:t>
            </w:r>
          </w:p>
        </w:tc>
        <w:tc>
          <w:tcPr>
            <w:tcW w:w="296" w:type="pct"/>
            <w:tcBorders>
              <w:tl2br w:val="nil"/>
              <w:tr2bl w:val="nil"/>
            </w:tcBorders>
            <w:noWrap w:val="0"/>
            <w:vAlign w:val="center"/>
          </w:tcPr>
          <w:p w14:paraId="44844B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c>
          <w:tcPr>
            <w:tcW w:w="248" w:type="pct"/>
            <w:tcBorders>
              <w:tl2br w:val="nil"/>
              <w:tr2bl w:val="nil"/>
            </w:tcBorders>
            <w:noWrap w:val="0"/>
            <w:vAlign w:val="center"/>
          </w:tcPr>
          <w:p w14:paraId="0FFB17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119209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168</w:t>
            </w:r>
          </w:p>
        </w:tc>
        <w:tc>
          <w:tcPr>
            <w:tcW w:w="296" w:type="pct"/>
            <w:tcBorders>
              <w:tl2br w:val="nil"/>
              <w:tr2bl w:val="nil"/>
            </w:tcBorders>
            <w:noWrap w:val="0"/>
            <w:vAlign w:val="center"/>
          </w:tcPr>
          <w:p w14:paraId="296488D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c>
          <w:tcPr>
            <w:tcW w:w="248" w:type="pct"/>
            <w:tcBorders>
              <w:tl2br w:val="nil"/>
              <w:tr2bl w:val="nil"/>
            </w:tcBorders>
            <w:noWrap w:val="0"/>
            <w:vAlign w:val="center"/>
          </w:tcPr>
          <w:p w14:paraId="75529B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22648B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42</w:t>
            </w:r>
          </w:p>
        </w:tc>
        <w:tc>
          <w:tcPr>
            <w:tcW w:w="296" w:type="pct"/>
            <w:tcBorders>
              <w:tl2br w:val="nil"/>
              <w:tr2bl w:val="nil"/>
            </w:tcBorders>
            <w:noWrap w:val="0"/>
            <w:vAlign w:val="center"/>
          </w:tcPr>
          <w:p w14:paraId="2AC50F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69.168</w:t>
            </w:r>
          </w:p>
        </w:tc>
      </w:tr>
      <w:tr w14:paraId="159306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46" w:type="pct"/>
            <w:tcBorders>
              <w:tl2br w:val="nil"/>
              <w:tr2bl w:val="nil"/>
            </w:tcBorders>
            <w:noWrap w:val="0"/>
            <w:vAlign w:val="center"/>
          </w:tcPr>
          <w:p w14:paraId="789861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中型车</w:t>
            </w:r>
          </w:p>
        </w:tc>
        <w:tc>
          <w:tcPr>
            <w:tcW w:w="246" w:type="pct"/>
            <w:tcBorders>
              <w:tl2br w:val="nil"/>
              <w:tr2bl w:val="nil"/>
            </w:tcBorders>
            <w:noWrap w:val="0"/>
            <w:vAlign w:val="center"/>
          </w:tcPr>
          <w:p w14:paraId="2010DC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7" w:type="pct"/>
            <w:tcBorders>
              <w:tl2br w:val="nil"/>
              <w:tr2bl w:val="nil"/>
            </w:tcBorders>
            <w:noWrap w:val="0"/>
            <w:vAlign w:val="center"/>
          </w:tcPr>
          <w:p w14:paraId="269BEA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sz w:val="21"/>
                <w:szCs w:val="21"/>
                <w:highlight w:val="yellow"/>
                <w:u w:val="none"/>
                <w:lang w:val="en-US" w:eastAsia="zh-CN"/>
              </w:rPr>
              <w:t>39</w:t>
            </w:r>
          </w:p>
        </w:tc>
        <w:tc>
          <w:tcPr>
            <w:tcW w:w="296" w:type="pct"/>
            <w:tcBorders>
              <w:tl2br w:val="nil"/>
              <w:tr2bl w:val="nil"/>
            </w:tcBorders>
            <w:noWrap w:val="0"/>
            <w:vAlign w:val="center"/>
          </w:tcPr>
          <w:p w14:paraId="0D6134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c>
          <w:tcPr>
            <w:tcW w:w="248" w:type="pct"/>
            <w:tcBorders>
              <w:tl2br w:val="nil"/>
              <w:tr2bl w:val="nil"/>
            </w:tcBorders>
            <w:noWrap w:val="0"/>
            <w:vAlign w:val="center"/>
          </w:tcPr>
          <w:p w14:paraId="637FDA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6C3124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10</w:t>
            </w:r>
          </w:p>
        </w:tc>
        <w:tc>
          <w:tcPr>
            <w:tcW w:w="297" w:type="pct"/>
            <w:tcBorders>
              <w:tl2br w:val="nil"/>
              <w:tr2bl w:val="nil"/>
            </w:tcBorders>
            <w:noWrap w:val="0"/>
            <w:vAlign w:val="center"/>
          </w:tcPr>
          <w:p w14:paraId="336AB6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c>
          <w:tcPr>
            <w:tcW w:w="248" w:type="pct"/>
            <w:tcBorders>
              <w:tl2br w:val="nil"/>
              <w:tr2bl w:val="nil"/>
            </w:tcBorders>
            <w:noWrap w:val="0"/>
            <w:vAlign w:val="center"/>
          </w:tcPr>
          <w:p w14:paraId="762D74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7AC446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41</w:t>
            </w:r>
          </w:p>
        </w:tc>
        <w:tc>
          <w:tcPr>
            <w:tcW w:w="296" w:type="pct"/>
            <w:tcBorders>
              <w:tl2br w:val="nil"/>
              <w:tr2bl w:val="nil"/>
            </w:tcBorders>
            <w:noWrap w:val="0"/>
            <w:vAlign w:val="center"/>
          </w:tcPr>
          <w:p w14:paraId="4CB94A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c>
          <w:tcPr>
            <w:tcW w:w="248" w:type="pct"/>
            <w:tcBorders>
              <w:tl2br w:val="nil"/>
              <w:tr2bl w:val="nil"/>
            </w:tcBorders>
            <w:noWrap w:val="0"/>
            <w:vAlign w:val="center"/>
          </w:tcPr>
          <w:p w14:paraId="7894AF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7E49FF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10</w:t>
            </w:r>
          </w:p>
        </w:tc>
        <w:tc>
          <w:tcPr>
            <w:tcW w:w="296" w:type="pct"/>
            <w:tcBorders>
              <w:tl2br w:val="nil"/>
              <w:tr2bl w:val="nil"/>
            </w:tcBorders>
            <w:noWrap w:val="0"/>
            <w:vAlign w:val="center"/>
          </w:tcPr>
          <w:p w14:paraId="26F093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c>
          <w:tcPr>
            <w:tcW w:w="248" w:type="pct"/>
            <w:tcBorders>
              <w:tl2br w:val="nil"/>
              <w:tr2bl w:val="nil"/>
            </w:tcBorders>
            <w:noWrap w:val="0"/>
            <w:vAlign w:val="center"/>
          </w:tcPr>
          <w:p w14:paraId="21F31E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534F07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46</w:t>
            </w:r>
          </w:p>
        </w:tc>
        <w:tc>
          <w:tcPr>
            <w:tcW w:w="296" w:type="pct"/>
            <w:tcBorders>
              <w:tl2br w:val="nil"/>
              <w:tr2bl w:val="nil"/>
            </w:tcBorders>
            <w:noWrap w:val="0"/>
            <w:vAlign w:val="center"/>
          </w:tcPr>
          <w:p w14:paraId="408283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c>
          <w:tcPr>
            <w:tcW w:w="248" w:type="pct"/>
            <w:tcBorders>
              <w:tl2br w:val="nil"/>
              <w:tr2bl w:val="nil"/>
            </w:tcBorders>
            <w:noWrap w:val="0"/>
            <w:vAlign w:val="center"/>
          </w:tcPr>
          <w:p w14:paraId="548AEE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00BBB7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11</w:t>
            </w:r>
          </w:p>
        </w:tc>
        <w:tc>
          <w:tcPr>
            <w:tcW w:w="296" w:type="pct"/>
            <w:tcBorders>
              <w:tl2br w:val="nil"/>
              <w:tr2bl w:val="nil"/>
            </w:tcBorders>
            <w:noWrap w:val="0"/>
            <w:vAlign w:val="center"/>
          </w:tcPr>
          <w:p w14:paraId="0444BD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73.568</w:t>
            </w:r>
          </w:p>
        </w:tc>
      </w:tr>
      <w:tr w14:paraId="671200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46" w:type="pct"/>
            <w:tcBorders>
              <w:tl2br w:val="nil"/>
              <w:tr2bl w:val="nil"/>
            </w:tcBorders>
            <w:noWrap w:val="0"/>
            <w:vAlign w:val="center"/>
          </w:tcPr>
          <w:p w14:paraId="22E057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大型车</w:t>
            </w:r>
          </w:p>
        </w:tc>
        <w:tc>
          <w:tcPr>
            <w:tcW w:w="246" w:type="pct"/>
            <w:tcBorders>
              <w:tl2br w:val="nil"/>
              <w:tr2bl w:val="nil"/>
            </w:tcBorders>
            <w:noWrap w:val="0"/>
            <w:vAlign w:val="center"/>
          </w:tcPr>
          <w:p w14:paraId="315363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7" w:type="pct"/>
            <w:tcBorders>
              <w:tl2br w:val="nil"/>
              <w:tr2bl w:val="nil"/>
            </w:tcBorders>
            <w:noWrap w:val="0"/>
            <w:vAlign w:val="center"/>
          </w:tcPr>
          <w:p w14:paraId="581C02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sz w:val="21"/>
                <w:szCs w:val="21"/>
                <w:highlight w:val="yellow"/>
                <w:u w:val="none"/>
                <w:lang w:val="en-US" w:eastAsia="zh-CN"/>
              </w:rPr>
              <w:t>78</w:t>
            </w:r>
          </w:p>
        </w:tc>
        <w:tc>
          <w:tcPr>
            <w:tcW w:w="296" w:type="pct"/>
            <w:tcBorders>
              <w:tl2br w:val="nil"/>
              <w:tr2bl w:val="nil"/>
            </w:tcBorders>
            <w:noWrap w:val="0"/>
            <w:vAlign w:val="center"/>
          </w:tcPr>
          <w:p w14:paraId="5FCC92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c>
          <w:tcPr>
            <w:tcW w:w="248" w:type="pct"/>
            <w:tcBorders>
              <w:tl2br w:val="nil"/>
              <w:tr2bl w:val="nil"/>
            </w:tcBorders>
            <w:noWrap w:val="0"/>
            <w:vAlign w:val="center"/>
          </w:tcPr>
          <w:p w14:paraId="00F1EA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540696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19</w:t>
            </w:r>
          </w:p>
        </w:tc>
        <w:tc>
          <w:tcPr>
            <w:tcW w:w="297" w:type="pct"/>
            <w:tcBorders>
              <w:tl2br w:val="nil"/>
              <w:tr2bl w:val="nil"/>
            </w:tcBorders>
            <w:noWrap w:val="0"/>
            <w:vAlign w:val="center"/>
          </w:tcPr>
          <w:p w14:paraId="655976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c>
          <w:tcPr>
            <w:tcW w:w="248" w:type="pct"/>
            <w:tcBorders>
              <w:tl2br w:val="nil"/>
              <w:tr2bl w:val="nil"/>
            </w:tcBorders>
            <w:noWrap w:val="0"/>
            <w:vAlign w:val="center"/>
          </w:tcPr>
          <w:p w14:paraId="5516F7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60ED1A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82</w:t>
            </w:r>
          </w:p>
        </w:tc>
        <w:tc>
          <w:tcPr>
            <w:tcW w:w="296" w:type="pct"/>
            <w:tcBorders>
              <w:tl2br w:val="nil"/>
              <w:tr2bl w:val="nil"/>
            </w:tcBorders>
            <w:noWrap w:val="0"/>
            <w:vAlign w:val="center"/>
          </w:tcPr>
          <w:p w14:paraId="404DC5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c>
          <w:tcPr>
            <w:tcW w:w="248" w:type="pct"/>
            <w:tcBorders>
              <w:tl2br w:val="nil"/>
              <w:tr2bl w:val="nil"/>
            </w:tcBorders>
            <w:noWrap w:val="0"/>
            <w:vAlign w:val="center"/>
          </w:tcPr>
          <w:p w14:paraId="3706FD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6B5DE9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21</w:t>
            </w:r>
          </w:p>
        </w:tc>
        <w:tc>
          <w:tcPr>
            <w:tcW w:w="296" w:type="pct"/>
            <w:tcBorders>
              <w:tl2br w:val="nil"/>
              <w:tr2bl w:val="nil"/>
            </w:tcBorders>
            <w:noWrap w:val="0"/>
            <w:vAlign w:val="center"/>
          </w:tcPr>
          <w:p w14:paraId="6FC78E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c>
          <w:tcPr>
            <w:tcW w:w="248" w:type="pct"/>
            <w:tcBorders>
              <w:tl2br w:val="nil"/>
              <w:tr2bl w:val="nil"/>
            </w:tcBorders>
            <w:noWrap w:val="0"/>
            <w:vAlign w:val="center"/>
          </w:tcPr>
          <w:p w14:paraId="77448F0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09F224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91</w:t>
            </w:r>
          </w:p>
        </w:tc>
        <w:tc>
          <w:tcPr>
            <w:tcW w:w="296" w:type="pct"/>
            <w:tcBorders>
              <w:tl2br w:val="nil"/>
              <w:tr2bl w:val="nil"/>
            </w:tcBorders>
            <w:noWrap w:val="0"/>
            <w:vAlign w:val="center"/>
          </w:tcPr>
          <w:p w14:paraId="4AB98C5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c>
          <w:tcPr>
            <w:tcW w:w="248" w:type="pct"/>
            <w:tcBorders>
              <w:tl2br w:val="nil"/>
              <w:tr2bl w:val="nil"/>
            </w:tcBorders>
            <w:noWrap w:val="0"/>
            <w:vAlign w:val="center"/>
          </w:tcPr>
          <w:p w14:paraId="14E30C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40</w:t>
            </w:r>
          </w:p>
        </w:tc>
        <w:tc>
          <w:tcPr>
            <w:tcW w:w="248" w:type="pct"/>
            <w:tcBorders>
              <w:tl2br w:val="nil"/>
              <w:tr2bl w:val="nil"/>
            </w:tcBorders>
            <w:noWrap w:val="0"/>
            <w:vAlign w:val="center"/>
          </w:tcPr>
          <w:p w14:paraId="045D22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i w:val="0"/>
                <w:iCs w:val="0"/>
                <w:color w:val="auto"/>
                <w:sz w:val="21"/>
                <w:szCs w:val="21"/>
                <w:highlight w:val="yellow"/>
                <w:u w:val="none"/>
              </w:rPr>
            </w:pPr>
            <w:r>
              <w:rPr>
                <w:rFonts w:hint="eastAsia" w:ascii="宋体" w:hAnsi="宋体" w:eastAsia="宋体" w:cs="宋体"/>
                <w:sz w:val="21"/>
                <w:szCs w:val="21"/>
                <w:highlight w:val="yellow"/>
                <w:u w:val="none"/>
                <w:lang w:val="en-US" w:eastAsia="zh-CN"/>
              </w:rPr>
              <w:t>23</w:t>
            </w:r>
          </w:p>
        </w:tc>
        <w:tc>
          <w:tcPr>
            <w:tcW w:w="296" w:type="pct"/>
            <w:tcBorders>
              <w:tl2br w:val="nil"/>
              <w:tr2bl w:val="nil"/>
            </w:tcBorders>
            <w:noWrap w:val="0"/>
            <w:vAlign w:val="center"/>
          </w:tcPr>
          <w:p w14:paraId="4C822E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sz w:val="21"/>
                <w:szCs w:val="21"/>
                <w:highlight w:val="yellow"/>
                <w:u w:val="none"/>
                <w:lang w:val="en-US" w:eastAsia="zh-CN"/>
              </w:rPr>
            </w:pPr>
            <w:r>
              <w:rPr>
                <w:rFonts w:hint="eastAsia" w:ascii="宋体" w:hAnsi="宋体" w:eastAsia="宋体" w:cs="宋体"/>
                <w:i w:val="0"/>
                <w:iCs w:val="0"/>
                <w:color w:val="auto"/>
                <w:sz w:val="21"/>
                <w:szCs w:val="21"/>
                <w:highlight w:val="yellow"/>
                <w:u w:val="none"/>
                <w:lang w:val="en-US" w:eastAsia="zh-CN"/>
              </w:rPr>
              <w:t>80.112</w:t>
            </w:r>
          </w:p>
        </w:tc>
      </w:tr>
    </w:tbl>
    <w:p w14:paraId="7532B3BD">
      <w:pPr>
        <w:numPr>
          <w:ilvl w:val="0"/>
          <w:numId w:val="0"/>
        </w:numPr>
        <w:rPr>
          <w:rFonts w:hint="eastAsia" w:ascii="宋体" w:hAnsi="宋体" w:eastAsia="宋体" w:cs="宋体"/>
          <w:color w:val="auto"/>
          <w:sz w:val="24"/>
          <w:szCs w:val="24"/>
          <w:highlight w:val="none"/>
        </w:rPr>
        <w:sectPr>
          <w:headerReference r:id="rId18" w:type="default"/>
          <w:pgSz w:w="16838" w:h="11906" w:orient="landscape"/>
          <w:pgMar w:top="1417" w:right="1361" w:bottom="1417" w:left="1361" w:header="851" w:footer="1077" w:gutter="0"/>
          <w:pgBorders>
            <w:top w:val="none" w:sz="0" w:space="0"/>
            <w:left w:val="none" w:sz="0" w:space="0"/>
            <w:bottom w:val="none" w:sz="0" w:space="0"/>
            <w:right w:val="none" w:sz="0" w:space="0"/>
          </w:pgBorders>
          <w:pgNumType w:fmt="decimal"/>
          <w:cols w:space="720" w:num="1"/>
          <w:docGrid w:type="lines" w:linePitch="312" w:charSpace="0"/>
        </w:sectPr>
      </w:pPr>
    </w:p>
    <w:p w14:paraId="143CA837">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8、噪声影响预测与评价</w:t>
      </w:r>
    </w:p>
    <w:p w14:paraId="79EC6D1A">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⑴、施工期</w:t>
      </w:r>
      <w:r>
        <w:rPr>
          <w:rFonts w:hint="eastAsia" w:ascii="宋体" w:hAnsi="宋体" w:eastAsia="宋体" w:cs="宋体"/>
          <w:color w:val="auto"/>
          <w:sz w:val="24"/>
          <w:szCs w:val="24"/>
          <w:highlight w:val="none"/>
        </w:rPr>
        <w:t>声环境质量影响</w:t>
      </w:r>
      <w:r>
        <w:rPr>
          <w:rFonts w:hint="eastAsia" w:ascii="宋体" w:hAnsi="宋体" w:eastAsia="宋体" w:cs="宋体"/>
          <w:color w:val="auto"/>
          <w:sz w:val="24"/>
          <w:szCs w:val="24"/>
          <w:highlight w:val="none"/>
          <w:lang w:val="en-US" w:eastAsia="zh-CN"/>
        </w:rPr>
        <w:t>预测与评价</w:t>
      </w:r>
    </w:p>
    <w:p w14:paraId="0A0D26E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①施工期噪声源及其特点</w:t>
      </w:r>
    </w:p>
    <w:p w14:paraId="33D9A2A5">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本项目施工中使用多种大中型设备进行机械化施工作业，施工噪声有其自身特点，主要表现为：</w:t>
      </w:r>
    </w:p>
    <w:p w14:paraId="205546E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sz w:val="24"/>
          <w:szCs w:val="24"/>
          <w:highlight w:val="none"/>
        </w:rPr>
        <w:t>施工机械种类繁多，不同的施工阶段有不同的施工机械，同一施工阶段投入的施工机械也有多有少，这就决定了施工噪声的随意性和没有规律性。</w:t>
      </w:r>
    </w:p>
    <w:p w14:paraId="1BB9F189">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b</w:t>
      </w:r>
      <w:r>
        <w:rPr>
          <w:rFonts w:hint="eastAsia" w:ascii="宋体" w:hAnsi="宋体" w:eastAsia="宋体" w:cs="宋体"/>
          <w:color w:val="auto"/>
          <w:sz w:val="24"/>
          <w:szCs w:val="24"/>
          <w:highlight w:val="none"/>
        </w:rPr>
        <w:t>不同设备的噪声源特性不同，其中有些设备噪声呈振动式的、突发的及脉冲特性的，对人的影响较大。</w:t>
      </w:r>
    </w:p>
    <w:p w14:paraId="7D869FB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c</w:t>
      </w:r>
      <w:r>
        <w:rPr>
          <w:rFonts w:hint="eastAsia" w:ascii="宋体" w:hAnsi="宋体" w:eastAsia="宋体" w:cs="宋体"/>
          <w:color w:val="auto"/>
          <w:sz w:val="24"/>
          <w:szCs w:val="24"/>
          <w:highlight w:val="none"/>
        </w:rPr>
        <w:t>公路施工机械一般都是暴露在室外的，而且还会在某段时间内在一定的小范围内移动，这与固定噪声源相比增加了这段时间内的噪声污染范围，但与流动噪声源相比施工噪声源还是在局部范围内的，施工机械噪声可视为点声源。</w:t>
      </w:r>
    </w:p>
    <w:p w14:paraId="2E66CAB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d</w:t>
      </w:r>
      <w:r>
        <w:rPr>
          <w:rFonts w:hint="eastAsia" w:ascii="宋体" w:hAnsi="宋体" w:eastAsia="宋体" w:cs="宋体"/>
          <w:color w:val="auto"/>
          <w:sz w:val="24"/>
          <w:szCs w:val="24"/>
          <w:highlight w:val="none"/>
        </w:rPr>
        <w:t>施工期噪声相对于营运期对环境的影响虽然是短暂的，但机械噪声不同于车辆噪声，由于功率、声频、源强均较大，所以常使人感到刺耳，施工过程中如不加以重视和采取相应的措施，会产生严重的扰民噪声，影响沿线人们的正常生活环境，产生不良后果。</w:t>
      </w:r>
    </w:p>
    <w:p w14:paraId="0771A47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根据工程分析，公路施工噪声源一般在</w:t>
      </w:r>
      <w:r>
        <w:rPr>
          <w:rFonts w:hint="eastAsia" w:ascii="宋体" w:hAnsi="宋体" w:eastAsia="宋体" w:cs="宋体"/>
          <w:color w:val="auto"/>
          <w:sz w:val="24"/>
          <w:szCs w:val="24"/>
          <w:highlight w:val="none"/>
          <w:lang w:val="en-US" w:eastAsia="zh-CN"/>
        </w:rPr>
        <w:t>81</w:t>
      </w:r>
      <w:r>
        <w:rPr>
          <w:rFonts w:hint="eastAsia" w:ascii="宋体" w:hAnsi="宋体" w:eastAsia="宋体" w:cs="宋体"/>
          <w:color w:val="auto"/>
          <w:sz w:val="24"/>
          <w:szCs w:val="24"/>
          <w:highlight w:val="none"/>
        </w:rPr>
        <w:t>～9</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rPr>
        <w:t>dB（A）</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施工机械噪声源详见</w:t>
      </w:r>
      <w:r>
        <w:rPr>
          <w:rFonts w:hint="eastAsia" w:ascii="宋体" w:hAnsi="宋体" w:eastAsia="宋体" w:cs="宋体"/>
          <w:color w:val="auto"/>
          <w:sz w:val="24"/>
          <w:szCs w:val="24"/>
          <w:highlight w:val="none"/>
          <w:lang w:val="en-US" w:eastAsia="zh-CN"/>
        </w:rPr>
        <w:t>表16</w:t>
      </w:r>
      <w:r>
        <w:rPr>
          <w:rFonts w:hint="eastAsia" w:ascii="宋体" w:hAnsi="宋体" w:eastAsia="宋体" w:cs="宋体"/>
          <w:color w:val="auto"/>
          <w:sz w:val="24"/>
          <w:szCs w:val="24"/>
          <w:highlight w:val="none"/>
        </w:rPr>
        <w:t>。</w:t>
      </w:r>
    </w:p>
    <w:p w14:paraId="416B0136">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②</w:t>
      </w:r>
      <w:r>
        <w:rPr>
          <w:rFonts w:hint="eastAsia" w:ascii="宋体" w:hAnsi="宋体" w:eastAsia="宋体" w:cs="宋体"/>
          <w:color w:val="auto"/>
          <w:sz w:val="24"/>
          <w:szCs w:val="24"/>
          <w:highlight w:val="none"/>
        </w:rPr>
        <w:t>施工机械噪声影响预测</w:t>
      </w:r>
    </w:p>
    <w:p w14:paraId="768C9CD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鉴于施工噪声的复杂性，以及施工噪声影响的区域性和阶段性，本报告书根据《建筑施工场界环境噪声排放标准》（GB12523-2011），针对不同施工阶段计算出不同施工设备的噪声污染范围，以便施工单位在施工时结合实际情况采取适当的噪声污染防治措施。</w:t>
      </w:r>
    </w:p>
    <w:p w14:paraId="774D8349">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施工噪声可近似视为点声源处理，其衰减可按如下模式进行计算：</w:t>
      </w:r>
    </w:p>
    <w:p w14:paraId="7533A0A6">
      <w:pPr>
        <w:spacing w:line="360" w:lineRule="auto"/>
        <w:ind w:firstLine="480" w:firstLineChars="200"/>
        <w:jc w:val="center"/>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28" o:spt="75" type="#_x0000_t75" style="height:19pt;width:168.2pt;" o:ole="t" filled="f" o:preferrelative="t" stroked="f" coordsize="21600,21600">
            <v:path/>
            <v:fill on="f" focussize="0,0"/>
            <v:stroke on="f" joinstyle="miter"/>
            <v:imagedata r:id="rId104" o:title=""/>
            <o:lock v:ext="edit" aspectratio="t"/>
            <w10:wrap type="none"/>
            <w10:anchorlock/>
          </v:shape>
          <o:OLEObject Type="Embed" ProgID="Equation.3" ShapeID="_x0000_i1028" DrawAspect="Content" ObjectID="_1468075735" r:id="rId103">
            <o:LockedField>false</o:LockedField>
          </o:OLEObject>
        </w:object>
      </w:r>
    </w:p>
    <w:p w14:paraId="0291CB31">
      <w:pPr>
        <w:spacing w:line="360" w:lineRule="auto"/>
        <w:ind w:firstLine="480" w:firstLineChars="200"/>
        <w:jc w:val="center"/>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29" o:spt="75" type="#_x0000_t75" style="height:19.05pt;width:84.1pt;" o:ole="t" filled="f" o:preferrelative="t" stroked="f" coordsize="21600,21600">
            <v:path/>
            <v:fill on="f" focussize="0,0"/>
            <v:stroke on="f" joinstyle="miter"/>
            <v:imagedata r:id="rId106" o:title=""/>
            <o:lock v:ext="edit" aspectratio="t"/>
            <w10:wrap type="none"/>
            <w10:anchorlock/>
          </v:shape>
          <o:OLEObject Type="Embed" ProgID="Equation.3" ShapeID="_x0000_i1029" DrawAspect="Content" ObjectID="_1468075736" r:id="rId105">
            <o:LockedField>false</o:LockedField>
          </o:OLEObject>
        </w:object>
      </w:r>
    </w:p>
    <w:p w14:paraId="1CE536FA">
      <w:pPr>
        <w:spacing w:line="360" w:lineRule="auto"/>
        <w:ind w:firstLine="480" w:firstLineChars="200"/>
        <w:jc w:val="center"/>
        <w:rPr>
          <w:rFonts w:hint="eastAsia" w:ascii="宋体" w:hAnsi="宋体" w:eastAsia="宋体" w:cs="宋体"/>
          <w:color w:val="auto"/>
          <w:sz w:val="24"/>
          <w:szCs w:val="24"/>
          <w:highlight w:val="none"/>
        </w:rPr>
      </w:pPr>
      <w:r>
        <w:rPr>
          <w:rFonts w:hint="eastAsia" w:ascii="宋体" w:hAnsi="宋体" w:eastAsia="宋体" w:cs="宋体"/>
          <w:color w:val="auto"/>
          <w:position w:val="-24"/>
          <w:sz w:val="24"/>
          <w:szCs w:val="24"/>
          <w:highlight w:val="none"/>
        </w:rPr>
        <w:object>
          <v:shape id="_x0000_i1030" o:spt="75" type="#_x0000_t75" style="height:32.85pt;width:76.05pt;" o:ole="t" filled="f" o:preferrelative="t" stroked="f" coordsize="21600,21600">
            <v:path/>
            <v:fill on="f" focussize="0,0"/>
            <v:stroke on="f" joinstyle="miter"/>
            <v:imagedata r:id="rId108" o:title=""/>
            <o:lock v:ext="edit" aspectratio="t"/>
            <w10:wrap type="none"/>
            <w10:anchorlock/>
          </v:shape>
          <o:OLEObject Type="Embed" ProgID="Equation.3" ShapeID="_x0000_i1030" DrawAspect="Content" ObjectID="_1468075737" r:id="rId107">
            <o:LockedField>false</o:LockedField>
          </o:OLEObject>
        </w:object>
      </w:r>
    </w:p>
    <w:p w14:paraId="2420366A">
      <w:pPr>
        <w:spacing w:line="360" w:lineRule="auto"/>
        <w:ind w:firstLine="480" w:firstLineChars="200"/>
        <w:jc w:val="center"/>
        <w:rPr>
          <w:rFonts w:hint="eastAsia" w:ascii="宋体" w:hAnsi="宋体" w:eastAsia="宋体" w:cs="宋体"/>
          <w:color w:val="auto"/>
          <w:sz w:val="24"/>
          <w:szCs w:val="24"/>
          <w:highlight w:val="none"/>
        </w:rPr>
      </w:pPr>
      <w:r>
        <w:rPr>
          <w:rFonts w:hint="eastAsia" w:ascii="宋体" w:hAnsi="宋体" w:eastAsia="宋体" w:cs="宋体"/>
          <w:color w:val="auto"/>
          <w:position w:val="-30"/>
          <w:sz w:val="24"/>
          <w:szCs w:val="24"/>
          <w:highlight w:val="none"/>
        </w:rPr>
        <w:object>
          <v:shape id="_x0000_i1031" o:spt="75" type="#_x0000_t75" style="height:36.3pt;width:155.5pt;" o:ole="t" filled="f" o:preferrelative="t" stroked="f" coordsize="21600,21600">
            <v:path/>
            <v:fill on="f" focussize="0,0"/>
            <v:stroke on="f" joinstyle="miter"/>
            <v:imagedata r:id="rId110" o:title=""/>
            <o:lock v:ext="edit" aspectratio="t"/>
            <w10:wrap type="none"/>
            <w10:anchorlock/>
          </v:shape>
          <o:OLEObject Type="Embed" ProgID="Equation.3" ShapeID="_x0000_i1031" DrawAspect="Content" ObjectID="_1468075738" r:id="rId109">
            <o:LockedField>false</o:LockedField>
          </o:OLEObject>
        </w:object>
      </w:r>
    </w:p>
    <w:p w14:paraId="506E037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r>
        <w:rPr>
          <w:rFonts w:hint="eastAsia" w:ascii="宋体" w:hAnsi="宋体" w:eastAsia="宋体" w:cs="宋体"/>
          <w:color w:val="auto"/>
          <w:position w:val="-14"/>
          <w:sz w:val="24"/>
          <w:szCs w:val="24"/>
          <w:highlight w:val="none"/>
        </w:rPr>
        <w:object>
          <v:shape id="_x0000_i1032" o:spt="75" type="#_x0000_t75" style="height:19pt;width:29.95pt;" o:ole="t" filled="f" o:preferrelative="t" stroked="f" coordsize="21600,21600">
            <v:path/>
            <v:fill on="f" focussize="0,0"/>
            <v:stroke on="f" joinstyle="miter"/>
            <v:imagedata r:id="rId112" o:title=""/>
            <o:lock v:ext="edit" aspectratio="t"/>
            <w10:wrap type="none"/>
            <w10:anchorlock/>
          </v:shape>
          <o:OLEObject Type="Embed" ProgID="Equation.3" ShapeID="_x0000_i1032" DrawAspect="Content" ObjectID="_1468075739" r:id="rId111">
            <o:LockedField>false</o:LockedField>
          </o:OLEObject>
        </w:object>
      </w:r>
      <w:r>
        <w:rPr>
          <w:rFonts w:hint="eastAsia" w:ascii="宋体" w:hAnsi="宋体" w:eastAsia="宋体" w:cs="宋体"/>
          <w:color w:val="auto"/>
          <w:sz w:val="24"/>
          <w:szCs w:val="24"/>
          <w:highlight w:val="none"/>
        </w:rPr>
        <w:t>－预测点（</w:t>
      </w:r>
      <w:r>
        <w:rPr>
          <w:rFonts w:hint="eastAsia" w:ascii="宋体" w:hAnsi="宋体" w:eastAsia="宋体" w:cs="宋体"/>
          <w:color w:val="auto"/>
          <w:position w:val="-4"/>
          <w:sz w:val="24"/>
          <w:szCs w:val="24"/>
          <w:highlight w:val="none"/>
        </w:rPr>
        <w:object>
          <v:shape id="_x0000_i1033" o:spt="75" type="#_x0000_t75" style="height:10.35pt;width:9.2pt;" o:ole="t" filled="f" o:preferrelative="t" stroked="f" coordsize="21600,21600">
            <v:path/>
            <v:fill on="f" focussize="0,0"/>
            <v:stroke on="f" joinstyle="miter"/>
            <v:imagedata r:id="rId114" o:title=""/>
            <o:lock v:ext="edit" aspectratio="t"/>
            <w10:wrap type="none"/>
            <w10:anchorlock/>
          </v:shape>
          <o:OLEObject Type="Embed" ProgID="Equation.3" ShapeID="_x0000_i1033" DrawAspect="Content" ObjectID="_1468075740" r:id="rId113">
            <o:LockedField>false</o:LockedField>
          </o:OLEObject>
        </w:object>
      </w:r>
      <w:r>
        <w:rPr>
          <w:rFonts w:hint="eastAsia" w:ascii="宋体" w:hAnsi="宋体" w:eastAsia="宋体" w:cs="宋体"/>
          <w:color w:val="auto"/>
          <w:sz w:val="24"/>
          <w:szCs w:val="24"/>
          <w:highlight w:val="none"/>
        </w:rPr>
        <w:t>）处的施工噪声预测值，dB(A)；</w:t>
      </w:r>
    </w:p>
    <w:p w14:paraId="3660FF60">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34" o:spt="75" type="#_x0000_t75" style="height:19pt;width:34pt;" o:ole="t" filled="f" o:preferrelative="t" stroked="f" coordsize="21600,21600">
            <v:path/>
            <v:fill on="f" focussize="0,0"/>
            <v:stroke on="f" joinstyle="miter"/>
            <v:imagedata r:id="rId116" o:title=""/>
            <o:lock v:ext="edit" aspectratio="t"/>
            <w10:wrap type="none"/>
            <w10:anchorlock/>
          </v:shape>
          <o:OLEObject Type="Embed" ProgID="Equation.3" ShapeID="_x0000_i1034" DrawAspect="Content" ObjectID="_1468075741" r:id="rId115">
            <o:LockedField>false</o:LockedField>
          </o:OLEObject>
        </w:object>
      </w:r>
      <w:r>
        <w:rPr>
          <w:rFonts w:hint="eastAsia" w:ascii="宋体" w:hAnsi="宋体" w:eastAsia="宋体" w:cs="宋体"/>
          <w:color w:val="auto"/>
          <w:sz w:val="24"/>
          <w:szCs w:val="24"/>
          <w:highlight w:val="none"/>
        </w:rPr>
        <w:t>－无指向性点声源参考点（</w:t>
      </w:r>
      <w:r>
        <w:rPr>
          <w:rFonts w:hint="eastAsia" w:ascii="宋体" w:hAnsi="宋体" w:eastAsia="宋体" w:cs="宋体"/>
          <w:color w:val="auto"/>
          <w:position w:val="-12"/>
          <w:sz w:val="24"/>
          <w:szCs w:val="24"/>
          <w:highlight w:val="none"/>
        </w:rPr>
        <w:object>
          <v:shape id="_x0000_i1035" o:spt="75" type="#_x0000_t75" style="height:19pt;width:11.5pt;" o:ole="t" filled="f" o:preferrelative="t" stroked="f" coordsize="21600,21600">
            <v:path/>
            <v:fill on="f" focussize="0,0"/>
            <v:stroke on="f" joinstyle="miter"/>
            <v:imagedata r:id="rId118" o:title=""/>
            <o:lock v:ext="edit" aspectratio="t"/>
            <w10:wrap type="none"/>
            <w10:anchorlock/>
          </v:shape>
          <o:OLEObject Type="Embed" ProgID="Equation.3" ShapeID="_x0000_i1035" DrawAspect="Content" ObjectID="_1468075742" r:id="rId117">
            <o:LockedField>false</o:LockedField>
          </o:OLEObject>
        </w:object>
      </w:r>
      <w:r>
        <w:rPr>
          <w:rFonts w:hint="eastAsia" w:ascii="宋体" w:hAnsi="宋体" w:eastAsia="宋体" w:cs="宋体"/>
          <w:color w:val="auto"/>
          <w:sz w:val="24"/>
          <w:szCs w:val="24"/>
          <w:highlight w:val="none"/>
        </w:rPr>
        <w:t>）处的噪声值，dB(A)；</w:t>
      </w:r>
    </w:p>
    <w:p w14:paraId="1AA63031">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36" o:spt="75" type="#_x0000_t75" style="height:19pt;width:20.75pt;" o:ole="t" filled="f" o:preferrelative="t" stroked="f" coordsize="21600,21600">
            <v:path/>
            <v:fill on="f" focussize="0,0"/>
            <v:stroke on="f" joinstyle="miter"/>
            <v:imagedata r:id="rId120" o:title=""/>
            <o:lock v:ext="edit" aspectratio="t"/>
            <w10:wrap type="none"/>
            <w10:anchorlock/>
          </v:shape>
          <o:OLEObject Type="Embed" ProgID="Equation.3" ShapeID="_x0000_i1036" DrawAspect="Content" ObjectID="_1468075743" r:id="rId119">
            <o:LockedField>false</o:LockedField>
          </o:OLEObject>
        </w:object>
      </w:r>
      <w:r>
        <w:rPr>
          <w:rFonts w:hint="eastAsia" w:ascii="宋体" w:hAnsi="宋体" w:eastAsia="宋体" w:cs="宋体"/>
          <w:color w:val="auto"/>
          <w:sz w:val="24"/>
          <w:szCs w:val="24"/>
          <w:highlight w:val="none"/>
        </w:rPr>
        <w:t>－几何发散衰减量，dB(A)；</w:t>
      </w:r>
    </w:p>
    <w:p w14:paraId="5B170AB9">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37" o:spt="75" type="#_x0000_t75" style="height:19pt;width:21.9pt;" o:ole="t" filled="f" o:preferrelative="t" stroked="f" coordsize="21600,21600">
            <v:path/>
            <v:fill on="f" focussize="0,0"/>
            <v:stroke on="f" joinstyle="miter"/>
            <v:imagedata r:id="rId122" o:title=""/>
            <o:lock v:ext="edit" aspectratio="t"/>
            <w10:wrap type="none"/>
            <w10:anchorlock/>
          </v:shape>
          <o:OLEObject Type="Embed" ProgID="Equation.3" ShapeID="_x0000_i1037" DrawAspect="Content" ObjectID="_1468075744" r:id="rId121">
            <o:LockedField>false</o:LockedField>
          </o:OLEObject>
        </w:object>
      </w:r>
      <w:r>
        <w:rPr>
          <w:rFonts w:hint="eastAsia" w:ascii="宋体" w:hAnsi="宋体" w:eastAsia="宋体" w:cs="宋体"/>
          <w:color w:val="auto"/>
          <w:sz w:val="24"/>
          <w:szCs w:val="24"/>
          <w:highlight w:val="none"/>
        </w:rPr>
        <w:t>－空气吸收引起的衰减量，dB(A)；</w:t>
      </w:r>
    </w:p>
    <w:p w14:paraId="63EACB85">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38" o:spt="75" type="#_x0000_t75" style="height:19pt;width:19pt;" o:ole="t" filled="f" o:preferrelative="t" stroked="f" coordsize="21600,21600">
            <v:path/>
            <v:fill on="f" focussize="0,0"/>
            <v:stroke on="f" joinstyle="miter"/>
            <v:imagedata r:id="rId124" o:title=""/>
            <o:lock v:ext="edit" aspectratio="t"/>
            <w10:wrap type="none"/>
            <w10:anchorlock/>
          </v:shape>
          <o:OLEObject Type="Embed" ProgID="Equation.3" ShapeID="_x0000_i1038" DrawAspect="Content" ObjectID="_1468075745" r:id="rId123">
            <o:LockedField>false</o:LockedField>
          </o:OLEObject>
        </w:object>
      </w:r>
      <w:r>
        <w:rPr>
          <w:rFonts w:hint="eastAsia" w:ascii="宋体" w:hAnsi="宋体" w:eastAsia="宋体" w:cs="宋体"/>
          <w:color w:val="auto"/>
          <w:sz w:val="24"/>
          <w:szCs w:val="24"/>
          <w:highlight w:val="none"/>
        </w:rPr>
        <w:t>－地面效应衰减量，dB(A)；</w:t>
      </w:r>
    </w:p>
    <w:p w14:paraId="695203D5">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6"/>
          <w:sz w:val="24"/>
          <w:szCs w:val="24"/>
          <w:highlight w:val="none"/>
        </w:rPr>
        <w:object>
          <v:shape id="_x0000_i1039" o:spt="75" type="#_x0000_t75" style="height:11.5pt;width:10.35pt;" o:ole="t" filled="f" o:preferrelative="t" stroked="f" coordsize="21600,21600">
            <v:path/>
            <v:fill on="f" focussize="0,0"/>
            <v:stroke on="f" joinstyle="miter"/>
            <v:imagedata r:id="rId126" o:title=""/>
            <o:lock v:ext="edit" aspectratio="t"/>
            <w10:wrap type="none"/>
            <w10:anchorlock/>
          </v:shape>
          <o:OLEObject Type="Embed" ProgID="Equation.3" ShapeID="_x0000_i1039" DrawAspect="Content" ObjectID="_1468075746" r:id="rId125">
            <o:LockedField>false</o:LockedField>
          </o:OLEObject>
        </w:object>
      </w:r>
      <w:r>
        <w:rPr>
          <w:rFonts w:hint="eastAsia" w:ascii="宋体" w:hAnsi="宋体" w:eastAsia="宋体" w:cs="宋体"/>
          <w:color w:val="auto"/>
          <w:sz w:val="24"/>
          <w:szCs w:val="24"/>
          <w:highlight w:val="none"/>
        </w:rPr>
        <w:t>－大气吸收衰减系数，dB/km；本次计算</w:t>
      </w:r>
      <w:r>
        <w:rPr>
          <w:rFonts w:hint="eastAsia" w:ascii="宋体" w:hAnsi="宋体" w:eastAsia="宋体" w:cs="宋体"/>
          <w:color w:val="auto"/>
          <w:position w:val="-6"/>
          <w:sz w:val="24"/>
          <w:szCs w:val="24"/>
          <w:highlight w:val="none"/>
        </w:rPr>
        <w:object>
          <v:shape id="_x0000_i1040" o:spt="75" type="#_x0000_t75" style="height:11.5pt;width:10.35pt;" o:ole="t" filled="f" o:preferrelative="t" stroked="f" coordsize="21600,21600">
            <v:path/>
            <v:fill on="f" focussize="0,0"/>
            <v:stroke on="f" joinstyle="miter"/>
            <v:imagedata r:id="rId126" o:title=""/>
            <o:lock v:ext="edit" aspectratio="t"/>
            <w10:wrap type="none"/>
            <w10:anchorlock/>
          </v:shape>
          <o:OLEObject Type="Embed" ProgID="Equation.3" ShapeID="_x0000_i1040" DrawAspect="Content" ObjectID="_1468075747" r:id="rId127">
            <o:LockedField>false</o:LockedField>
          </o:OLEObject>
        </w:object>
      </w:r>
      <w:r>
        <w:rPr>
          <w:rFonts w:hint="eastAsia" w:ascii="宋体" w:hAnsi="宋体" w:eastAsia="宋体" w:cs="宋体"/>
          <w:color w:val="auto"/>
          <w:sz w:val="24"/>
          <w:szCs w:val="24"/>
          <w:highlight w:val="none"/>
        </w:rPr>
        <w:t>取值为5.0dB/km。</w:t>
      </w:r>
    </w:p>
    <w:p w14:paraId="674610F9">
      <w:pPr>
        <w:spacing w:line="360" w:lineRule="auto"/>
        <w:ind w:firstLine="1202" w:firstLineChars="501"/>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41" o:spt="75" type="#_x0000_t75" style="height:19.05pt;width:15pt;" o:ole="t" filled="f" o:preferrelative="t" stroked="f" coordsize="21600,21600">
            <v:path/>
            <v:fill on="f" focussize="0,0"/>
            <v:stroke on="f" joinstyle="miter"/>
            <v:imagedata r:id="rId129" o:title=""/>
            <o:lock v:ext="edit" aspectratio="t"/>
            <w10:wrap type="none"/>
            <w10:anchorlock/>
          </v:shape>
          <o:OLEObject Type="Embed" ProgID="Equation.3" ShapeID="_x0000_i1041" DrawAspect="Content" ObjectID="_1468075748" r:id="rId128">
            <o:LockedField>false</o:LockedField>
          </o:OLEObject>
        </w:object>
      </w:r>
      <w:r>
        <w:rPr>
          <w:rFonts w:hint="eastAsia" w:ascii="宋体" w:hAnsi="宋体" w:eastAsia="宋体" w:cs="宋体"/>
          <w:color w:val="auto"/>
          <w:sz w:val="24"/>
          <w:szCs w:val="24"/>
          <w:highlight w:val="none"/>
        </w:rPr>
        <w:t>－传播路径的平均离地高度，m；</w:t>
      </w:r>
      <w:r>
        <w:rPr>
          <w:rFonts w:hint="eastAsia" w:ascii="宋体" w:hAnsi="宋体" w:eastAsia="宋体" w:cs="宋体"/>
          <w:color w:val="auto"/>
          <w:position w:val="-12"/>
          <w:sz w:val="24"/>
          <w:szCs w:val="24"/>
          <w:highlight w:val="none"/>
        </w:rPr>
        <w:object>
          <v:shape id="_x0000_i1042" o:spt="75" type="#_x0000_t75" style="height:19.05pt;width:15pt;" o:ole="t" filled="f" o:preferrelative="t" stroked="f" coordsize="21600,21600">
            <v:path/>
            <v:fill on="f" focussize="0,0"/>
            <v:stroke on="f" joinstyle="miter"/>
            <v:imagedata r:id="rId131" o:title=""/>
            <o:lock v:ext="edit" aspectratio="t"/>
            <w10:wrap type="none"/>
            <w10:anchorlock/>
          </v:shape>
          <o:OLEObject Type="Embed" ProgID="Equation.3" ShapeID="_x0000_i1042" DrawAspect="Content" ObjectID="_1468075749" r:id="rId130">
            <o:LockedField>false</o:LockedField>
          </o:OLEObject>
        </w:object>
      </w:r>
      <w:r>
        <w:rPr>
          <w:rFonts w:hint="eastAsia" w:ascii="宋体" w:hAnsi="宋体" w:eastAsia="宋体" w:cs="宋体"/>
          <w:color w:val="auto"/>
          <w:sz w:val="24"/>
          <w:szCs w:val="24"/>
          <w:highlight w:val="none"/>
        </w:rPr>
        <w:t>取值按1m计算。</w:t>
      </w:r>
    </w:p>
    <w:p w14:paraId="034FF0DD">
      <w:pPr>
        <w:spacing w:line="360" w:lineRule="auto"/>
        <w:ind w:firstLine="1320" w:firstLineChars="550"/>
        <w:rPr>
          <w:rFonts w:hint="eastAsia" w:ascii="宋体" w:hAnsi="宋体" w:eastAsia="宋体" w:cs="宋体"/>
          <w:color w:val="auto"/>
          <w:sz w:val="24"/>
          <w:szCs w:val="24"/>
          <w:highlight w:val="none"/>
        </w:rPr>
      </w:pPr>
      <w:r>
        <w:rPr>
          <w:rFonts w:hint="eastAsia" w:ascii="宋体" w:hAnsi="宋体" w:eastAsia="宋体" w:cs="宋体"/>
          <w:color w:val="auto"/>
          <w:position w:val="-4"/>
          <w:sz w:val="24"/>
          <w:szCs w:val="24"/>
          <w:highlight w:val="none"/>
        </w:rPr>
        <w:object>
          <v:shape id="_x0000_i1043" o:spt="75" type="#_x0000_t75" style="height:10.35pt;width:9.2pt;" o:ole="t" filled="f" o:preferrelative="t" stroked="f" coordsize="21600,21600">
            <v:path/>
            <v:fill on="f" focussize="0,0"/>
            <v:stroke on="f" joinstyle="miter"/>
            <v:imagedata r:id="rId133" o:title=""/>
            <o:lock v:ext="edit" aspectratio="t"/>
            <w10:wrap type="none"/>
            <w10:anchorlock/>
          </v:shape>
          <o:OLEObject Type="Embed" ProgID="Equation.3" ShapeID="_x0000_i1043" DrawAspect="Content" ObjectID="_1468075750" r:id="rId132">
            <o:LockedField>false</o:LockedField>
          </o:OLEObject>
        </w:object>
      </w:r>
      <w:r>
        <w:rPr>
          <w:rFonts w:hint="eastAsia" w:ascii="宋体" w:hAnsi="宋体" w:eastAsia="宋体" w:cs="宋体"/>
          <w:color w:val="auto"/>
          <w:sz w:val="24"/>
          <w:szCs w:val="24"/>
          <w:highlight w:val="none"/>
        </w:rPr>
        <w:t>，</w:t>
      </w:r>
      <w:r>
        <w:rPr>
          <w:rFonts w:hint="eastAsia" w:ascii="宋体" w:hAnsi="宋体" w:eastAsia="宋体" w:cs="宋体"/>
          <w:color w:val="auto"/>
          <w:position w:val="-12"/>
          <w:sz w:val="24"/>
          <w:szCs w:val="24"/>
          <w:highlight w:val="none"/>
        </w:rPr>
        <w:object>
          <v:shape id="_x0000_i1044" o:spt="75" type="#_x0000_t75" style="height:19pt;width:11.5pt;" o:ole="t" filled="f" o:preferrelative="t" stroked="f" coordsize="21600,21600">
            <v:path/>
            <v:fill on="f" focussize="0,0"/>
            <v:stroke on="f" joinstyle="miter"/>
            <v:imagedata r:id="rId135" o:title=""/>
            <o:lock v:ext="edit" aspectratio="t"/>
            <w10:wrap type="none"/>
            <w10:anchorlock/>
          </v:shape>
          <o:OLEObject Type="Embed" ProgID="Equation.3" ShapeID="_x0000_i1044" DrawAspect="Content" ObjectID="_1468075751" r:id="rId134">
            <o:LockedField>false</o:LockedField>
          </o:OLEObject>
        </w:object>
      </w:r>
      <w:r>
        <w:rPr>
          <w:rFonts w:hint="eastAsia" w:ascii="宋体" w:hAnsi="宋体" w:eastAsia="宋体" w:cs="宋体"/>
          <w:color w:val="auto"/>
          <w:sz w:val="24"/>
          <w:szCs w:val="24"/>
          <w:highlight w:val="none"/>
        </w:rPr>
        <w:t>－分别为预测点和声源参考点的距离，m。</w:t>
      </w:r>
    </w:p>
    <w:p w14:paraId="03F869A8">
      <w:pPr>
        <w:spacing w:line="360" w:lineRule="auto"/>
        <w:ind w:firstLine="480" w:firstLineChars="200"/>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rPr>
        <w:t>根据上述预测模式，各类施工机械在不同距离处的噪声值（未与现状值叠加）预测结果见表</w:t>
      </w:r>
      <w:r>
        <w:rPr>
          <w:rFonts w:hint="eastAsia" w:ascii="宋体" w:hAnsi="宋体" w:eastAsia="宋体" w:cs="宋体"/>
          <w:color w:val="auto"/>
          <w:sz w:val="24"/>
          <w:szCs w:val="24"/>
          <w:highlight w:val="none"/>
          <w:lang w:val="en-US" w:eastAsia="zh-CN"/>
        </w:rPr>
        <w:t>17</w:t>
      </w:r>
      <w:r>
        <w:rPr>
          <w:rFonts w:hint="eastAsia" w:ascii="宋体" w:hAnsi="宋体" w:eastAsia="宋体" w:cs="宋体"/>
          <w:color w:val="auto"/>
          <w:sz w:val="24"/>
          <w:szCs w:val="24"/>
          <w:highlight w:val="none"/>
        </w:rPr>
        <w:t>。</w:t>
      </w:r>
    </w:p>
    <w:p w14:paraId="2023AC46">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17</w:t>
      </w:r>
      <w:r>
        <w:rPr>
          <w:rFonts w:hint="eastAsia" w:ascii="宋体" w:hAnsi="宋体" w:eastAsia="宋体" w:cs="宋体"/>
          <w:b/>
          <w:color w:val="auto"/>
          <w:sz w:val="21"/>
          <w:szCs w:val="21"/>
          <w:highlight w:val="none"/>
        </w:rPr>
        <w:t xml:space="preserve">    工程主要施工机械施工噪声的影响范围</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43"/>
        <w:gridCol w:w="1638"/>
        <w:gridCol w:w="474"/>
        <w:gridCol w:w="474"/>
        <w:gridCol w:w="474"/>
        <w:gridCol w:w="474"/>
        <w:gridCol w:w="474"/>
        <w:gridCol w:w="474"/>
        <w:gridCol w:w="474"/>
        <w:gridCol w:w="474"/>
        <w:gridCol w:w="474"/>
        <w:gridCol w:w="451"/>
        <w:gridCol w:w="449"/>
        <w:gridCol w:w="530"/>
        <w:gridCol w:w="527"/>
      </w:tblGrid>
      <w:tr w14:paraId="50971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restart"/>
            <w:noWrap w:val="0"/>
            <w:vAlign w:val="center"/>
          </w:tcPr>
          <w:p w14:paraId="0EFC47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施工阶段</w:t>
            </w:r>
          </w:p>
        </w:tc>
        <w:tc>
          <w:tcPr>
            <w:tcW w:w="986" w:type="pct"/>
            <w:noWrap w:val="0"/>
            <w:vAlign w:val="center"/>
          </w:tcPr>
          <w:p w14:paraId="0D7106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施工机械</w:t>
            </w:r>
          </w:p>
        </w:tc>
        <w:tc>
          <w:tcPr>
            <w:tcW w:w="2567" w:type="pct"/>
            <w:gridSpan w:val="9"/>
            <w:noWrap w:val="0"/>
            <w:vAlign w:val="center"/>
          </w:tcPr>
          <w:p w14:paraId="3DDECB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预测结果（dB）</w:t>
            </w:r>
          </w:p>
        </w:tc>
        <w:tc>
          <w:tcPr>
            <w:tcW w:w="542" w:type="pct"/>
            <w:gridSpan w:val="2"/>
            <w:noWrap w:val="0"/>
            <w:vAlign w:val="center"/>
          </w:tcPr>
          <w:p w14:paraId="73980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标准（dB）</w:t>
            </w:r>
          </w:p>
        </w:tc>
        <w:tc>
          <w:tcPr>
            <w:tcW w:w="636" w:type="pct"/>
            <w:gridSpan w:val="2"/>
            <w:noWrap w:val="0"/>
            <w:vAlign w:val="center"/>
          </w:tcPr>
          <w:p w14:paraId="1B576B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达标距离</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m)</w:t>
            </w:r>
          </w:p>
        </w:tc>
      </w:tr>
      <w:tr w14:paraId="18483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224419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031B83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距离（m）</w:t>
            </w:r>
          </w:p>
        </w:tc>
        <w:tc>
          <w:tcPr>
            <w:tcW w:w="285" w:type="pct"/>
            <w:noWrap w:val="0"/>
            <w:vAlign w:val="center"/>
          </w:tcPr>
          <w:p w14:paraId="3256DB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5</w:t>
            </w:r>
          </w:p>
        </w:tc>
        <w:tc>
          <w:tcPr>
            <w:tcW w:w="285" w:type="pct"/>
            <w:noWrap w:val="0"/>
            <w:vAlign w:val="center"/>
          </w:tcPr>
          <w:p w14:paraId="26CB0D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10</w:t>
            </w:r>
          </w:p>
        </w:tc>
        <w:tc>
          <w:tcPr>
            <w:tcW w:w="285" w:type="pct"/>
            <w:noWrap w:val="0"/>
            <w:vAlign w:val="center"/>
          </w:tcPr>
          <w:p w14:paraId="729539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30</w:t>
            </w:r>
          </w:p>
        </w:tc>
        <w:tc>
          <w:tcPr>
            <w:tcW w:w="285" w:type="pct"/>
            <w:noWrap w:val="0"/>
            <w:vAlign w:val="center"/>
          </w:tcPr>
          <w:p w14:paraId="4892E2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50</w:t>
            </w:r>
          </w:p>
        </w:tc>
        <w:tc>
          <w:tcPr>
            <w:tcW w:w="285" w:type="pct"/>
            <w:noWrap w:val="0"/>
            <w:vAlign w:val="center"/>
          </w:tcPr>
          <w:p w14:paraId="1D5A92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70</w:t>
            </w:r>
          </w:p>
        </w:tc>
        <w:tc>
          <w:tcPr>
            <w:tcW w:w="285" w:type="pct"/>
            <w:noWrap w:val="0"/>
            <w:vAlign w:val="center"/>
          </w:tcPr>
          <w:p w14:paraId="15BF81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90</w:t>
            </w:r>
          </w:p>
        </w:tc>
        <w:tc>
          <w:tcPr>
            <w:tcW w:w="285" w:type="pct"/>
            <w:noWrap w:val="0"/>
            <w:vAlign w:val="center"/>
          </w:tcPr>
          <w:p w14:paraId="5F6645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100</w:t>
            </w:r>
          </w:p>
        </w:tc>
        <w:tc>
          <w:tcPr>
            <w:tcW w:w="285" w:type="pct"/>
            <w:noWrap w:val="0"/>
            <w:vAlign w:val="center"/>
          </w:tcPr>
          <w:p w14:paraId="511966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200</w:t>
            </w:r>
          </w:p>
        </w:tc>
        <w:tc>
          <w:tcPr>
            <w:tcW w:w="285" w:type="pct"/>
            <w:noWrap w:val="0"/>
            <w:vAlign w:val="center"/>
          </w:tcPr>
          <w:p w14:paraId="38F442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300</w:t>
            </w:r>
          </w:p>
        </w:tc>
        <w:tc>
          <w:tcPr>
            <w:tcW w:w="271" w:type="pct"/>
            <w:noWrap w:val="0"/>
            <w:vAlign w:val="center"/>
          </w:tcPr>
          <w:p w14:paraId="269C90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昼</w:t>
            </w:r>
          </w:p>
        </w:tc>
        <w:tc>
          <w:tcPr>
            <w:tcW w:w="270" w:type="pct"/>
            <w:noWrap w:val="0"/>
            <w:vAlign w:val="center"/>
          </w:tcPr>
          <w:p w14:paraId="7769C5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夜</w:t>
            </w:r>
          </w:p>
        </w:tc>
        <w:tc>
          <w:tcPr>
            <w:tcW w:w="319" w:type="pct"/>
            <w:noWrap w:val="0"/>
            <w:vAlign w:val="center"/>
          </w:tcPr>
          <w:p w14:paraId="5C48AF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昼</w:t>
            </w:r>
          </w:p>
        </w:tc>
        <w:tc>
          <w:tcPr>
            <w:tcW w:w="317" w:type="pct"/>
            <w:noWrap w:val="0"/>
            <w:vAlign w:val="center"/>
          </w:tcPr>
          <w:p w14:paraId="5A789D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夜</w:t>
            </w:r>
          </w:p>
        </w:tc>
      </w:tr>
      <w:tr w14:paraId="0FB5A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7234B7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24D49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挖掘机</w:t>
            </w:r>
          </w:p>
        </w:tc>
        <w:tc>
          <w:tcPr>
            <w:tcW w:w="285" w:type="pct"/>
            <w:noWrap w:val="0"/>
            <w:vAlign w:val="center"/>
          </w:tcPr>
          <w:p w14:paraId="2D70E1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84</w:t>
            </w:r>
          </w:p>
        </w:tc>
        <w:tc>
          <w:tcPr>
            <w:tcW w:w="285" w:type="pct"/>
            <w:noWrap w:val="0"/>
            <w:vAlign w:val="center"/>
          </w:tcPr>
          <w:p w14:paraId="7BF6E0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78</w:t>
            </w:r>
          </w:p>
        </w:tc>
        <w:tc>
          <w:tcPr>
            <w:tcW w:w="285" w:type="pct"/>
            <w:noWrap w:val="0"/>
            <w:vAlign w:val="center"/>
          </w:tcPr>
          <w:p w14:paraId="7F8052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68</w:t>
            </w:r>
          </w:p>
        </w:tc>
        <w:tc>
          <w:tcPr>
            <w:tcW w:w="285" w:type="pct"/>
            <w:noWrap w:val="0"/>
            <w:vAlign w:val="center"/>
          </w:tcPr>
          <w:p w14:paraId="177E88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64</w:t>
            </w:r>
          </w:p>
        </w:tc>
        <w:tc>
          <w:tcPr>
            <w:tcW w:w="285" w:type="pct"/>
            <w:noWrap w:val="0"/>
            <w:vAlign w:val="center"/>
          </w:tcPr>
          <w:p w14:paraId="4C9C94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61</w:t>
            </w:r>
          </w:p>
        </w:tc>
        <w:tc>
          <w:tcPr>
            <w:tcW w:w="285" w:type="pct"/>
            <w:noWrap w:val="0"/>
            <w:vAlign w:val="center"/>
          </w:tcPr>
          <w:p w14:paraId="4D31FD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59</w:t>
            </w:r>
          </w:p>
        </w:tc>
        <w:tc>
          <w:tcPr>
            <w:tcW w:w="285" w:type="pct"/>
            <w:noWrap w:val="0"/>
            <w:vAlign w:val="center"/>
          </w:tcPr>
          <w:p w14:paraId="0BAB03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58</w:t>
            </w:r>
          </w:p>
        </w:tc>
        <w:tc>
          <w:tcPr>
            <w:tcW w:w="285" w:type="pct"/>
            <w:noWrap w:val="0"/>
            <w:vAlign w:val="center"/>
          </w:tcPr>
          <w:p w14:paraId="76ACB2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52</w:t>
            </w:r>
          </w:p>
        </w:tc>
        <w:tc>
          <w:tcPr>
            <w:tcW w:w="285" w:type="pct"/>
            <w:noWrap w:val="0"/>
            <w:vAlign w:val="center"/>
          </w:tcPr>
          <w:p w14:paraId="5A030A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48</w:t>
            </w:r>
          </w:p>
        </w:tc>
        <w:tc>
          <w:tcPr>
            <w:tcW w:w="271" w:type="pct"/>
            <w:vMerge w:val="restart"/>
            <w:noWrap w:val="0"/>
            <w:vAlign w:val="center"/>
          </w:tcPr>
          <w:p w14:paraId="4704FF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70</w:t>
            </w:r>
          </w:p>
        </w:tc>
        <w:tc>
          <w:tcPr>
            <w:tcW w:w="270" w:type="pct"/>
            <w:vMerge w:val="restart"/>
            <w:noWrap w:val="0"/>
            <w:vAlign w:val="center"/>
          </w:tcPr>
          <w:p w14:paraId="3A017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55</w:t>
            </w:r>
          </w:p>
        </w:tc>
        <w:tc>
          <w:tcPr>
            <w:tcW w:w="319" w:type="pct"/>
            <w:noWrap w:val="0"/>
            <w:vAlign w:val="center"/>
          </w:tcPr>
          <w:p w14:paraId="764F11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w:t>
            </w:r>
          </w:p>
        </w:tc>
        <w:tc>
          <w:tcPr>
            <w:tcW w:w="317" w:type="pct"/>
            <w:noWrap w:val="0"/>
            <w:vAlign w:val="center"/>
          </w:tcPr>
          <w:p w14:paraId="5E9F6D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w:t>
            </w:r>
          </w:p>
        </w:tc>
      </w:tr>
      <w:tr w14:paraId="46ADB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48982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66FBA5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推土机</w:t>
            </w:r>
          </w:p>
        </w:tc>
        <w:tc>
          <w:tcPr>
            <w:tcW w:w="285" w:type="pct"/>
            <w:noWrap w:val="0"/>
            <w:vAlign w:val="center"/>
          </w:tcPr>
          <w:p w14:paraId="7D5C00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86</w:t>
            </w:r>
          </w:p>
        </w:tc>
        <w:tc>
          <w:tcPr>
            <w:tcW w:w="285" w:type="pct"/>
            <w:noWrap w:val="0"/>
            <w:vAlign w:val="center"/>
          </w:tcPr>
          <w:p w14:paraId="5FE97B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80</w:t>
            </w:r>
          </w:p>
        </w:tc>
        <w:tc>
          <w:tcPr>
            <w:tcW w:w="285" w:type="pct"/>
            <w:noWrap w:val="0"/>
            <w:vAlign w:val="center"/>
          </w:tcPr>
          <w:p w14:paraId="5BC22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70</w:t>
            </w:r>
          </w:p>
        </w:tc>
        <w:tc>
          <w:tcPr>
            <w:tcW w:w="285" w:type="pct"/>
            <w:noWrap w:val="0"/>
            <w:vAlign w:val="center"/>
          </w:tcPr>
          <w:p w14:paraId="693CB4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66</w:t>
            </w:r>
          </w:p>
        </w:tc>
        <w:tc>
          <w:tcPr>
            <w:tcW w:w="285" w:type="pct"/>
            <w:noWrap w:val="0"/>
            <w:vAlign w:val="center"/>
          </w:tcPr>
          <w:p w14:paraId="6CF0BD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63</w:t>
            </w:r>
          </w:p>
        </w:tc>
        <w:tc>
          <w:tcPr>
            <w:tcW w:w="285" w:type="pct"/>
            <w:noWrap w:val="0"/>
            <w:vAlign w:val="center"/>
          </w:tcPr>
          <w:p w14:paraId="67F11B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61</w:t>
            </w:r>
          </w:p>
        </w:tc>
        <w:tc>
          <w:tcPr>
            <w:tcW w:w="285" w:type="pct"/>
            <w:noWrap w:val="0"/>
            <w:vAlign w:val="center"/>
          </w:tcPr>
          <w:p w14:paraId="16728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60</w:t>
            </w:r>
          </w:p>
        </w:tc>
        <w:tc>
          <w:tcPr>
            <w:tcW w:w="285" w:type="pct"/>
            <w:noWrap w:val="0"/>
            <w:vAlign w:val="center"/>
          </w:tcPr>
          <w:p w14:paraId="020CAF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54</w:t>
            </w:r>
          </w:p>
        </w:tc>
        <w:tc>
          <w:tcPr>
            <w:tcW w:w="285" w:type="pct"/>
            <w:noWrap w:val="0"/>
            <w:vAlign w:val="center"/>
          </w:tcPr>
          <w:p w14:paraId="35EF05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50</w:t>
            </w:r>
          </w:p>
        </w:tc>
        <w:tc>
          <w:tcPr>
            <w:tcW w:w="271" w:type="pct"/>
            <w:vMerge w:val="continue"/>
            <w:noWrap w:val="0"/>
            <w:vAlign w:val="center"/>
          </w:tcPr>
          <w:p w14:paraId="6F648E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270" w:type="pct"/>
            <w:vMerge w:val="continue"/>
            <w:noWrap w:val="0"/>
            <w:vAlign w:val="center"/>
          </w:tcPr>
          <w:p w14:paraId="2BE6BC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754B12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w:t>
            </w:r>
          </w:p>
        </w:tc>
        <w:tc>
          <w:tcPr>
            <w:tcW w:w="317" w:type="pct"/>
            <w:noWrap w:val="0"/>
            <w:vAlign w:val="center"/>
          </w:tcPr>
          <w:p w14:paraId="3162A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w:t>
            </w:r>
          </w:p>
        </w:tc>
      </w:tr>
      <w:tr w14:paraId="30ED2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0E06D2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14E406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压路机</w:t>
            </w:r>
          </w:p>
        </w:tc>
        <w:tc>
          <w:tcPr>
            <w:tcW w:w="285" w:type="pct"/>
            <w:noWrap w:val="0"/>
            <w:vAlign w:val="center"/>
          </w:tcPr>
          <w:p w14:paraId="5DFD9A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81</w:t>
            </w:r>
          </w:p>
        </w:tc>
        <w:tc>
          <w:tcPr>
            <w:tcW w:w="285" w:type="pct"/>
            <w:noWrap w:val="0"/>
            <w:vAlign w:val="center"/>
          </w:tcPr>
          <w:p w14:paraId="1E13DF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75</w:t>
            </w:r>
          </w:p>
        </w:tc>
        <w:tc>
          <w:tcPr>
            <w:tcW w:w="285" w:type="pct"/>
            <w:noWrap w:val="0"/>
            <w:vAlign w:val="center"/>
          </w:tcPr>
          <w:p w14:paraId="15A821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65</w:t>
            </w:r>
          </w:p>
        </w:tc>
        <w:tc>
          <w:tcPr>
            <w:tcW w:w="285" w:type="pct"/>
            <w:noWrap w:val="0"/>
            <w:vAlign w:val="center"/>
          </w:tcPr>
          <w:p w14:paraId="023566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61</w:t>
            </w:r>
          </w:p>
        </w:tc>
        <w:tc>
          <w:tcPr>
            <w:tcW w:w="285" w:type="pct"/>
            <w:noWrap w:val="0"/>
            <w:vAlign w:val="center"/>
          </w:tcPr>
          <w:p w14:paraId="7F6618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58</w:t>
            </w:r>
          </w:p>
        </w:tc>
        <w:tc>
          <w:tcPr>
            <w:tcW w:w="285" w:type="pct"/>
            <w:noWrap w:val="0"/>
            <w:vAlign w:val="center"/>
          </w:tcPr>
          <w:p w14:paraId="58D51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56</w:t>
            </w:r>
          </w:p>
        </w:tc>
        <w:tc>
          <w:tcPr>
            <w:tcW w:w="285" w:type="pct"/>
            <w:noWrap w:val="0"/>
            <w:vAlign w:val="center"/>
          </w:tcPr>
          <w:p w14:paraId="5F1DAF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55</w:t>
            </w:r>
          </w:p>
        </w:tc>
        <w:tc>
          <w:tcPr>
            <w:tcW w:w="285" w:type="pct"/>
            <w:noWrap w:val="0"/>
            <w:vAlign w:val="center"/>
          </w:tcPr>
          <w:p w14:paraId="792625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49</w:t>
            </w:r>
          </w:p>
        </w:tc>
        <w:tc>
          <w:tcPr>
            <w:tcW w:w="285" w:type="pct"/>
            <w:noWrap w:val="0"/>
            <w:vAlign w:val="center"/>
          </w:tcPr>
          <w:p w14:paraId="6D382C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45</w:t>
            </w:r>
          </w:p>
        </w:tc>
        <w:tc>
          <w:tcPr>
            <w:tcW w:w="271" w:type="pct"/>
            <w:vMerge w:val="continue"/>
            <w:noWrap w:val="0"/>
            <w:vAlign w:val="center"/>
          </w:tcPr>
          <w:p w14:paraId="12C843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270" w:type="pct"/>
            <w:vMerge w:val="continue"/>
            <w:noWrap w:val="0"/>
            <w:vAlign w:val="center"/>
          </w:tcPr>
          <w:p w14:paraId="4E8B65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48DEF5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w:t>
            </w:r>
          </w:p>
        </w:tc>
        <w:tc>
          <w:tcPr>
            <w:tcW w:w="317" w:type="pct"/>
            <w:noWrap w:val="0"/>
            <w:vAlign w:val="center"/>
          </w:tcPr>
          <w:p w14:paraId="075266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w:t>
            </w:r>
          </w:p>
        </w:tc>
      </w:tr>
      <w:tr w14:paraId="28876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1DE2A5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02D12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大型运输机</w:t>
            </w:r>
          </w:p>
        </w:tc>
        <w:tc>
          <w:tcPr>
            <w:tcW w:w="285" w:type="pct"/>
            <w:noWrap w:val="0"/>
            <w:vAlign w:val="center"/>
          </w:tcPr>
          <w:p w14:paraId="29A6C7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90</w:t>
            </w:r>
          </w:p>
        </w:tc>
        <w:tc>
          <w:tcPr>
            <w:tcW w:w="285" w:type="pct"/>
            <w:noWrap w:val="0"/>
            <w:vAlign w:val="center"/>
          </w:tcPr>
          <w:p w14:paraId="3D3D6D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84</w:t>
            </w:r>
          </w:p>
        </w:tc>
        <w:tc>
          <w:tcPr>
            <w:tcW w:w="285" w:type="pct"/>
            <w:noWrap w:val="0"/>
            <w:vAlign w:val="center"/>
          </w:tcPr>
          <w:p w14:paraId="3BEADB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74</w:t>
            </w:r>
          </w:p>
        </w:tc>
        <w:tc>
          <w:tcPr>
            <w:tcW w:w="285" w:type="pct"/>
            <w:noWrap w:val="0"/>
            <w:vAlign w:val="center"/>
          </w:tcPr>
          <w:p w14:paraId="67B74E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70</w:t>
            </w:r>
          </w:p>
        </w:tc>
        <w:tc>
          <w:tcPr>
            <w:tcW w:w="285" w:type="pct"/>
            <w:noWrap w:val="0"/>
            <w:vAlign w:val="center"/>
          </w:tcPr>
          <w:p w14:paraId="774CC5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67</w:t>
            </w:r>
          </w:p>
        </w:tc>
        <w:tc>
          <w:tcPr>
            <w:tcW w:w="285" w:type="pct"/>
            <w:noWrap w:val="0"/>
            <w:vAlign w:val="center"/>
          </w:tcPr>
          <w:p w14:paraId="201289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65</w:t>
            </w:r>
          </w:p>
        </w:tc>
        <w:tc>
          <w:tcPr>
            <w:tcW w:w="285" w:type="pct"/>
            <w:noWrap w:val="0"/>
            <w:vAlign w:val="center"/>
          </w:tcPr>
          <w:p w14:paraId="43B959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64</w:t>
            </w:r>
          </w:p>
        </w:tc>
        <w:tc>
          <w:tcPr>
            <w:tcW w:w="285" w:type="pct"/>
            <w:noWrap w:val="0"/>
            <w:vAlign w:val="center"/>
          </w:tcPr>
          <w:p w14:paraId="6DC181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58</w:t>
            </w:r>
          </w:p>
        </w:tc>
        <w:tc>
          <w:tcPr>
            <w:tcW w:w="285" w:type="pct"/>
            <w:noWrap w:val="0"/>
            <w:vAlign w:val="center"/>
          </w:tcPr>
          <w:p w14:paraId="70D335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54</w:t>
            </w:r>
          </w:p>
        </w:tc>
        <w:tc>
          <w:tcPr>
            <w:tcW w:w="271" w:type="pct"/>
            <w:vMerge w:val="continue"/>
            <w:noWrap w:val="0"/>
            <w:vAlign w:val="center"/>
          </w:tcPr>
          <w:p w14:paraId="179266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270" w:type="pct"/>
            <w:vMerge w:val="continue"/>
            <w:noWrap w:val="0"/>
            <w:vAlign w:val="center"/>
          </w:tcPr>
          <w:p w14:paraId="3F2171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2557C8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w:t>
            </w:r>
          </w:p>
        </w:tc>
        <w:tc>
          <w:tcPr>
            <w:tcW w:w="317" w:type="pct"/>
            <w:noWrap w:val="0"/>
            <w:vAlign w:val="center"/>
          </w:tcPr>
          <w:p w14:paraId="0FEF10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w:t>
            </w:r>
          </w:p>
        </w:tc>
      </w:tr>
      <w:tr w14:paraId="1C42D4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noWrap w:val="0"/>
            <w:vAlign w:val="center"/>
          </w:tcPr>
          <w:p w14:paraId="45A3A8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42DB5D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打桩机</w:t>
            </w:r>
          </w:p>
        </w:tc>
        <w:tc>
          <w:tcPr>
            <w:tcW w:w="285" w:type="pct"/>
            <w:noWrap w:val="0"/>
            <w:vAlign w:val="center"/>
          </w:tcPr>
          <w:p w14:paraId="16E366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90</w:t>
            </w:r>
          </w:p>
        </w:tc>
        <w:tc>
          <w:tcPr>
            <w:tcW w:w="285" w:type="pct"/>
            <w:noWrap w:val="0"/>
            <w:vAlign w:val="center"/>
          </w:tcPr>
          <w:p w14:paraId="62221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84</w:t>
            </w:r>
          </w:p>
        </w:tc>
        <w:tc>
          <w:tcPr>
            <w:tcW w:w="285" w:type="pct"/>
            <w:noWrap w:val="0"/>
            <w:vAlign w:val="center"/>
          </w:tcPr>
          <w:p w14:paraId="077274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74</w:t>
            </w:r>
          </w:p>
        </w:tc>
        <w:tc>
          <w:tcPr>
            <w:tcW w:w="285" w:type="pct"/>
            <w:noWrap w:val="0"/>
            <w:vAlign w:val="center"/>
          </w:tcPr>
          <w:p w14:paraId="5B29BF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70</w:t>
            </w:r>
          </w:p>
        </w:tc>
        <w:tc>
          <w:tcPr>
            <w:tcW w:w="285" w:type="pct"/>
            <w:noWrap w:val="0"/>
            <w:vAlign w:val="center"/>
          </w:tcPr>
          <w:p w14:paraId="2A3627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67</w:t>
            </w:r>
          </w:p>
        </w:tc>
        <w:tc>
          <w:tcPr>
            <w:tcW w:w="285" w:type="pct"/>
            <w:noWrap w:val="0"/>
            <w:vAlign w:val="center"/>
          </w:tcPr>
          <w:p w14:paraId="48C00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65</w:t>
            </w:r>
          </w:p>
        </w:tc>
        <w:tc>
          <w:tcPr>
            <w:tcW w:w="285" w:type="pct"/>
            <w:noWrap w:val="0"/>
            <w:vAlign w:val="center"/>
          </w:tcPr>
          <w:p w14:paraId="578506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64</w:t>
            </w:r>
          </w:p>
        </w:tc>
        <w:tc>
          <w:tcPr>
            <w:tcW w:w="285" w:type="pct"/>
            <w:noWrap w:val="0"/>
            <w:vAlign w:val="center"/>
          </w:tcPr>
          <w:p w14:paraId="4E6896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58</w:t>
            </w:r>
          </w:p>
        </w:tc>
        <w:tc>
          <w:tcPr>
            <w:tcW w:w="285" w:type="pct"/>
            <w:noWrap w:val="0"/>
            <w:vAlign w:val="center"/>
          </w:tcPr>
          <w:p w14:paraId="63DD0E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54</w:t>
            </w:r>
          </w:p>
        </w:tc>
        <w:tc>
          <w:tcPr>
            <w:tcW w:w="271" w:type="pct"/>
            <w:vMerge w:val="continue"/>
            <w:noWrap w:val="0"/>
            <w:vAlign w:val="center"/>
          </w:tcPr>
          <w:p w14:paraId="151DA0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270" w:type="pct"/>
            <w:vMerge w:val="continue"/>
            <w:noWrap w:val="0"/>
            <w:vAlign w:val="center"/>
          </w:tcPr>
          <w:p w14:paraId="7FBCD1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159E3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w:t>
            </w:r>
          </w:p>
        </w:tc>
        <w:tc>
          <w:tcPr>
            <w:tcW w:w="317" w:type="pct"/>
            <w:noWrap w:val="0"/>
            <w:vAlign w:val="center"/>
          </w:tcPr>
          <w:p w14:paraId="21438E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w:t>
            </w:r>
          </w:p>
        </w:tc>
      </w:tr>
      <w:tr w14:paraId="2E7F0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67" w:type="pct"/>
            <w:vMerge w:val="continue"/>
            <w:noWrap w:val="0"/>
            <w:vAlign w:val="center"/>
          </w:tcPr>
          <w:p w14:paraId="1DCE5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6D383A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vertAlign w:val="baseline"/>
                <w:lang w:val="en-US" w:eastAsia="zh-CN"/>
              </w:rPr>
              <w:t>摊铺机</w:t>
            </w:r>
          </w:p>
        </w:tc>
        <w:tc>
          <w:tcPr>
            <w:tcW w:w="285" w:type="pct"/>
            <w:noWrap w:val="0"/>
            <w:vAlign w:val="center"/>
          </w:tcPr>
          <w:p w14:paraId="781905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sz w:val="21"/>
                <w:szCs w:val="16"/>
                <w:highlight w:val="none"/>
                <w:vertAlign w:val="baseline"/>
                <w:lang w:val="en-US" w:eastAsia="zh-CN"/>
              </w:rPr>
              <w:t>82</w:t>
            </w:r>
          </w:p>
        </w:tc>
        <w:tc>
          <w:tcPr>
            <w:tcW w:w="285" w:type="pct"/>
            <w:noWrap w:val="0"/>
            <w:vAlign w:val="center"/>
          </w:tcPr>
          <w:p w14:paraId="07D502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76</w:t>
            </w:r>
          </w:p>
        </w:tc>
        <w:tc>
          <w:tcPr>
            <w:tcW w:w="285" w:type="pct"/>
            <w:noWrap w:val="0"/>
            <w:vAlign w:val="center"/>
          </w:tcPr>
          <w:p w14:paraId="464F4F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66</w:t>
            </w:r>
          </w:p>
        </w:tc>
        <w:tc>
          <w:tcPr>
            <w:tcW w:w="285" w:type="pct"/>
            <w:noWrap w:val="0"/>
            <w:vAlign w:val="center"/>
          </w:tcPr>
          <w:p w14:paraId="1476B1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62</w:t>
            </w:r>
          </w:p>
        </w:tc>
        <w:tc>
          <w:tcPr>
            <w:tcW w:w="285" w:type="pct"/>
            <w:noWrap w:val="0"/>
            <w:vAlign w:val="center"/>
          </w:tcPr>
          <w:p w14:paraId="1949A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59</w:t>
            </w:r>
          </w:p>
        </w:tc>
        <w:tc>
          <w:tcPr>
            <w:tcW w:w="285" w:type="pct"/>
            <w:noWrap w:val="0"/>
            <w:vAlign w:val="center"/>
          </w:tcPr>
          <w:p w14:paraId="517064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57</w:t>
            </w:r>
          </w:p>
        </w:tc>
        <w:tc>
          <w:tcPr>
            <w:tcW w:w="285" w:type="pct"/>
            <w:noWrap w:val="0"/>
            <w:vAlign w:val="center"/>
          </w:tcPr>
          <w:p w14:paraId="5F38F6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56</w:t>
            </w:r>
          </w:p>
        </w:tc>
        <w:tc>
          <w:tcPr>
            <w:tcW w:w="285" w:type="pct"/>
            <w:noWrap w:val="0"/>
            <w:vAlign w:val="center"/>
          </w:tcPr>
          <w:p w14:paraId="6E5B95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color w:val="auto"/>
                <w:kern w:val="2"/>
                <w:sz w:val="21"/>
                <w:szCs w:val="21"/>
                <w:highlight w:val="none"/>
                <w:vertAlign w:val="baseline"/>
                <w:lang w:val="en-US" w:eastAsia="zh-CN" w:bidi="ar-SA"/>
              </w:rPr>
              <w:t>50</w:t>
            </w:r>
          </w:p>
        </w:tc>
        <w:tc>
          <w:tcPr>
            <w:tcW w:w="285" w:type="pct"/>
            <w:noWrap w:val="0"/>
            <w:vAlign w:val="center"/>
          </w:tcPr>
          <w:p w14:paraId="4E6662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46</w:t>
            </w:r>
          </w:p>
        </w:tc>
        <w:tc>
          <w:tcPr>
            <w:tcW w:w="271" w:type="pct"/>
            <w:vMerge w:val="continue"/>
            <w:noWrap w:val="0"/>
            <w:vAlign w:val="center"/>
          </w:tcPr>
          <w:p w14:paraId="1A5EF1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p>
        </w:tc>
        <w:tc>
          <w:tcPr>
            <w:tcW w:w="270" w:type="pct"/>
            <w:vMerge w:val="continue"/>
            <w:noWrap w:val="0"/>
            <w:vAlign w:val="center"/>
          </w:tcPr>
          <w:p w14:paraId="6579C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21AAF0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w:t>
            </w:r>
          </w:p>
        </w:tc>
        <w:tc>
          <w:tcPr>
            <w:tcW w:w="317" w:type="pct"/>
            <w:noWrap w:val="0"/>
            <w:vAlign w:val="center"/>
          </w:tcPr>
          <w:p w14:paraId="75A52C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w:t>
            </w:r>
          </w:p>
        </w:tc>
      </w:tr>
      <w:tr w14:paraId="49EFD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67" w:type="pct"/>
            <w:vMerge w:val="continue"/>
            <w:noWrap w:val="0"/>
            <w:vAlign w:val="center"/>
          </w:tcPr>
          <w:p w14:paraId="2902C2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428234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多台设备叠加值</w:t>
            </w:r>
          </w:p>
        </w:tc>
        <w:tc>
          <w:tcPr>
            <w:tcW w:w="285" w:type="pct"/>
            <w:noWrap w:val="0"/>
            <w:vAlign w:val="center"/>
          </w:tcPr>
          <w:p w14:paraId="257B5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16"/>
                <w:highlight w:val="none"/>
                <w:vertAlign w:val="baseline"/>
                <w:lang w:val="en-US" w:eastAsia="zh-CN"/>
              </w:rPr>
            </w:pPr>
            <w:r>
              <w:rPr>
                <w:rFonts w:hint="eastAsia" w:ascii="宋体" w:hAnsi="宋体" w:eastAsia="宋体" w:cs="宋体"/>
                <w:color w:val="auto"/>
                <w:sz w:val="21"/>
                <w:szCs w:val="16"/>
                <w:highlight w:val="none"/>
                <w:vertAlign w:val="baseline"/>
                <w:lang w:val="en-US" w:eastAsia="zh-CN"/>
              </w:rPr>
              <w:t>94.67</w:t>
            </w:r>
          </w:p>
        </w:tc>
        <w:tc>
          <w:tcPr>
            <w:tcW w:w="285" w:type="pct"/>
            <w:noWrap w:val="0"/>
            <w:vAlign w:val="center"/>
          </w:tcPr>
          <w:p w14:paraId="023ED4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89</w:t>
            </w:r>
          </w:p>
        </w:tc>
        <w:tc>
          <w:tcPr>
            <w:tcW w:w="285" w:type="pct"/>
            <w:noWrap w:val="0"/>
            <w:vAlign w:val="center"/>
          </w:tcPr>
          <w:p w14:paraId="159BD9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79</w:t>
            </w:r>
          </w:p>
        </w:tc>
        <w:tc>
          <w:tcPr>
            <w:tcW w:w="285" w:type="pct"/>
            <w:noWrap w:val="0"/>
            <w:vAlign w:val="center"/>
          </w:tcPr>
          <w:p w14:paraId="2F6994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75</w:t>
            </w:r>
          </w:p>
        </w:tc>
        <w:tc>
          <w:tcPr>
            <w:tcW w:w="285" w:type="pct"/>
            <w:noWrap w:val="0"/>
            <w:vAlign w:val="center"/>
          </w:tcPr>
          <w:p w14:paraId="68E73A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72</w:t>
            </w:r>
          </w:p>
        </w:tc>
        <w:tc>
          <w:tcPr>
            <w:tcW w:w="285" w:type="pct"/>
            <w:noWrap w:val="0"/>
            <w:vAlign w:val="center"/>
          </w:tcPr>
          <w:p w14:paraId="4C6211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70</w:t>
            </w:r>
          </w:p>
        </w:tc>
        <w:tc>
          <w:tcPr>
            <w:tcW w:w="285" w:type="pct"/>
            <w:noWrap w:val="0"/>
            <w:vAlign w:val="center"/>
          </w:tcPr>
          <w:p w14:paraId="69D98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69</w:t>
            </w:r>
          </w:p>
        </w:tc>
        <w:tc>
          <w:tcPr>
            <w:tcW w:w="285" w:type="pct"/>
            <w:noWrap w:val="0"/>
            <w:vAlign w:val="center"/>
          </w:tcPr>
          <w:p w14:paraId="4B77A2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63</w:t>
            </w:r>
          </w:p>
        </w:tc>
        <w:tc>
          <w:tcPr>
            <w:tcW w:w="285" w:type="pct"/>
            <w:noWrap w:val="0"/>
            <w:vAlign w:val="center"/>
          </w:tcPr>
          <w:p w14:paraId="6BBAD4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59</w:t>
            </w:r>
          </w:p>
        </w:tc>
        <w:tc>
          <w:tcPr>
            <w:tcW w:w="271" w:type="pct"/>
            <w:vMerge w:val="continue"/>
            <w:noWrap w:val="0"/>
            <w:vAlign w:val="center"/>
          </w:tcPr>
          <w:p w14:paraId="70CC6F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p>
        </w:tc>
        <w:tc>
          <w:tcPr>
            <w:tcW w:w="270" w:type="pct"/>
            <w:vMerge w:val="continue"/>
            <w:noWrap w:val="0"/>
            <w:vAlign w:val="center"/>
          </w:tcPr>
          <w:p w14:paraId="72CAB3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7801C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90</w:t>
            </w:r>
          </w:p>
        </w:tc>
        <w:tc>
          <w:tcPr>
            <w:tcW w:w="317" w:type="pct"/>
            <w:noWrap w:val="0"/>
            <w:vAlign w:val="center"/>
          </w:tcPr>
          <w:p w14:paraId="4E5D14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r>
      <w:tr w14:paraId="5EBB4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67" w:type="pct"/>
            <w:vMerge w:val="continue"/>
            <w:noWrap w:val="0"/>
            <w:vAlign w:val="center"/>
          </w:tcPr>
          <w:p w14:paraId="78395B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986" w:type="pct"/>
            <w:noWrap w:val="0"/>
            <w:vAlign w:val="center"/>
          </w:tcPr>
          <w:p w14:paraId="104B1C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i w:val="0"/>
                <w:iCs w:val="0"/>
                <w:color w:val="auto"/>
                <w:spacing w:val="0"/>
                <w:sz w:val="21"/>
                <w:szCs w:val="21"/>
                <w:highlight w:val="none"/>
                <w:u w:val="none"/>
                <w:lang w:val="en-US" w:eastAsia="zh-CN"/>
              </w:rPr>
              <w:t>叠加后降噪噪声值</w:t>
            </w:r>
          </w:p>
        </w:tc>
        <w:tc>
          <w:tcPr>
            <w:tcW w:w="285" w:type="pct"/>
            <w:noWrap w:val="0"/>
            <w:vAlign w:val="center"/>
          </w:tcPr>
          <w:p w14:paraId="776AA2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16"/>
                <w:highlight w:val="none"/>
                <w:vertAlign w:val="baseline"/>
                <w:lang w:val="en-US" w:eastAsia="zh-CN"/>
              </w:rPr>
            </w:pPr>
            <w:r>
              <w:rPr>
                <w:rFonts w:hint="eastAsia" w:ascii="宋体" w:hAnsi="宋体" w:eastAsia="宋体" w:cs="宋体"/>
                <w:color w:val="auto"/>
                <w:sz w:val="21"/>
                <w:szCs w:val="16"/>
                <w:highlight w:val="none"/>
                <w:vertAlign w:val="baseline"/>
                <w:lang w:val="en-US" w:eastAsia="zh-CN"/>
              </w:rPr>
              <w:t>74.67</w:t>
            </w:r>
          </w:p>
        </w:tc>
        <w:tc>
          <w:tcPr>
            <w:tcW w:w="285" w:type="pct"/>
            <w:noWrap w:val="0"/>
            <w:vAlign w:val="center"/>
          </w:tcPr>
          <w:p w14:paraId="57DE01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69</w:t>
            </w:r>
          </w:p>
        </w:tc>
        <w:tc>
          <w:tcPr>
            <w:tcW w:w="285" w:type="pct"/>
            <w:noWrap w:val="0"/>
            <w:vAlign w:val="center"/>
          </w:tcPr>
          <w:p w14:paraId="0FF399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59</w:t>
            </w:r>
          </w:p>
        </w:tc>
        <w:tc>
          <w:tcPr>
            <w:tcW w:w="285" w:type="pct"/>
            <w:noWrap w:val="0"/>
            <w:vAlign w:val="center"/>
          </w:tcPr>
          <w:p w14:paraId="623A5B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55</w:t>
            </w:r>
          </w:p>
        </w:tc>
        <w:tc>
          <w:tcPr>
            <w:tcW w:w="285" w:type="pct"/>
            <w:noWrap w:val="0"/>
            <w:vAlign w:val="center"/>
          </w:tcPr>
          <w:p w14:paraId="472B11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52</w:t>
            </w:r>
          </w:p>
        </w:tc>
        <w:tc>
          <w:tcPr>
            <w:tcW w:w="285" w:type="pct"/>
            <w:noWrap w:val="0"/>
            <w:vAlign w:val="center"/>
          </w:tcPr>
          <w:p w14:paraId="0AEEF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50</w:t>
            </w:r>
          </w:p>
        </w:tc>
        <w:tc>
          <w:tcPr>
            <w:tcW w:w="285" w:type="pct"/>
            <w:noWrap w:val="0"/>
            <w:vAlign w:val="center"/>
          </w:tcPr>
          <w:p w14:paraId="5E884B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49</w:t>
            </w:r>
          </w:p>
        </w:tc>
        <w:tc>
          <w:tcPr>
            <w:tcW w:w="285" w:type="pct"/>
            <w:noWrap w:val="0"/>
            <w:vAlign w:val="center"/>
          </w:tcPr>
          <w:p w14:paraId="0F6134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43</w:t>
            </w:r>
          </w:p>
        </w:tc>
        <w:tc>
          <w:tcPr>
            <w:tcW w:w="285" w:type="pct"/>
            <w:noWrap w:val="0"/>
            <w:vAlign w:val="center"/>
          </w:tcPr>
          <w:p w14:paraId="37DA75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39</w:t>
            </w:r>
          </w:p>
        </w:tc>
        <w:tc>
          <w:tcPr>
            <w:tcW w:w="271" w:type="pct"/>
            <w:vMerge w:val="continue"/>
            <w:noWrap w:val="0"/>
            <w:vAlign w:val="center"/>
          </w:tcPr>
          <w:p w14:paraId="045515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p>
        </w:tc>
        <w:tc>
          <w:tcPr>
            <w:tcW w:w="270" w:type="pct"/>
            <w:vMerge w:val="continue"/>
            <w:noWrap w:val="0"/>
            <w:vAlign w:val="center"/>
          </w:tcPr>
          <w:p w14:paraId="595080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19" w:type="pct"/>
            <w:noWrap w:val="0"/>
            <w:vAlign w:val="center"/>
          </w:tcPr>
          <w:p w14:paraId="0FC96A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w:t>
            </w:r>
          </w:p>
        </w:tc>
        <w:tc>
          <w:tcPr>
            <w:tcW w:w="317" w:type="pct"/>
            <w:noWrap w:val="0"/>
            <w:vAlign w:val="center"/>
          </w:tcPr>
          <w:p w14:paraId="78CC78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w:t>
            </w:r>
          </w:p>
        </w:tc>
      </w:tr>
    </w:tbl>
    <w:p w14:paraId="60616C73">
      <w:pPr>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bCs/>
          <w:color w:val="auto"/>
          <w:spacing w:val="0"/>
          <w:sz w:val="24"/>
          <w:highlight w:val="none"/>
          <w:lang w:val="en-US"/>
        </w:rPr>
        <w:t>由上表能够得知，在单台机械设备未设置隔声屏障的情况下，其昼间噪声于</w:t>
      </w:r>
      <w:r>
        <w:rPr>
          <w:rFonts w:hint="eastAsia" w:ascii="宋体" w:hAnsi="宋体" w:eastAsia="宋体" w:cs="宋体"/>
          <w:bCs/>
          <w:color w:val="auto"/>
          <w:spacing w:val="0"/>
          <w:sz w:val="24"/>
          <w:highlight w:val="none"/>
          <w:lang w:val="en-US" w:eastAsia="zh-CN"/>
        </w:rPr>
        <w:t>50</w:t>
      </w:r>
      <w:r>
        <w:rPr>
          <w:rFonts w:hint="eastAsia" w:ascii="宋体" w:hAnsi="宋体" w:eastAsia="宋体" w:cs="宋体"/>
          <w:bCs/>
          <w:color w:val="auto"/>
          <w:spacing w:val="0"/>
          <w:sz w:val="24"/>
          <w:highlight w:val="none"/>
          <w:lang w:val="en-US"/>
        </w:rPr>
        <w:t>米</w:t>
      </w:r>
      <w:r>
        <w:rPr>
          <w:rFonts w:hint="eastAsia" w:ascii="宋体" w:hAnsi="宋体" w:eastAsia="宋体" w:cs="宋体"/>
          <w:bCs/>
          <w:color w:val="auto"/>
          <w:spacing w:val="0"/>
          <w:sz w:val="24"/>
          <w:highlight w:val="none"/>
          <w:lang w:val="en-US" w:eastAsia="zh-CN"/>
        </w:rPr>
        <w:t>处能</w:t>
      </w:r>
      <w:r>
        <w:rPr>
          <w:rFonts w:hint="eastAsia" w:ascii="宋体" w:hAnsi="宋体" w:eastAsia="宋体" w:cs="宋体"/>
          <w:bCs/>
          <w:color w:val="auto"/>
          <w:spacing w:val="0"/>
          <w:sz w:val="24"/>
          <w:highlight w:val="none"/>
          <w:lang w:val="en-US"/>
        </w:rPr>
        <w:t>够达到《建筑施工场界环境噪声排放标准》（GB12523-2011）所规定的标准限值；而夜间则需在</w:t>
      </w:r>
      <w:r>
        <w:rPr>
          <w:rFonts w:hint="eastAsia" w:ascii="宋体" w:hAnsi="宋体" w:eastAsia="宋体" w:cs="宋体"/>
          <w:bCs/>
          <w:color w:val="auto"/>
          <w:spacing w:val="0"/>
          <w:sz w:val="24"/>
          <w:highlight w:val="none"/>
          <w:lang w:val="en-US" w:eastAsia="zh-CN"/>
        </w:rPr>
        <w:t>3</w:t>
      </w:r>
      <w:r>
        <w:rPr>
          <w:rFonts w:hint="eastAsia" w:ascii="宋体" w:hAnsi="宋体" w:eastAsia="宋体" w:cs="宋体"/>
          <w:bCs/>
          <w:color w:val="auto"/>
          <w:spacing w:val="0"/>
          <w:sz w:val="24"/>
          <w:highlight w:val="none"/>
          <w:lang w:val="en-US"/>
        </w:rPr>
        <w:t>00米处才能够满足该标准（GB12523-2011）的标准限值要求。</w:t>
      </w:r>
      <w:r>
        <w:rPr>
          <w:rFonts w:hint="eastAsia" w:ascii="宋体" w:hAnsi="宋体" w:eastAsia="宋体" w:cs="宋体"/>
          <w:bCs/>
          <w:color w:val="auto"/>
          <w:spacing w:val="0"/>
          <w:sz w:val="24"/>
          <w:highlight w:val="none"/>
        </w:rPr>
        <w:t>施工现场往往是多种施工机械同时进行作业，</w:t>
      </w:r>
      <w:r>
        <w:rPr>
          <w:rFonts w:hint="eastAsia" w:ascii="宋体" w:hAnsi="宋体" w:eastAsia="宋体" w:cs="宋体"/>
          <w:bCs/>
          <w:color w:val="auto"/>
          <w:spacing w:val="0"/>
          <w:sz w:val="24"/>
          <w:highlight w:val="none"/>
          <w:lang w:val="en-US" w:eastAsia="zh-CN"/>
        </w:rPr>
        <w:t>在多台设备施工作业时，未设置隔声屏障的情况下，昼间噪声于90m外才能够</w:t>
      </w:r>
      <w:r>
        <w:rPr>
          <w:rFonts w:hint="eastAsia" w:ascii="宋体" w:hAnsi="宋体" w:eastAsia="宋体" w:cs="宋体"/>
          <w:bCs/>
          <w:color w:val="auto"/>
          <w:spacing w:val="0"/>
          <w:sz w:val="24"/>
          <w:highlight w:val="none"/>
          <w:lang w:val="en-US"/>
        </w:rPr>
        <w:t>《建筑施工场界环境噪声排放标准》（GB12523-2011）</w:t>
      </w:r>
      <w:r>
        <w:rPr>
          <w:rFonts w:hint="eastAsia" w:ascii="宋体" w:hAnsi="宋体" w:eastAsia="宋体" w:cs="宋体"/>
          <w:bCs/>
          <w:color w:val="auto"/>
          <w:spacing w:val="0"/>
          <w:sz w:val="24"/>
          <w:highlight w:val="none"/>
          <w:lang w:val="en-US" w:eastAsia="zh-CN"/>
        </w:rPr>
        <w:t>标准。在设置隔声屏障后，昼间</w:t>
      </w:r>
      <w:r>
        <w:rPr>
          <w:rFonts w:hint="eastAsia" w:ascii="宋体" w:hAnsi="宋体" w:eastAsia="宋体" w:cs="宋体"/>
          <w:bCs/>
          <w:color w:val="auto"/>
          <w:spacing w:val="0"/>
          <w:sz w:val="24"/>
          <w:highlight w:val="none"/>
        </w:rPr>
        <w:t>施工噪声的达标距离约</w:t>
      </w:r>
      <w:r>
        <w:rPr>
          <w:rFonts w:hint="eastAsia" w:ascii="宋体" w:hAnsi="宋体" w:eastAsia="宋体" w:cs="宋体"/>
          <w:bCs/>
          <w:color w:val="auto"/>
          <w:spacing w:val="0"/>
          <w:sz w:val="24"/>
          <w:highlight w:val="none"/>
          <w:lang w:val="en-US" w:eastAsia="zh-CN"/>
        </w:rPr>
        <w:t>10m</w:t>
      </w:r>
      <w:r>
        <w:rPr>
          <w:rFonts w:hint="eastAsia" w:ascii="宋体" w:hAnsi="宋体" w:eastAsia="宋体" w:cs="宋体"/>
          <w:bCs/>
          <w:color w:val="auto"/>
          <w:spacing w:val="0"/>
          <w:sz w:val="24"/>
          <w:highlight w:val="none"/>
        </w:rPr>
        <w:t>。</w:t>
      </w:r>
      <w:r>
        <w:rPr>
          <w:rFonts w:hint="eastAsia" w:ascii="宋体" w:hAnsi="宋体" w:eastAsia="宋体" w:cs="宋体"/>
          <w:color w:val="auto"/>
          <w:sz w:val="24"/>
          <w:szCs w:val="32"/>
          <w:highlight w:val="none"/>
          <w:lang w:val="en-US" w:eastAsia="zh-CN"/>
        </w:rPr>
        <w:t>本项目夜间不进行施工。</w:t>
      </w:r>
      <w:r>
        <w:rPr>
          <w:rFonts w:hint="eastAsia" w:ascii="宋体" w:hAnsi="宋体" w:eastAsia="宋体" w:cs="宋体"/>
          <w:color w:val="auto"/>
          <w:sz w:val="24"/>
          <w:szCs w:val="24"/>
          <w:highlight w:val="none"/>
        </w:rPr>
        <w:t>因此</w:t>
      </w:r>
      <w:r>
        <w:rPr>
          <w:rFonts w:hint="eastAsia" w:ascii="宋体" w:hAnsi="宋体" w:eastAsia="宋体" w:cs="宋体"/>
          <w:color w:val="auto"/>
          <w:sz w:val="24"/>
          <w:szCs w:val="24"/>
          <w:highlight w:val="none"/>
          <w:lang w:val="en-US" w:eastAsia="zh-CN"/>
        </w:rPr>
        <w:t>昼间施工产生噪声</w:t>
      </w:r>
      <w:r>
        <w:rPr>
          <w:rFonts w:hint="eastAsia" w:ascii="宋体" w:hAnsi="宋体" w:eastAsia="宋体" w:cs="宋体"/>
          <w:color w:val="auto"/>
          <w:sz w:val="24"/>
          <w:szCs w:val="24"/>
          <w:highlight w:val="none"/>
        </w:rPr>
        <w:t>对环境造成的影响较大。</w:t>
      </w:r>
    </w:p>
    <w:p w14:paraId="69D630D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③</w:t>
      </w:r>
      <w:r>
        <w:rPr>
          <w:rFonts w:hint="eastAsia" w:ascii="宋体" w:hAnsi="宋体" w:eastAsia="宋体" w:cs="宋体"/>
          <w:color w:val="auto"/>
          <w:sz w:val="24"/>
          <w:szCs w:val="24"/>
          <w:highlight w:val="none"/>
        </w:rPr>
        <w:t>施工机械噪声对敏感点影响预测</w:t>
      </w:r>
    </w:p>
    <w:p w14:paraId="60626A3B">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cs="宋体"/>
          <w:color w:val="auto"/>
          <w:sz w:val="24"/>
          <w:szCs w:val="24"/>
          <w:highlight w:val="lightGray"/>
          <w:lang w:val="en-US" w:eastAsia="zh-CN"/>
        </w:rPr>
        <w:t>根据评价范围，施工期评价范围为施工边界线外延200m，昼间施工200m范围内可满足标准，夜间单台器械施工则需要在200m外才能达标，因此施工期要禁止夜间施工。</w:t>
      </w:r>
      <w:r>
        <w:rPr>
          <w:rFonts w:hint="eastAsia" w:ascii="宋体" w:hAnsi="宋体" w:eastAsia="宋体" w:cs="宋体"/>
          <w:color w:val="auto"/>
          <w:sz w:val="24"/>
          <w:szCs w:val="24"/>
          <w:highlight w:val="none"/>
        </w:rPr>
        <w:t>本项目施工机械主要集中在机动车道上，距离敏感点的距离约</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rPr>
        <w:t>m，路基、路面施工中，施工机械噪声不可避免的对</w:t>
      </w:r>
      <w:r>
        <w:rPr>
          <w:rFonts w:hint="eastAsia" w:ascii="宋体" w:hAnsi="宋体" w:eastAsia="宋体" w:cs="宋体"/>
          <w:color w:val="auto"/>
          <w:sz w:val="24"/>
          <w:szCs w:val="24"/>
          <w:highlight w:val="none"/>
          <w:lang w:val="en-US" w:eastAsia="zh-CN"/>
        </w:rPr>
        <w:t>南侧</w:t>
      </w:r>
      <w:r>
        <w:rPr>
          <w:rFonts w:hint="eastAsia" w:ascii="宋体" w:hAnsi="宋体" w:eastAsia="宋体" w:cs="宋体"/>
          <w:color w:val="auto"/>
          <w:sz w:val="24"/>
          <w:szCs w:val="24"/>
          <w:highlight w:val="none"/>
        </w:rPr>
        <w:t>200m范围内敏感点产生影响，通过现场踏查可知，距离本项目施工边界最近的敏感点为</w:t>
      </w:r>
      <w:r>
        <w:rPr>
          <w:rFonts w:hint="eastAsia" w:ascii="宋体" w:hAnsi="宋体" w:eastAsia="宋体" w:cs="宋体"/>
          <w:color w:val="auto"/>
          <w:sz w:val="24"/>
          <w:szCs w:val="24"/>
          <w:highlight w:val="none"/>
          <w:lang w:val="en-US" w:eastAsia="zh-CN"/>
        </w:rPr>
        <w:t>南侧平房</w:t>
      </w:r>
      <w:r>
        <w:rPr>
          <w:rFonts w:hint="eastAsia" w:ascii="宋体" w:hAnsi="宋体" w:eastAsia="宋体" w:cs="宋体"/>
          <w:color w:val="auto"/>
          <w:sz w:val="24"/>
          <w:szCs w:val="24"/>
          <w:highlight w:val="none"/>
        </w:rPr>
        <w:t>居民，最近距离为</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rPr>
        <w:t>m。施工机械主要集中在机动车道上</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施工期敏感点噪声预测值在</w:t>
      </w:r>
      <w:r>
        <w:rPr>
          <w:rFonts w:hint="eastAsia" w:ascii="宋体" w:hAnsi="宋体" w:eastAsia="宋体" w:cs="宋体"/>
          <w:color w:val="auto"/>
          <w:sz w:val="24"/>
          <w:szCs w:val="24"/>
          <w:highlight w:val="none"/>
          <w:lang w:val="en-US" w:eastAsia="zh-CN"/>
        </w:rPr>
        <w:t>76-84</w:t>
      </w:r>
      <w:r>
        <w:rPr>
          <w:rFonts w:hint="eastAsia" w:ascii="宋体" w:hAnsi="宋体" w:eastAsia="宋体" w:cs="宋体"/>
          <w:color w:val="auto"/>
          <w:kern w:val="0"/>
          <w:sz w:val="24"/>
          <w:szCs w:val="24"/>
          <w:highlight w:val="none"/>
        </w:rPr>
        <w:t>dB（A）之间，对敏感点影响较大。</w:t>
      </w:r>
      <w:r>
        <w:rPr>
          <w:rFonts w:hint="eastAsia" w:ascii="宋体" w:hAnsi="宋体" w:eastAsia="宋体" w:cs="宋体"/>
          <w:color w:val="auto"/>
          <w:sz w:val="24"/>
          <w:szCs w:val="24"/>
          <w:highlight w:val="none"/>
        </w:rPr>
        <w:t>建议采取控制施工时间，</w:t>
      </w:r>
      <w:r>
        <w:rPr>
          <w:rFonts w:hint="eastAsia" w:ascii="宋体" w:hAnsi="宋体" w:eastAsia="宋体" w:cs="宋体"/>
          <w:color w:val="auto"/>
          <w:sz w:val="24"/>
          <w:szCs w:val="24"/>
          <w:highlight w:val="none"/>
          <w:lang w:val="en-US" w:eastAsia="zh-CN"/>
        </w:rPr>
        <w:t>严禁在休息时间和夜间施工。</w:t>
      </w:r>
      <w:r>
        <w:rPr>
          <w:rFonts w:hint="eastAsia" w:ascii="宋体" w:hAnsi="宋体" w:eastAsia="宋体" w:cs="宋体"/>
          <w:color w:val="auto"/>
          <w:sz w:val="24"/>
          <w:szCs w:val="24"/>
          <w:highlight w:val="none"/>
        </w:rPr>
        <w:t>避开居民的休息时间，</w:t>
      </w:r>
      <w:r>
        <w:rPr>
          <w:rFonts w:hint="eastAsia" w:ascii="宋体" w:hAnsi="宋体" w:eastAsia="宋体" w:cs="宋体"/>
          <w:color w:val="auto"/>
          <w:sz w:val="24"/>
          <w:szCs w:val="24"/>
          <w:highlight w:val="none"/>
          <w:lang w:val="en-US" w:eastAsia="zh-CN"/>
        </w:rPr>
        <w:t>可对敏感点居民施工处设置隔声屏障</w:t>
      </w:r>
      <w:r>
        <w:rPr>
          <w:rFonts w:hint="eastAsia" w:ascii="宋体" w:hAnsi="宋体" w:eastAsia="宋体" w:cs="宋体"/>
          <w:color w:val="auto"/>
          <w:sz w:val="24"/>
          <w:szCs w:val="24"/>
          <w:highlight w:val="none"/>
        </w:rPr>
        <w:t>，高度为</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m，尽量降低施工期噪声对其声环境的影响。</w:t>
      </w:r>
    </w:p>
    <w:p w14:paraId="640C9C7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w:t>
      </w:r>
      <w:r>
        <w:rPr>
          <w:rFonts w:hint="eastAsia" w:ascii="宋体" w:hAnsi="宋体" w:eastAsia="宋体" w:cs="宋体"/>
          <w:color w:val="auto"/>
          <w:sz w:val="24"/>
          <w:szCs w:val="24"/>
          <w:highlight w:val="none"/>
          <w:lang w:eastAsia="zh-CN"/>
        </w:rPr>
        <w:t>的</w:t>
      </w:r>
      <w:r>
        <w:rPr>
          <w:rFonts w:hint="eastAsia" w:ascii="宋体" w:hAnsi="宋体" w:eastAsia="宋体" w:cs="宋体"/>
          <w:color w:val="auto"/>
          <w:sz w:val="24"/>
          <w:szCs w:val="24"/>
          <w:highlight w:val="none"/>
        </w:rPr>
        <w:t>道路施工噪声给周边声环境造成污染也是不可避免的，但污染是短期的，施工结束后，施工噪声的影响随即消失。</w:t>
      </w:r>
    </w:p>
    <w:p w14:paraId="52976269">
      <w:pPr>
        <w:numPr>
          <w:ilvl w:val="0"/>
          <w:numId w:val="0"/>
        </w:numPr>
        <w:spacing w:before="0" w:after="0"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⑵、营运期</w:t>
      </w:r>
      <w:r>
        <w:rPr>
          <w:rFonts w:hint="eastAsia" w:ascii="宋体" w:hAnsi="宋体" w:eastAsia="宋体" w:cs="宋体"/>
          <w:color w:val="auto"/>
          <w:sz w:val="24"/>
          <w:szCs w:val="24"/>
          <w:highlight w:val="none"/>
        </w:rPr>
        <w:t>声环境质量影响</w:t>
      </w:r>
      <w:r>
        <w:rPr>
          <w:rFonts w:hint="eastAsia" w:ascii="宋体" w:hAnsi="宋体" w:eastAsia="宋体" w:cs="宋体"/>
          <w:color w:val="auto"/>
          <w:sz w:val="24"/>
          <w:szCs w:val="24"/>
          <w:highlight w:val="none"/>
          <w:lang w:val="en-US" w:eastAsia="zh-CN"/>
        </w:rPr>
        <w:t>预测与评价</w:t>
      </w:r>
    </w:p>
    <w:p w14:paraId="38DF4377">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①交通噪声预测模式</w:t>
      </w:r>
    </w:p>
    <w:p w14:paraId="7995C98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根据拟建公路特点、沿线的环境特征以及工程设计的交通量等因素，本评价采用《环境影响评价技术导则 声环境》（HJ2.4-2021）推荐的公路交通运输噪声预测模式。预测时需将各种车辆按其噪声大小分成大型车、中型车、小型车，分别预测某一类车辆的等效声级，然后把三类车辆的等效声级</w:t>
      </w:r>
      <w:r>
        <w:rPr>
          <w:rFonts w:hint="eastAsia" w:ascii="宋体" w:hAnsi="宋体" w:eastAsia="宋体" w:cs="宋体"/>
          <w:color w:val="auto"/>
          <w:sz w:val="24"/>
          <w:szCs w:val="24"/>
          <w:highlight w:val="none"/>
          <w:lang w:eastAsia="zh-CN"/>
        </w:rPr>
        <w:t>叠加</w:t>
      </w:r>
      <w:r>
        <w:rPr>
          <w:rFonts w:hint="eastAsia" w:ascii="宋体" w:hAnsi="宋体" w:eastAsia="宋体" w:cs="宋体"/>
          <w:color w:val="auto"/>
          <w:sz w:val="24"/>
          <w:szCs w:val="24"/>
          <w:highlight w:val="none"/>
        </w:rPr>
        <w:t>得到总声级。</w:t>
      </w:r>
    </w:p>
    <w:p w14:paraId="2BBDE5B9">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sz w:val="24"/>
          <w:szCs w:val="24"/>
          <w:highlight w:val="none"/>
        </w:rPr>
        <w:t>第i型车辆等效声级的预测模式：</w:t>
      </w:r>
    </w:p>
    <w:p w14:paraId="743E93C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auto"/>
        <w:rPr>
          <w:rFonts w:hint="eastAsia" w:ascii="宋体" w:hAnsi="宋体" w:eastAsia="宋体" w:cs="宋体"/>
          <w:color w:val="auto"/>
          <w:sz w:val="24"/>
          <w:szCs w:val="24"/>
          <w:highlight w:val="none"/>
        </w:rPr>
      </w:pPr>
      <m:oMathPara>
        <m:oMath>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L</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eq</m:t>
              </m:r>
              <m:ctrlPr>
                <w:rPr>
                  <w:rFonts w:hint="eastAsia" w:ascii="Cambria Math" w:hAnsi="Cambria Math" w:eastAsia="宋体" w:cs="宋体"/>
                  <w:i/>
                  <w:sz w:val="24"/>
                  <w:szCs w:val="20"/>
                  <w:highlight w:val="none"/>
                </w:rPr>
              </m:ctrlPr>
            </m:sub>
          </m:sSub>
          <m:sSub>
            <m:sSubPr>
              <m:ctrlPr>
                <w:rPr>
                  <w:rFonts w:hint="eastAsia" w:ascii="Cambria Math" w:hAnsi="Cambria Math" w:eastAsia="宋体" w:cs="宋体"/>
                  <w:i/>
                  <w:sz w:val="24"/>
                  <w:szCs w:val="20"/>
                  <w:highlight w:val="none"/>
                </w:rPr>
              </m:ctrlPr>
            </m:sSubPr>
            <m:e>
              <m:d>
                <m:dPr>
                  <m:ctrlPr>
                    <w:rPr>
                      <w:rFonts w:hint="eastAsia" w:ascii="Cambria Math" w:hAnsi="Cambria Math" w:eastAsia="宋体" w:cs="宋体"/>
                      <w:i/>
                      <w:sz w:val="24"/>
                      <w:szCs w:val="20"/>
                      <w:highlight w:val="none"/>
                    </w:rPr>
                  </m:ctrlPr>
                </m:dPr>
                <m:e>
                  <m:r>
                    <m:rPr/>
                    <w:rPr>
                      <w:rFonts w:hint="eastAsia" w:ascii="Cambria Math" w:hAnsi="Cambria Math" w:eastAsia="宋体" w:cs="宋体"/>
                      <w:sz w:val="24"/>
                      <w:szCs w:val="20"/>
                      <w:highlight w:val="none"/>
                    </w:rPr>
                    <m:t>ℎ</m:t>
                  </m:r>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i</m:t>
              </m:r>
              <m:ctrlPr>
                <w:rPr>
                  <w:rFonts w:hint="eastAsia" w:ascii="Cambria Math" w:hAnsi="Cambria Math" w:eastAsia="宋体" w:cs="宋体"/>
                  <w:i/>
                  <w:sz w:val="24"/>
                  <w:szCs w:val="20"/>
                  <w:highlight w:val="none"/>
                </w:rPr>
              </m:ctrlPr>
            </m:sub>
          </m:sSub>
          <m:r>
            <m:rPr/>
            <w:rPr>
              <w:rFonts w:hint="eastAsia" w:ascii="Cambria Math" w:hAnsi="Cambria Math" w:eastAsia="宋体" w:cs="宋体"/>
              <w:sz w:val="24"/>
              <w:szCs w:val="20"/>
              <w:highlight w:val="none"/>
            </w:rPr>
            <m:t>=</m:t>
          </m:r>
          <m:sSub>
            <m:sSubPr>
              <m:ctrlPr>
                <w:rPr>
                  <w:rFonts w:hint="eastAsia" w:ascii="Cambria Math" w:hAnsi="Cambria Math" w:eastAsia="宋体" w:cs="宋体"/>
                  <w:i/>
                  <w:sz w:val="24"/>
                  <w:szCs w:val="20"/>
                  <w:highlight w:val="none"/>
                </w:rPr>
              </m:ctrlPr>
            </m:sSubPr>
            <m:e>
              <m:d>
                <m:dPr>
                  <m:ctrlPr>
                    <w:rPr>
                      <w:rFonts w:hint="eastAsia" w:ascii="Cambria Math" w:hAnsi="Cambria Math" w:eastAsia="宋体" w:cs="宋体"/>
                      <w:i/>
                      <w:sz w:val="24"/>
                      <w:szCs w:val="20"/>
                      <w:highlight w:val="none"/>
                    </w:rPr>
                  </m:ctrlPr>
                </m:dPr>
                <m:e>
                  <m:bar>
                    <m:barPr>
                      <m:pos m:val="top"/>
                      <m:ctrlPr>
                        <w:rPr>
                          <w:rFonts w:hint="eastAsia" w:ascii="Cambria Math" w:hAnsi="Cambria Math" w:eastAsia="宋体" w:cs="宋体"/>
                          <w:i/>
                          <w:sz w:val="24"/>
                          <w:szCs w:val="20"/>
                          <w:highlight w:val="none"/>
                        </w:rPr>
                      </m:ctrlPr>
                    </m:barPr>
                    <m:e>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L</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0E</m:t>
                          </m:r>
                          <m:ctrlPr>
                            <w:rPr>
                              <w:rFonts w:hint="eastAsia" w:ascii="Cambria Math" w:hAnsi="Cambria Math" w:eastAsia="宋体" w:cs="宋体"/>
                              <w:i/>
                              <w:sz w:val="24"/>
                              <w:szCs w:val="20"/>
                              <w:highlight w:val="none"/>
                            </w:rPr>
                          </m:ctrlPr>
                        </m:sub>
                      </m:sSub>
                      <m:ctrlPr>
                        <w:rPr>
                          <w:rFonts w:hint="eastAsia" w:ascii="Cambria Math" w:hAnsi="Cambria Math" w:eastAsia="宋体" w:cs="宋体"/>
                          <w:i/>
                          <w:sz w:val="24"/>
                          <w:szCs w:val="20"/>
                          <w:highlight w:val="none"/>
                        </w:rPr>
                      </m:ctrlPr>
                    </m:e>
                  </m:bar>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i</m:t>
              </m:r>
              <m:ctrlPr>
                <w:rPr>
                  <w:rFonts w:hint="eastAsia" w:ascii="Cambria Math" w:hAnsi="Cambria Math" w:eastAsia="宋体" w:cs="宋体"/>
                  <w:i/>
                  <w:sz w:val="24"/>
                  <w:szCs w:val="20"/>
                  <w:highlight w:val="none"/>
                </w:rPr>
              </m:ctrlPr>
            </m:sub>
          </m:sSub>
          <m:r>
            <m:rPr/>
            <w:rPr>
              <w:rFonts w:hint="eastAsia" w:ascii="Cambria Math" w:hAnsi="Cambria Math" w:eastAsia="宋体" w:cs="宋体"/>
              <w:sz w:val="24"/>
              <w:szCs w:val="20"/>
              <w:highlight w:val="none"/>
            </w:rPr>
            <m:t>+10</m:t>
          </m:r>
          <m:func>
            <m:funcPr>
              <m:ctrlPr>
                <w:rPr>
                  <w:rFonts w:hint="eastAsia" w:ascii="Cambria Math" w:hAnsi="Cambria Math" w:eastAsia="宋体" w:cs="宋体"/>
                  <w:i/>
                  <w:sz w:val="24"/>
                  <w:szCs w:val="20"/>
                  <w:highlight w:val="none"/>
                </w:rPr>
              </m:ctrlPr>
            </m:funcPr>
            <m:fName>
              <m:r>
                <m:rPr/>
                <w:rPr>
                  <w:rFonts w:hint="eastAsia" w:ascii="Cambria Math" w:hAnsi="Cambria Math" w:eastAsia="宋体" w:cs="宋体"/>
                  <w:sz w:val="24"/>
                  <w:szCs w:val="20"/>
                  <w:highlight w:val="none"/>
                </w:rPr>
                <m:t>lg</m:t>
              </m:r>
              <m:ctrlPr>
                <w:rPr>
                  <w:rFonts w:hint="eastAsia" w:ascii="Cambria Math" w:hAnsi="Cambria Math" w:eastAsia="宋体" w:cs="宋体"/>
                  <w:i/>
                  <w:sz w:val="24"/>
                  <w:szCs w:val="20"/>
                  <w:highlight w:val="none"/>
                </w:rPr>
              </m:ctrlPr>
            </m:fName>
            <m:e>
              <m:d>
                <m:dPr>
                  <m:ctrlPr>
                    <w:rPr>
                      <w:rFonts w:hint="eastAsia" w:ascii="Cambria Math" w:hAnsi="Cambria Math" w:eastAsia="宋体" w:cs="宋体"/>
                      <w:i/>
                      <w:sz w:val="24"/>
                      <w:szCs w:val="20"/>
                      <w:highlight w:val="none"/>
                    </w:rPr>
                  </m:ctrlPr>
                </m:dPr>
                <m:e>
                  <m:f>
                    <m:fPr>
                      <m:ctrlPr>
                        <w:rPr>
                          <w:rFonts w:hint="eastAsia" w:ascii="Cambria Math" w:hAnsi="Cambria Math" w:eastAsia="宋体" w:cs="宋体"/>
                          <w:i/>
                          <w:sz w:val="24"/>
                          <w:szCs w:val="20"/>
                          <w:highlight w:val="none"/>
                        </w:rPr>
                      </m:ctrlPr>
                    </m:fPr>
                    <m:num>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N</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i</m:t>
                          </m:r>
                          <m:ctrlPr>
                            <w:rPr>
                              <w:rFonts w:hint="eastAsia" w:ascii="Cambria Math" w:hAnsi="Cambria Math" w:eastAsia="宋体" w:cs="宋体"/>
                              <w:i/>
                              <w:sz w:val="24"/>
                              <w:szCs w:val="20"/>
                              <w:highlight w:val="none"/>
                            </w:rPr>
                          </m:ctrlPr>
                        </m:sub>
                      </m:sSub>
                      <m:ctrlPr>
                        <w:rPr>
                          <w:rFonts w:hint="eastAsia" w:ascii="Cambria Math" w:hAnsi="Cambria Math" w:eastAsia="宋体" w:cs="宋体"/>
                          <w:i/>
                          <w:sz w:val="24"/>
                          <w:szCs w:val="20"/>
                          <w:highlight w:val="none"/>
                        </w:rPr>
                      </m:ctrlPr>
                    </m:num>
                    <m:den>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V</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i</m:t>
                          </m:r>
                          <m:ctrlPr>
                            <w:rPr>
                              <w:rFonts w:hint="eastAsia" w:ascii="Cambria Math" w:hAnsi="Cambria Math" w:eastAsia="宋体" w:cs="宋体"/>
                              <w:i/>
                              <w:sz w:val="24"/>
                              <w:szCs w:val="20"/>
                              <w:highlight w:val="none"/>
                            </w:rPr>
                          </m:ctrlPr>
                        </m:sub>
                      </m:sSub>
                      <m:r>
                        <m:rPr/>
                        <w:rPr>
                          <w:rFonts w:hint="eastAsia" w:ascii="Cambria Math" w:hAnsi="Cambria Math" w:eastAsia="宋体" w:cs="宋体"/>
                          <w:sz w:val="24"/>
                          <w:szCs w:val="20"/>
                          <w:highlight w:val="none"/>
                        </w:rPr>
                        <m:t>T</m:t>
                      </m:r>
                      <m:ctrlPr>
                        <w:rPr>
                          <w:rFonts w:hint="eastAsia" w:ascii="Cambria Math" w:hAnsi="Cambria Math" w:eastAsia="宋体" w:cs="宋体"/>
                          <w:i/>
                          <w:sz w:val="24"/>
                          <w:szCs w:val="20"/>
                          <w:highlight w:val="none"/>
                        </w:rPr>
                      </m:ctrlPr>
                    </m:den>
                  </m:f>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func>
          <m:r>
            <m:rPr/>
            <w:rPr>
              <w:rFonts w:hint="eastAsia" w:ascii="Cambria Math" w:hAnsi="Cambria Math" w:eastAsia="宋体" w:cs="宋体"/>
              <w:sz w:val="24"/>
              <w:szCs w:val="20"/>
              <w:highlight w:val="none"/>
            </w:rPr>
            <m:t>+ΔL距离+10</m:t>
          </m:r>
          <m:func>
            <m:funcPr>
              <m:ctrlPr>
                <w:rPr>
                  <w:rFonts w:hint="eastAsia" w:ascii="Cambria Math" w:hAnsi="Cambria Math" w:eastAsia="宋体" w:cs="宋体"/>
                  <w:i/>
                  <w:sz w:val="24"/>
                  <w:szCs w:val="20"/>
                  <w:highlight w:val="none"/>
                </w:rPr>
              </m:ctrlPr>
            </m:funcPr>
            <m:fName>
              <m:r>
                <m:rPr/>
                <w:rPr>
                  <w:rFonts w:hint="eastAsia" w:ascii="Cambria Math" w:hAnsi="Cambria Math" w:eastAsia="宋体" w:cs="宋体"/>
                  <w:sz w:val="24"/>
                  <w:szCs w:val="20"/>
                  <w:highlight w:val="none"/>
                </w:rPr>
                <m:t>lg</m:t>
              </m:r>
              <m:ctrlPr>
                <w:rPr>
                  <w:rFonts w:hint="eastAsia" w:ascii="Cambria Math" w:hAnsi="Cambria Math" w:eastAsia="宋体" w:cs="宋体"/>
                  <w:i/>
                  <w:sz w:val="24"/>
                  <w:szCs w:val="20"/>
                  <w:highlight w:val="none"/>
                </w:rPr>
              </m:ctrlPr>
            </m:fName>
            <m:e>
              <m:d>
                <m:dPr>
                  <m:ctrlPr>
                    <w:rPr>
                      <w:rFonts w:hint="eastAsia" w:ascii="Cambria Math" w:hAnsi="Cambria Math" w:eastAsia="宋体" w:cs="宋体"/>
                      <w:i/>
                      <w:sz w:val="24"/>
                      <w:szCs w:val="20"/>
                      <w:highlight w:val="none"/>
                    </w:rPr>
                  </m:ctrlPr>
                </m:dPr>
                <m:e>
                  <m:f>
                    <m:fPr>
                      <m:ctrlPr>
                        <w:rPr>
                          <w:rFonts w:hint="eastAsia" w:ascii="Cambria Math" w:hAnsi="Cambria Math" w:eastAsia="宋体" w:cs="宋体"/>
                          <w:i/>
                          <w:sz w:val="24"/>
                          <w:szCs w:val="20"/>
                          <w:highlight w:val="none"/>
                        </w:rPr>
                      </m:ctrlPr>
                    </m:fPr>
                    <m:num>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ψ</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1</m:t>
                          </m:r>
                          <m:ctrlPr>
                            <w:rPr>
                              <w:rFonts w:hint="eastAsia" w:ascii="Cambria Math" w:hAnsi="Cambria Math" w:eastAsia="宋体" w:cs="宋体"/>
                              <w:i/>
                              <w:sz w:val="24"/>
                              <w:szCs w:val="20"/>
                              <w:highlight w:val="none"/>
                            </w:rPr>
                          </m:ctrlPr>
                        </m:sub>
                      </m:sSub>
                      <m:r>
                        <m:rPr/>
                        <w:rPr>
                          <w:rFonts w:hint="eastAsia" w:ascii="Cambria Math" w:hAnsi="Cambria Math" w:eastAsia="宋体" w:cs="宋体"/>
                          <w:sz w:val="24"/>
                          <w:szCs w:val="20"/>
                          <w:highlight w:val="none"/>
                        </w:rPr>
                        <m:t>+</m:t>
                      </m:r>
                      <m:sSub>
                        <m:sSubPr>
                          <m:ctrlPr>
                            <w:rPr>
                              <w:rFonts w:hint="eastAsia" w:ascii="Cambria Math" w:hAnsi="Cambria Math" w:eastAsia="宋体" w:cs="宋体"/>
                              <w:i/>
                              <w:sz w:val="24"/>
                              <w:szCs w:val="20"/>
                              <w:highlight w:val="none"/>
                            </w:rPr>
                          </m:ctrlPr>
                        </m:sSubPr>
                        <m:e>
                          <m:r>
                            <m:rPr/>
                            <w:rPr>
                              <w:rFonts w:hint="eastAsia" w:ascii="Cambria Math" w:hAnsi="Cambria Math" w:eastAsia="宋体" w:cs="宋体"/>
                              <w:sz w:val="24"/>
                              <w:szCs w:val="20"/>
                              <w:highlight w:val="none"/>
                            </w:rPr>
                            <m:t>ψ</m:t>
                          </m:r>
                          <m:ctrlPr>
                            <w:rPr>
                              <w:rFonts w:hint="eastAsia" w:ascii="Cambria Math" w:hAnsi="Cambria Math" w:eastAsia="宋体" w:cs="宋体"/>
                              <w:i/>
                              <w:sz w:val="24"/>
                              <w:szCs w:val="20"/>
                              <w:highlight w:val="none"/>
                            </w:rPr>
                          </m:ctrlPr>
                        </m:e>
                        <m:sub>
                          <m:r>
                            <m:rPr/>
                            <w:rPr>
                              <w:rFonts w:hint="eastAsia" w:ascii="Cambria Math" w:hAnsi="Cambria Math" w:eastAsia="宋体" w:cs="宋体"/>
                              <w:sz w:val="24"/>
                              <w:szCs w:val="20"/>
                              <w:highlight w:val="none"/>
                            </w:rPr>
                            <m:t>2</m:t>
                          </m:r>
                          <m:ctrlPr>
                            <w:rPr>
                              <w:rFonts w:hint="eastAsia" w:ascii="Cambria Math" w:hAnsi="Cambria Math" w:eastAsia="宋体" w:cs="宋体"/>
                              <w:i/>
                              <w:sz w:val="24"/>
                              <w:szCs w:val="20"/>
                              <w:highlight w:val="none"/>
                            </w:rPr>
                          </m:ctrlPr>
                        </m:sub>
                      </m:sSub>
                      <m:ctrlPr>
                        <w:rPr>
                          <w:rFonts w:hint="eastAsia" w:ascii="Cambria Math" w:hAnsi="Cambria Math" w:eastAsia="宋体" w:cs="宋体"/>
                          <w:i/>
                          <w:sz w:val="24"/>
                          <w:szCs w:val="20"/>
                          <w:highlight w:val="none"/>
                        </w:rPr>
                      </m:ctrlPr>
                    </m:num>
                    <m:den>
                      <m:r>
                        <m:rPr/>
                        <w:rPr>
                          <w:rFonts w:hint="eastAsia" w:ascii="Cambria Math" w:hAnsi="Cambria Math" w:eastAsia="宋体" w:cs="宋体"/>
                          <w:sz w:val="24"/>
                          <w:szCs w:val="20"/>
                          <w:highlight w:val="none"/>
                        </w:rPr>
                        <m:t>π</m:t>
                      </m:r>
                      <m:ctrlPr>
                        <w:rPr>
                          <w:rFonts w:hint="eastAsia" w:ascii="Cambria Math" w:hAnsi="Cambria Math" w:eastAsia="宋体" w:cs="宋体"/>
                          <w:i/>
                          <w:sz w:val="24"/>
                          <w:szCs w:val="20"/>
                          <w:highlight w:val="none"/>
                        </w:rPr>
                      </m:ctrlPr>
                    </m:den>
                  </m:f>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func>
          <m:r>
            <m:rPr/>
            <w:rPr>
              <w:rFonts w:hint="eastAsia" w:ascii="Cambria Math" w:hAnsi="Cambria Math" w:eastAsia="宋体" w:cs="宋体"/>
              <w:sz w:val="24"/>
              <w:szCs w:val="20"/>
              <w:highlight w:val="none"/>
            </w:rPr>
            <m:t>+ΔL−16</m:t>
          </m:r>
        </m:oMath>
      </m:oMathPara>
    </w:p>
    <w:p w14:paraId="22A4BA3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r>
        <w:rPr>
          <w:rFonts w:hint="eastAsia" w:ascii="宋体" w:hAnsi="宋体" w:eastAsia="宋体" w:cs="宋体"/>
          <w:color w:val="auto"/>
          <w:position w:val="-14"/>
          <w:sz w:val="24"/>
          <w:szCs w:val="24"/>
          <w:highlight w:val="none"/>
        </w:rPr>
        <w:object>
          <v:shape id="_x0000_i1045" o:spt="75" type="#_x0000_t75" style="height:19pt;width:36.85pt;" o:ole="t" filled="f" o:preferrelative="t" stroked="f" coordsize="21600,21600">
            <v:path/>
            <v:fill on="f" focussize="0,0"/>
            <v:stroke on="f" joinstyle="miter"/>
            <v:imagedata r:id="rId137" o:title=""/>
            <o:lock v:ext="edit" aspectratio="t"/>
            <w10:wrap type="none"/>
            <w10:anchorlock/>
          </v:shape>
          <o:OLEObject Type="Embed" ProgID="Equation.3" ShapeID="_x0000_i1045" DrawAspect="Content" ObjectID="_1468075752" r:id="rId136">
            <o:LockedField>false</o:LockedField>
          </o:OLEObject>
        </w:object>
      </w:r>
      <w:r>
        <w:rPr>
          <w:rFonts w:hint="eastAsia" w:ascii="宋体" w:hAnsi="宋体" w:eastAsia="宋体" w:cs="宋体"/>
          <w:color w:val="auto"/>
          <w:sz w:val="24"/>
          <w:szCs w:val="24"/>
          <w:highlight w:val="none"/>
        </w:rPr>
        <w:t>－第i类车的小时等效声级，</w:t>
      </w:r>
      <w:bookmarkStart w:id="21" w:name="_Hlk118474969"/>
      <w:r>
        <w:rPr>
          <w:rFonts w:hint="eastAsia" w:ascii="宋体" w:hAnsi="宋体" w:eastAsia="宋体" w:cs="宋体"/>
          <w:color w:val="auto"/>
          <w:sz w:val="24"/>
          <w:szCs w:val="24"/>
          <w:highlight w:val="none"/>
        </w:rPr>
        <w:t>dB(A)；</w:t>
      </w:r>
      <w:bookmarkEnd w:id="21"/>
    </w:p>
    <w:p w14:paraId="2A7373B8">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46" o:spt="75" type="#_x0000_t75" style="height:20.15pt;width:29.95pt;" o:ole="t" filled="f" o:preferrelative="t" stroked="f" coordsize="21600,21600">
            <v:path/>
            <v:fill on="f" focussize="0,0"/>
            <v:stroke on="f" joinstyle="miter"/>
            <v:imagedata r:id="rId139" o:title=""/>
            <o:lock v:ext="edit" aspectratio="t"/>
            <w10:wrap type="none"/>
            <w10:anchorlock/>
          </v:shape>
          <o:OLEObject Type="Embed" ProgID="Equation.3" ShapeID="_x0000_i1046" DrawAspect="Content" ObjectID="_1468075753" r:id="rId138">
            <o:LockedField>false</o:LockedField>
          </o:OLEObject>
        </w:object>
      </w:r>
      <w:r>
        <w:rPr>
          <w:rFonts w:hint="eastAsia" w:ascii="宋体" w:hAnsi="宋体" w:eastAsia="宋体" w:cs="宋体"/>
          <w:color w:val="auto"/>
          <w:sz w:val="24"/>
          <w:szCs w:val="24"/>
          <w:highlight w:val="none"/>
        </w:rPr>
        <w:t xml:space="preserve">－第i类车速度为 </w:t>
      </w:r>
      <w:r>
        <w:rPr>
          <w:rFonts w:hint="eastAsia" w:ascii="宋体" w:hAnsi="宋体" w:eastAsia="宋体" w:cs="宋体"/>
          <w:i/>
          <w:color w:val="auto"/>
          <w:sz w:val="24"/>
          <w:szCs w:val="24"/>
          <w:highlight w:val="none"/>
        </w:rPr>
        <w:t>V</w:t>
      </w:r>
      <w:r>
        <w:rPr>
          <w:rFonts w:hint="eastAsia" w:ascii="宋体" w:hAnsi="宋体" w:eastAsia="宋体" w:cs="宋体"/>
          <w:i/>
          <w:color w:val="auto"/>
          <w:sz w:val="24"/>
          <w:szCs w:val="24"/>
          <w:highlight w:val="none"/>
          <w:vertAlign w:val="subscript"/>
        </w:rPr>
        <w:t>i</w:t>
      </w:r>
      <w:r>
        <w:rPr>
          <w:rFonts w:hint="eastAsia" w:ascii="宋体" w:hAnsi="宋体" w:eastAsia="宋体" w:cs="宋体"/>
          <w:color w:val="auto"/>
          <w:sz w:val="24"/>
          <w:szCs w:val="24"/>
          <w:highlight w:val="none"/>
        </w:rPr>
        <w:t>，km/h；水平距离为7.5m处的能量平均A声级，dB(A)；</w:t>
      </w:r>
    </w:p>
    <w:p w14:paraId="39509A9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47" o:spt="75" type="#_x0000_t75" style="height:19.05pt;width:15.55pt;" o:ole="t" filled="f" o:preferrelative="t" stroked="f" coordsize="21600,21600">
            <v:path/>
            <v:fill on="f" focussize="0,0"/>
            <v:stroke on="f" joinstyle="miter"/>
            <v:imagedata r:id="rId141" o:title=""/>
            <o:lock v:ext="edit" aspectratio="t"/>
            <w10:wrap type="none"/>
            <w10:anchorlock/>
          </v:shape>
          <o:OLEObject Type="Embed" ProgID="Equation.3" ShapeID="_x0000_i1047" DrawAspect="Content" ObjectID="_1468075754" r:id="rId140">
            <o:LockedField>false</o:LockedField>
          </o:OLEObject>
        </w:object>
      </w:r>
      <w:r>
        <w:rPr>
          <w:rFonts w:hint="eastAsia" w:ascii="宋体" w:hAnsi="宋体" w:eastAsia="宋体" w:cs="宋体"/>
          <w:color w:val="auto"/>
          <w:sz w:val="24"/>
          <w:szCs w:val="24"/>
          <w:highlight w:val="none"/>
        </w:rPr>
        <w:t>－昼间，夜间通过某个预测点的第i类车平均小时车流量，辆/h；</w:t>
      </w:r>
    </w:p>
    <w:p w14:paraId="3EFFBEA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r－从车道中心线到预测点的距离，m；适用于r＞7.5m的预测点的噪声预测</w:t>
      </w:r>
    </w:p>
    <w:p w14:paraId="07B29A4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48" o:spt="75" type="#_x0000_t75" style="height:19.05pt;width:12.1pt;" o:ole="t" filled="f" o:preferrelative="t" stroked="f" coordsize="21600,21600">
            <v:path/>
            <v:fill on="f" focussize="0,0"/>
            <v:stroke on="f" joinstyle="miter"/>
            <v:imagedata r:id="rId143" o:title=""/>
            <o:lock v:ext="edit" aspectratio="t"/>
            <w10:wrap type="none"/>
            <w10:anchorlock/>
          </v:shape>
          <o:OLEObject Type="Embed" ProgID="Equation.3" ShapeID="_x0000_i1048" DrawAspect="Content" ObjectID="_1468075755" r:id="rId142">
            <o:LockedField>false</o:LockedField>
          </o:OLEObject>
        </w:object>
      </w:r>
      <w:r>
        <w:rPr>
          <w:rFonts w:hint="eastAsia" w:ascii="宋体" w:hAnsi="宋体" w:eastAsia="宋体" w:cs="宋体"/>
          <w:color w:val="auto"/>
          <w:sz w:val="24"/>
          <w:szCs w:val="24"/>
          <w:highlight w:val="none"/>
        </w:rPr>
        <w:t>－第i类车的平均车速，km/h；</w:t>
      </w:r>
    </w:p>
    <w:p w14:paraId="432AA3E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iCs/>
          <w:color w:val="auto"/>
          <w:position w:val="-4"/>
          <w:sz w:val="24"/>
          <w:szCs w:val="24"/>
          <w:highlight w:val="none"/>
        </w:rPr>
      </w:pPr>
      <m:oMath>
        <m:r>
          <m:rPr>
            <m:sty m:val="p"/>
          </m:rPr>
          <w:rPr>
            <w:rFonts w:hint="eastAsia" w:ascii="Cambria Math" w:hAnsi="Cambria Math" w:eastAsia="宋体" w:cs="宋体"/>
            <w:position w:val="-4"/>
            <w:sz w:val="24"/>
            <w:szCs w:val="20"/>
            <w:highlight w:val="none"/>
          </w:rPr>
          <m:t>Δ</m:t>
        </m:r>
        <m:r>
          <m:rPr/>
          <w:rPr>
            <w:rFonts w:hint="eastAsia" w:ascii="Cambria Math" w:hAnsi="Cambria Math" w:eastAsia="宋体" w:cs="宋体"/>
            <w:position w:val="-4"/>
            <w:sz w:val="24"/>
            <w:szCs w:val="20"/>
            <w:highlight w:val="none"/>
          </w:rPr>
          <m:t>L</m:t>
        </m:r>
      </m:oMath>
      <w:r>
        <w:rPr>
          <w:rFonts w:hint="eastAsia" w:ascii="宋体" w:hAnsi="宋体" w:eastAsia="宋体" w:cs="宋体"/>
          <w:iCs/>
          <w:color w:val="auto"/>
          <w:position w:val="-4"/>
          <w:sz w:val="24"/>
          <w:szCs w:val="24"/>
          <w:highlight w:val="none"/>
          <w:vertAlign w:val="subscript"/>
        </w:rPr>
        <w:t>距离</w:t>
      </w:r>
      <w:r>
        <w:rPr>
          <w:rFonts w:hint="eastAsia" w:ascii="宋体" w:hAnsi="宋体" w:eastAsia="宋体" w:cs="宋体"/>
          <w:iCs/>
          <w:color w:val="auto"/>
          <w:position w:val="-4"/>
          <w:sz w:val="24"/>
          <w:szCs w:val="24"/>
          <w:highlight w:val="none"/>
        </w:rPr>
        <w:t>—距离衰减量，dB(A)，</w:t>
      </w:r>
    </w:p>
    <w:p w14:paraId="22027CE7">
      <w:pPr>
        <w:spacing w:line="240" w:lineRule="auto"/>
        <w:ind w:firstLine="720" w:firstLineChars="300"/>
        <w:rPr>
          <w:rFonts w:hint="eastAsia" w:ascii="宋体" w:hAnsi="宋体" w:eastAsia="宋体" w:cs="宋体"/>
          <w:iCs/>
          <w:color w:val="auto"/>
          <w:position w:val="-4"/>
          <w:sz w:val="24"/>
          <w:szCs w:val="24"/>
          <w:highlight w:val="none"/>
        </w:rPr>
      </w:pPr>
      <w:r>
        <w:rPr>
          <w:rFonts w:hint="eastAsia" w:ascii="宋体" w:hAnsi="宋体" w:eastAsia="宋体" w:cs="宋体"/>
          <w:iCs/>
          <w:color w:val="auto"/>
          <w:position w:val="-4"/>
          <w:sz w:val="24"/>
          <w:szCs w:val="24"/>
          <w:highlight w:val="none"/>
        </w:rPr>
        <w:t>小时车流量大于等于300辆/小时，△L</w:t>
      </w:r>
      <w:r>
        <w:rPr>
          <w:rFonts w:hint="eastAsia" w:ascii="宋体" w:hAnsi="宋体" w:eastAsia="宋体" w:cs="宋体"/>
          <w:iCs/>
          <w:color w:val="auto"/>
          <w:position w:val="-4"/>
          <w:sz w:val="24"/>
          <w:szCs w:val="24"/>
          <w:highlight w:val="none"/>
          <w:vertAlign w:val="subscript"/>
        </w:rPr>
        <w:t>距离</w:t>
      </w:r>
      <w:r>
        <w:rPr>
          <w:rFonts w:hint="eastAsia" w:ascii="宋体" w:hAnsi="宋体" w:eastAsia="宋体" w:cs="宋体"/>
          <w:iCs/>
          <w:color w:val="auto"/>
          <w:position w:val="-4"/>
          <w:sz w:val="24"/>
          <w:szCs w:val="24"/>
          <w:highlight w:val="none"/>
        </w:rPr>
        <w:t>=</w:t>
      </w:r>
      <m:oMath>
        <m:r>
          <m:rPr/>
          <w:rPr>
            <w:rFonts w:hint="eastAsia" w:ascii="Cambria Math" w:hAnsi="Cambria Math" w:eastAsia="宋体" w:cs="宋体"/>
            <w:sz w:val="24"/>
            <w:szCs w:val="20"/>
            <w:highlight w:val="none"/>
          </w:rPr>
          <m:t>10</m:t>
        </m:r>
        <m:func>
          <m:funcPr>
            <m:ctrlPr>
              <w:rPr>
                <w:rFonts w:hint="eastAsia" w:ascii="Cambria Math" w:hAnsi="Cambria Math" w:eastAsia="宋体" w:cs="宋体"/>
                <w:i/>
                <w:sz w:val="24"/>
                <w:szCs w:val="20"/>
                <w:highlight w:val="none"/>
              </w:rPr>
            </m:ctrlPr>
          </m:funcPr>
          <m:fName>
            <m:r>
              <m:rPr/>
              <w:rPr>
                <w:rFonts w:hint="eastAsia" w:ascii="Cambria Math" w:hAnsi="Cambria Math" w:eastAsia="宋体" w:cs="宋体"/>
                <w:sz w:val="24"/>
                <w:szCs w:val="20"/>
                <w:highlight w:val="none"/>
              </w:rPr>
              <m:t>lg</m:t>
            </m:r>
            <m:ctrlPr>
              <w:rPr>
                <w:rFonts w:hint="eastAsia" w:ascii="Cambria Math" w:hAnsi="Cambria Math" w:eastAsia="宋体" w:cs="宋体"/>
                <w:i/>
                <w:sz w:val="24"/>
                <w:szCs w:val="20"/>
                <w:highlight w:val="none"/>
              </w:rPr>
            </m:ctrlPr>
          </m:fName>
          <m:e>
            <m:d>
              <m:dPr>
                <m:ctrlPr>
                  <w:rPr>
                    <w:rFonts w:hint="eastAsia" w:ascii="Cambria Math" w:hAnsi="Cambria Math" w:eastAsia="宋体" w:cs="宋体"/>
                    <w:i/>
                    <w:sz w:val="24"/>
                    <w:szCs w:val="20"/>
                    <w:highlight w:val="none"/>
                  </w:rPr>
                </m:ctrlPr>
              </m:dPr>
              <m:e>
                <m:f>
                  <m:fPr>
                    <m:ctrlPr>
                      <w:rPr>
                        <w:rFonts w:hint="eastAsia" w:ascii="Cambria Math" w:hAnsi="Cambria Math" w:eastAsia="宋体" w:cs="宋体"/>
                        <w:i/>
                        <w:sz w:val="24"/>
                        <w:szCs w:val="20"/>
                        <w:highlight w:val="none"/>
                      </w:rPr>
                    </m:ctrlPr>
                  </m:fPr>
                  <m:num>
                    <m:r>
                      <m:rPr/>
                      <w:rPr>
                        <w:rFonts w:hint="eastAsia" w:ascii="Cambria Math" w:hAnsi="Cambria Math" w:eastAsia="宋体" w:cs="宋体"/>
                        <w:sz w:val="24"/>
                        <w:szCs w:val="20"/>
                        <w:highlight w:val="none"/>
                      </w:rPr>
                      <m:t>7.5</m:t>
                    </m:r>
                    <m:ctrlPr>
                      <w:rPr>
                        <w:rFonts w:hint="eastAsia" w:ascii="Cambria Math" w:hAnsi="Cambria Math" w:eastAsia="宋体" w:cs="宋体"/>
                        <w:i/>
                        <w:sz w:val="24"/>
                        <w:szCs w:val="20"/>
                        <w:highlight w:val="none"/>
                      </w:rPr>
                    </m:ctrlPr>
                  </m:num>
                  <m:den>
                    <m:r>
                      <m:rPr/>
                      <w:rPr>
                        <w:rFonts w:hint="eastAsia" w:ascii="Cambria Math" w:hAnsi="Cambria Math" w:eastAsia="宋体" w:cs="宋体"/>
                        <w:sz w:val="24"/>
                        <w:szCs w:val="20"/>
                        <w:highlight w:val="none"/>
                      </w:rPr>
                      <m:t>r</m:t>
                    </m:r>
                    <m:ctrlPr>
                      <w:rPr>
                        <w:rFonts w:hint="eastAsia" w:ascii="Cambria Math" w:hAnsi="Cambria Math" w:eastAsia="宋体" w:cs="宋体"/>
                        <w:i/>
                        <w:sz w:val="24"/>
                        <w:szCs w:val="20"/>
                        <w:highlight w:val="none"/>
                      </w:rPr>
                    </m:ctrlPr>
                  </m:den>
                </m:f>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func>
      </m:oMath>
    </w:p>
    <w:p w14:paraId="70D41B4D">
      <w:pPr>
        <w:spacing w:line="240" w:lineRule="auto"/>
        <w:ind w:firstLine="720" w:firstLineChars="300"/>
        <w:rPr>
          <w:rFonts w:hint="eastAsia" w:ascii="宋体" w:hAnsi="宋体" w:eastAsia="宋体" w:cs="宋体"/>
          <w:iCs/>
          <w:color w:val="auto"/>
          <w:position w:val="-4"/>
          <w:sz w:val="24"/>
          <w:szCs w:val="24"/>
          <w:highlight w:val="none"/>
        </w:rPr>
      </w:pPr>
      <w:r>
        <w:rPr>
          <w:rFonts w:hint="eastAsia" w:ascii="宋体" w:hAnsi="宋体" w:eastAsia="宋体" w:cs="宋体"/>
          <w:iCs/>
          <w:color w:val="auto"/>
          <w:position w:val="-4"/>
          <w:sz w:val="24"/>
          <w:szCs w:val="24"/>
          <w:highlight w:val="none"/>
        </w:rPr>
        <w:t>小时车流量小于300辆/小时，△L</w:t>
      </w:r>
      <w:r>
        <w:rPr>
          <w:rFonts w:hint="eastAsia" w:ascii="宋体" w:hAnsi="宋体" w:eastAsia="宋体" w:cs="宋体"/>
          <w:iCs/>
          <w:color w:val="auto"/>
          <w:position w:val="-4"/>
          <w:sz w:val="24"/>
          <w:szCs w:val="24"/>
          <w:highlight w:val="none"/>
          <w:vertAlign w:val="subscript"/>
        </w:rPr>
        <w:t>距离</w:t>
      </w:r>
      <w:r>
        <w:rPr>
          <w:rFonts w:hint="eastAsia" w:ascii="宋体" w:hAnsi="宋体" w:eastAsia="宋体" w:cs="宋体"/>
          <w:iCs/>
          <w:color w:val="auto"/>
          <w:position w:val="-4"/>
          <w:sz w:val="24"/>
          <w:szCs w:val="24"/>
          <w:highlight w:val="none"/>
        </w:rPr>
        <w:t>=</w:t>
      </w:r>
      <m:oMath>
        <m:r>
          <m:rPr/>
          <w:rPr>
            <w:rFonts w:hint="eastAsia" w:ascii="Cambria Math" w:hAnsi="Cambria Math" w:eastAsia="宋体" w:cs="宋体"/>
            <w:sz w:val="24"/>
            <w:szCs w:val="20"/>
            <w:highlight w:val="none"/>
          </w:rPr>
          <m:t>15</m:t>
        </m:r>
        <m:func>
          <m:funcPr>
            <m:ctrlPr>
              <w:rPr>
                <w:rFonts w:hint="eastAsia" w:ascii="Cambria Math" w:hAnsi="Cambria Math" w:eastAsia="宋体" w:cs="宋体"/>
                <w:i/>
                <w:sz w:val="24"/>
                <w:szCs w:val="20"/>
                <w:highlight w:val="none"/>
              </w:rPr>
            </m:ctrlPr>
          </m:funcPr>
          <m:fName>
            <m:r>
              <m:rPr/>
              <w:rPr>
                <w:rFonts w:hint="eastAsia" w:ascii="Cambria Math" w:hAnsi="Cambria Math" w:eastAsia="宋体" w:cs="宋体"/>
                <w:sz w:val="24"/>
                <w:szCs w:val="20"/>
                <w:highlight w:val="none"/>
              </w:rPr>
              <m:t>lg</m:t>
            </m:r>
            <m:ctrlPr>
              <w:rPr>
                <w:rFonts w:hint="eastAsia" w:ascii="Cambria Math" w:hAnsi="Cambria Math" w:eastAsia="宋体" w:cs="宋体"/>
                <w:i/>
                <w:sz w:val="24"/>
                <w:szCs w:val="20"/>
                <w:highlight w:val="none"/>
              </w:rPr>
            </m:ctrlPr>
          </m:fName>
          <m:e>
            <m:d>
              <m:dPr>
                <m:ctrlPr>
                  <w:rPr>
                    <w:rFonts w:hint="eastAsia" w:ascii="Cambria Math" w:hAnsi="Cambria Math" w:eastAsia="宋体" w:cs="宋体"/>
                    <w:i/>
                    <w:sz w:val="24"/>
                    <w:szCs w:val="20"/>
                    <w:highlight w:val="none"/>
                  </w:rPr>
                </m:ctrlPr>
              </m:dPr>
              <m:e>
                <m:f>
                  <m:fPr>
                    <m:ctrlPr>
                      <w:rPr>
                        <w:rFonts w:hint="eastAsia" w:ascii="Cambria Math" w:hAnsi="Cambria Math" w:eastAsia="宋体" w:cs="宋体"/>
                        <w:i/>
                        <w:sz w:val="24"/>
                        <w:szCs w:val="20"/>
                        <w:highlight w:val="none"/>
                      </w:rPr>
                    </m:ctrlPr>
                  </m:fPr>
                  <m:num>
                    <m:r>
                      <m:rPr/>
                      <w:rPr>
                        <w:rFonts w:hint="eastAsia" w:ascii="Cambria Math" w:hAnsi="Cambria Math" w:eastAsia="宋体" w:cs="宋体"/>
                        <w:sz w:val="24"/>
                        <w:szCs w:val="20"/>
                        <w:highlight w:val="none"/>
                      </w:rPr>
                      <m:t>7.5</m:t>
                    </m:r>
                    <m:ctrlPr>
                      <w:rPr>
                        <w:rFonts w:hint="eastAsia" w:ascii="Cambria Math" w:hAnsi="Cambria Math" w:eastAsia="宋体" w:cs="宋体"/>
                        <w:i/>
                        <w:sz w:val="24"/>
                        <w:szCs w:val="20"/>
                        <w:highlight w:val="none"/>
                      </w:rPr>
                    </m:ctrlPr>
                  </m:num>
                  <m:den>
                    <m:r>
                      <m:rPr/>
                      <w:rPr>
                        <w:rFonts w:hint="eastAsia" w:ascii="Cambria Math" w:hAnsi="Cambria Math" w:eastAsia="宋体" w:cs="宋体"/>
                        <w:sz w:val="24"/>
                        <w:szCs w:val="20"/>
                        <w:highlight w:val="none"/>
                      </w:rPr>
                      <m:t>r</m:t>
                    </m:r>
                    <m:ctrlPr>
                      <w:rPr>
                        <w:rFonts w:hint="eastAsia" w:ascii="Cambria Math" w:hAnsi="Cambria Math" w:eastAsia="宋体" w:cs="宋体"/>
                        <w:i/>
                        <w:sz w:val="24"/>
                        <w:szCs w:val="20"/>
                        <w:highlight w:val="none"/>
                      </w:rPr>
                    </m:ctrlPr>
                  </m:den>
                </m:f>
                <m:ctrlPr>
                  <w:rPr>
                    <w:rFonts w:hint="eastAsia" w:ascii="Cambria Math" w:hAnsi="Cambria Math" w:eastAsia="宋体" w:cs="宋体"/>
                    <w:i/>
                    <w:sz w:val="24"/>
                    <w:szCs w:val="20"/>
                    <w:highlight w:val="none"/>
                  </w:rPr>
                </m:ctrlPr>
              </m:e>
            </m:d>
            <m:ctrlPr>
              <w:rPr>
                <w:rFonts w:hint="eastAsia" w:ascii="Cambria Math" w:hAnsi="Cambria Math" w:eastAsia="宋体" w:cs="宋体"/>
                <w:i/>
                <w:sz w:val="24"/>
                <w:szCs w:val="20"/>
                <w:highlight w:val="none"/>
              </w:rPr>
            </m:ctrlPr>
          </m:e>
        </m:func>
      </m:oMath>
    </w:p>
    <w:p w14:paraId="2979D60F">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4"/>
          <w:sz w:val="24"/>
          <w:szCs w:val="24"/>
          <w:highlight w:val="none"/>
        </w:rPr>
        <w:object>
          <v:shape id="_x0000_i1049" o:spt="75" type="#_x0000_t75" style="height:12.65pt;width:11.5pt;" o:ole="t" filled="f" o:preferrelative="t" stroked="f" coordsize="21600,21600">
            <v:path/>
            <v:fill on="f" focussize="0,0"/>
            <v:stroke on="f" joinstyle="miter"/>
            <v:imagedata r:id="rId145" o:title=""/>
            <o:lock v:ext="edit" aspectratio="t"/>
            <w10:wrap type="none"/>
            <w10:anchorlock/>
          </v:shape>
          <o:OLEObject Type="Embed" ProgID="Equation.3" ShapeID="_x0000_i1049" DrawAspect="Content" ObjectID="_1468075756" r:id="rId144">
            <o:LockedField>false</o:LockedField>
          </o:OLEObject>
        </w:object>
      </w:r>
      <w:r>
        <w:rPr>
          <w:rFonts w:hint="eastAsia" w:ascii="宋体" w:hAnsi="宋体" w:eastAsia="宋体" w:cs="宋体"/>
          <w:color w:val="auto"/>
          <w:sz w:val="24"/>
          <w:szCs w:val="24"/>
          <w:highlight w:val="none"/>
        </w:rPr>
        <w:t>－计算等效声级的时间，1h；</w:t>
      </w:r>
    </w:p>
    <w:p w14:paraId="26AA781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50" o:spt="75" type="#_x0000_t75" style="height:17.3pt;width:15pt;" o:ole="t" filled="f" o:preferrelative="t" stroked="f" coordsize="21600,21600">
            <v:path/>
            <v:fill on="f" focussize="0,0"/>
            <v:stroke on="f" joinstyle="miter"/>
            <v:imagedata r:id="rId147" o:title=""/>
            <o:lock v:ext="edit" aspectratio="t"/>
            <w10:wrap type="none"/>
            <w10:anchorlock/>
          </v:shape>
          <o:OLEObject Type="Embed" ProgID="Equation.3" ShapeID="_x0000_i1050" DrawAspect="Content" ObjectID="_1468075757" r:id="rId146">
            <o:LockedField>false</o:LockedField>
          </o:OLEObject>
        </w:object>
      </w:r>
      <w:r>
        <w:rPr>
          <w:rFonts w:hint="eastAsia" w:ascii="宋体" w:hAnsi="宋体" w:eastAsia="宋体" w:cs="宋体"/>
          <w:color w:val="auto"/>
          <w:sz w:val="24"/>
          <w:szCs w:val="24"/>
          <w:highlight w:val="none"/>
        </w:rPr>
        <w:t>，</w:t>
      </w:r>
      <w:r>
        <w:rPr>
          <w:rFonts w:hint="eastAsia" w:ascii="宋体" w:hAnsi="宋体" w:eastAsia="宋体" w:cs="宋体"/>
          <w:color w:val="auto"/>
          <w:position w:val="-10"/>
          <w:sz w:val="24"/>
          <w:szCs w:val="24"/>
          <w:highlight w:val="none"/>
        </w:rPr>
        <w:object>
          <v:shape id="_x0000_i1051" o:spt="75" type="#_x0000_t75" style="height:17.3pt;width:17.3pt;" o:ole="t" filled="f" o:preferrelative="t" stroked="f" coordsize="21600,21600">
            <v:path/>
            <v:fill on="f" focussize="0,0"/>
            <v:stroke on="f" joinstyle="miter"/>
            <v:imagedata r:id="rId149" o:title=""/>
            <o:lock v:ext="edit" aspectratio="t"/>
            <w10:wrap type="none"/>
            <w10:anchorlock/>
          </v:shape>
          <o:OLEObject Type="Embed" ProgID="Equation.3" ShapeID="_x0000_i1051" DrawAspect="Content" ObjectID="_1468075758" r:id="rId148">
            <o:LockedField>false</o:LockedField>
          </o:OLEObject>
        </w:object>
      </w:r>
      <w:r>
        <w:rPr>
          <w:rFonts w:hint="eastAsia" w:ascii="宋体" w:hAnsi="宋体" w:eastAsia="宋体" w:cs="宋体"/>
          <w:color w:val="auto"/>
          <w:sz w:val="24"/>
          <w:szCs w:val="24"/>
          <w:highlight w:val="none"/>
        </w:rPr>
        <w:t>－为预测到有限长路段两端的张角（rad）；见图</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，图中A、B为路段，P为预测点。</w:t>
      </w:r>
    </w:p>
    <w:p w14:paraId="2CAD6A1D">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object>
          <v:shape id="_x0000_i1052" o:spt="75" type="#_x0000_t75" style="height:119.25pt;width:345.6pt;" o:ole="t" filled="f" o:preferrelative="t" stroked="f" coordsize="21600,21600">
            <v:path/>
            <v:fill on="f" focussize="0,0"/>
            <v:stroke on="f" joinstyle="miter"/>
            <v:imagedata r:id="rId151" o:title=""/>
            <o:lock v:ext="edit" aspectratio="t"/>
            <w10:wrap type="none"/>
            <w10:anchorlock/>
          </v:shape>
          <o:OLEObject Type="Embed" ProgID="AutoCAD.Drawing.16" ShapeID="_x0000_i1052" DrawAspect="Content" ObjectID="_1468075759" r:id="rId150">
            <o:LockedField>false</o:LockedField>
          </o:OLEObject>
        </w:object>
      </w:r>
    </w:p>
    <w:p w14:paraId="09E85396">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图</w:t>
      </w:r>
      <w:r>
        <w:rPr>
          <w:rFonts w:hint="eastAsia" w:ascii="宋体" w:hAnsi="宋体" w:eastAsia="宋体" w:cs="宋体"/>
          <w:b/>
          <w:color w:val="auto"/>
          <w:sz w:val="21"/>
          <w:szCs w:val="21"/>
          <w:highlight w:val="none"/>
          <w:lang w:val="en-US" w:eastAsia="zh-CN"/>
        </w:rPr>
        <w:t>4</w:t>
      </w:r>
      <w:r>
        <w:rPr>
          <w:rFonts w:hint="eastAsia" w:ascii="宋体" w:hAnsi="宋体" w:eastAsia="宋体" w:cs="宋体"/>
          <w:b/>
          <w:color w:val="auto"/>
          <w:sz w:val="21"/>
          <w:szCs w:val="21"/>
          <w:highlight w:val="none"/>
        </w:rPr>
        <w:t xml:space="preserve">   有限长路段张角示意图</w:t>
      </w:r>
    </w:p>
    <w:p w14:paraId="6F88D9BC">
      <w:pPr>
        <w:spacing w:line="360" w:lineRule="auto"/>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226695" cy="160655"/>
            <wp:effectExtent l="0" t="0" r="0" b="12700"/>
            <wp:docPr id="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1"/>
                    <pic:cNvPicPr>
                      <a:picLocks noChangeAspect="1"/>
                    </pic:cNvPicPr>
                  </pic:nvPicPr>
                  <pic:blipFill>
                    <a:blip r:embed="rId152"/>
                    <a:stretch>
                      <a:fillRect/>
                    </a:stretch>
                  </pic:blipFill>
                  <pic:spPr>
                    <a:xfrm>
                      <a:off x="0" y="0"/>
                      <a:ext cx="226695" cy="160655"/>
                    </a:xfrm>
                    <a:prstGeom prst="rect">
                      <a:avLst/>
                    </a:prstGeom>
                    <a:noFill/>
                    <a:ln>
                      <a:noFill/>
                    </a:ln>
                  </pic:spPr>
                </pic:pic>
              </a:graphicData>
            </a:graphic>
          </wp:inline>
        </w:drawing>
      </w:r>
      <w:r>
        <w:rPr>
          <w:rFonts w:hint="eastAsia" w:ascii="宋体" w:hAnsi="宋体" w:eastAsia="宋体" w:cs="宋体"/>
          <w:color w:val="auto"/>
          <w:sz w:val="24"/>
          <w:szCs w:val="24"/>
          <w:highlight w:val="none"/>
        </w:rPr>
        <w:t>－由其他因素引起的修正量，dB(A)，可按下式计算；</w:t>
      </w:r>
    </w:p>
    <w:p w14:paraId="1E0C098E">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1375410" cy="226695"/>
            <wp:effectExtent l="0" t="0" r="15240" b="1905"/>
            <wp:docPr id="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2"/>
                    <pic:cNvPicPr>
                      <a:picLocks noChangeAspect="1"/>
                    </pic:cNvPicPr>
                  </pic:nvPicPr>
                  <pic:blipFill>
                    <a:blip r:embed="rId153"/>
                    <a:stretch>
                      <a:fillRect/>
                    </a:stretch>
                  </pic:blipFill>
                  <pic:spPr>
                    <a:xfrm>
                      <a:off x="0" y="0"/>
                      <a:ext cx="1375410" cy="226695"/>
                    </a:xfrm>
                    <a:prstGeom prst="rect">
                      <a:avLst/>
                    </a:prstGeom>
                    <a:noFill/>
                    <a:ln>
                      <a:noFill/>
                    </a:ln>
                  </pic:spPr>
                </pic:pic>
              </a:graphicData>
            </a:graphic>
          </wp:inline>
        </w:drawing>
      </w:r>
    </w:p>
    <w:p w14:paraId="52A6B515">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53" o:spt="75" type="#_x0000_t75" style="height:19pt;width:102.55pt;" o:ole="t" filled="f" o:preferrelative="t" stroked="f" coordsize="21600,21600">
            <v:path/>
            <v:fill on="f" focussize="0,0"/>
            <v:stroke on="f" joinstyle="miter"/>
            <v:imagedata r:id="rId155" o:title=""/>
            <o:lock v:ext="edit" aspectratio="t"/>
            <w10:wrap type="none"/>
            <w10:anchorlock/>
          </v:shape>
          <o:OLEObject Type="Embed" ProgID="Equation.3" ShapeID="_x0000_i1053" DrawAspect="Content" ObjectID="_1468075760" r:id="rId154">
            <o:LockedField>false</o:LockedField>
          </o:OLEObject>
        </w:object>
      </w:r>
    </w:p>
    <w:p w14:paraId="519BA35B">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54" o:spt="75" type="#_x0000_t75" style="height:19pt;width:147.45pt;" o:ole="t" filled="f" o:preferrelative="t" stroked="f" coordsize="21600,21600">
            <v:path/>
            <v:fill on="f" focussize="0,0"/>
            <v:stroke on="f" joinstyle="miter"/>
            <v:imagedata r:id="rId157" o:title=""/>
            <o:lock v:ext="edit" aspectratio="t"/>
            <w10:wrap type="none"/>
            <w10:anchorlock/>
          </v:shape>
          <o:OLEObject Type="Embed" ProgID="Equation.3" ShapeID="_x0000_i1054" DrawAspect="Content" ObjectID="_1468075761" r:id="rId156">
            <o:LockedField>false</o:LockedField>
          </o:OLEObject>
        </w:object>
      </w:r>
    </w:p>
    <w:p w14:paraId="1802FDF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r>
        <w:rPr>
          <w:rFonts w:hint="eastAsia" w:ascii="宋体" w:hAnsi="宋体" w:eastAsia="宋体" w:cs="宋体"/>
          <w:color w:val="auto"/>
          <w:position w:val="-10"/>
          <w:sz w:val="24"/>
          <w:szCs w:val="24"/>
          <w:highlight w:val="none"/>
        </w:rPr>
        <w:object>
          <v:shape id="_x0000_i1055" o:spt="75" type="#_x0000_t75" style="height:17.3pt;width:20.15pt;" o:ole="t" filled="f" o:preferrelative="t" stroked="f" coordsize="21600,21600">
            <v:path/>
            <v:fill on="f" focussize="0,0"/>
            <v:stroke on="f" joinstyle="miter"/>
            <v:imagedata r:id="rId159" o:title=""/>
            <o:lock v:ext="edit" aspectratio="t"/>
            <w10:wrap type="none"/>
            <w10:anchorlock/>
          </v:shape>
          <o:OLEObject Type="Embed" ProgID="Equation.3" ShapeID="_x0000_i1055" DrawAspect="Content" ObjectID="_1468075762" r:id="rId158">
            <o:LockedField>false</o:LockedField>
          </o:OLEObject>
        </w:object>
      </w:r>
      <w:r>
        <w:rPr>
          <w:rFonts w:hint="eastAsia" w:ascii="宋体" w:hAnsi="宋体" w:eastAsia="宋体" w:cs="宋体"/>
          <w:color w:val="auto"/>
          <w:sz w:val="24"/>
          <w:szCs w:val="24"/>
          <w:highlight w:val="none"/>
        </w:rPr>
        <w:t>－线路因素引起的修正量，dB(A)；</w:t>
      </w:r>
    </w:p>
    <w:p w14:paraId="3E36B66B">
      <w:pPr>
        <w:spacing w:line="360" w:lineRule="auto"/>
        <w:ind w:firstLine="1260" w:firstLineChars="525"/>
        <w:rPr>
          <w:rFonts w:hint="eastAsia" w:ascii="宋体" w:hAnsi="宋体" w:eastAsia="宋体" w:cs="宋体"/>
          <w:color w:val="auto"/>
          <w:sz w:val="24"/>
          <w:szCs w:val="24"/>
          <w:highlight w:val="none"/>
        </w:rPr>
      </w:pPr>
      <w:r>
        <w:rPr>
          <w:rFonts w:hint="eastAsia" w:ascii="宋体" w:hAnsi="宋体" w:eastAsia="宋体" w:cs="宋体"/>
          <w:color w:val="auto"/>
          <w:position w:val="-14"/>
          <w:sz w:val="24"/>
          <w:szCs w:val="24"/>
          <w:highlight w:val="none"/>
        </w:rPr>
        <w:object>
          <v:shape id="_x0000_i1056" o:spt="75" type="#_x0000_t75" style="height:19pt;width:31.7pt;" o:ole="t" filled="f" o:preferrelative="t" stroked="f" coordsize="21600,21600">
            <v:path/>
            <v:fill on="f" focussize="0,0"/>
            <v:stroke on="f" joinstyle="miter"/>
            <v:imagedata r:id="rId161" o:title=""/>
            <o:lock v:ext="edit" aspectratio="t"/>
            <w10:wrap type="none"/>
            <w10:anchorlock/>
          </v:shape>
          <o:OLEObject Type="Embed" ProgID="Equation.3" ShapeID="_x0000_i1056" DrawAspect="Content" ObjectID="_1468075763" r:id="rId160">
            <o:LockedField>false</o:LockedField>
          </o:OLEObject>
        </w:object>
      </w:r>
      <w:r>
        <w:rPr>
          <w:rFonts w:hint="eastAsia" w:ascii="宋体" w:hAnsi="宋体" w:eastAsia="宋体" w:cs="宋体"/>
          <w:color w:val="auto"/>
          <w:sz w:val="24"/>
          <w:szCs w:val="24"/>
          <w:highlight w:val="none"/>
        </w:rPr>
        <w:t>－公路纵坡修正量，dB(A)；</w:t>
      </w:r>
    </w:p>
    <w:p w14:paraId="6CBC181E">
      <w:pPr>
        <w:spacing w:line="360" w:lineRule="auto"/>
        <w:ind w:firstLine="1260" w:firstLineChars="525"/>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57" o:spt="75" type="#_x0000_t75" style="height:19pt;width:31.7pt;" o:ole="t" filled="f" o:preferrelative="t" stroked="f" coordsize="21600,21600">
            <v:path/>
            <v:fill on="f" focussize="0,0"/>
            <v:stroke on="f" joinstyle="miter"/>
            <v:imagedata r:id="rId163" o:title=""/>
            <o:lock v:ext="edit" aspectratio="t"/>
            <w10:wrap type="none"/>
            <w10:anchorlock/>
          </v:shape>
          <o:OLEObject Type="Embed" ProgID="Equation.3" ShapeID="_x0000_i1057" DrawAspect="Content" ObjectID="_1468075764" r:id="rId162">
            <o:LockedField>false</o:LockedField>
          </o:OLEObject>
        </w:object>
      </w:r>
      <w:r>
        <w:rPr>
          <w:rFonts w:hint="eastAsia" w:ascii="宋体" w:hAnsi="宋体" w:eastAsia="宋体" w:cs="宋体"/>
          <w:color w:val="auto"/>
          <w:sz w:val="24"/>
          <w:szCs w:val="24"/>
          <w:highlight w:val="none"/>
        </w:rPr>
        <w:t>－公路路面材料引起的修正量，dB(A)；</w:t>
      </w:r>
    </w:p>
    <w:p w14:paraId="046DBEB1">
      <w:pPr>
        <w:spacing w:line="360" w:lineRule="auto"/>
        <w:ind w:firstLine="1260" w:firstLineChars="525"/>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58" o:spt="75" type="#_x0000_t75" style="height:17.3pt;width:21.9pt;" o:ole="t" filled="f" o:preferrelative="t" stroked="f" coordsize="21600,21600">
            <v:path/>
            <v:fill on="f" focussize="0,0"/>
            <v:stroke on="f" joinstyle="miter"/>
            <v:imagedata r:id="rId165" o:title=""/>
            <o:lock v:ext="edit" aspectratio="t"/>
            <w10:wrap type="none"/>
            <w10:anchorlock/>
          </v:shape>
          <o:OLEObject Type="Embed" ProgID="Equation.3" ShapeID="_x0000_i1058" DrawAspect="Content" ObjectID="_1468075765" r:id="rId164">
            <o:LockedField>false</o:LockedField>
          </o:OLEObject>
        </w:object>
      </w:r>
      <w:r>
        <w:rPr>
          <w:rFonts w:hint="eastAsia" w:ascii="宋体" w:hAnsi="宋体" w:eastAsia="宋体" w:cs="宋体"/>
          <w:color w:val="auto"/>
          <w:sz w:val="24"/>
          <w:szCs w:val="24"/>
          <w:highlight w:val="none"/>
        </w:rPr>
        <w:t>－声波传播途径中引起的衰减量，dB(A)；</w:t>
      </w:r>
    </w:p>
    <w:p w14:paraId="5FAA66D4">
      <w:pPr>
        <w:spacing w:line="360" w:lineRule="auto"/>
        <w:ind w:firstLine="1260" w:firstLineChars="525"/>
        <w:rPr>
          <w:rFonts w:hint="eastAsia" w:ascii="宋体" w:hAnsi="宋体" w:eastAsia="宋体" w:cs="宋体"/>
          <w:color w:val="auto"/>
          <w:sz w:val="24"/>
          <w:szCs w:val="24"/>
          <w:highlight w:val="none"/>
        </w:rPr>
      </w:pPr>
      <w:r>
        <w:rPr>
          <w:rFonts w:hint="eastAsia" w:ascii="宋体" w:hAnsi="宋体" w:eastAsia="宋体" w:cs="宋体"/>
          <w:color w:val="auto"/>
          <w:position w:val="-12"/>
          <w:sz w:val="24"/>
          <w:szCs w:val="24"/>
          <w:highlight w:val="none"/>
        </w:rPr>
        <w:object>
          <v:shape id="_x0000_i1059" o:spt="75" type="#_x0000_t75" style="height:19pt;width:21.9pt;" o:ole="t" filled="f" o:preferrelative="t" stroked="f" coordsize="21600,21600">
            <v:path/>
            <v:fill on="f" focussize="0,0"/>
            <v:stroke on="f" joinstyle="miter"/>
            <v:imagedata r:id="rId167" o:title=""/>
            <o:lock v:ext="edit" aspectratio="t"/>
            <w10:wrap type="none"/>
            <w10:anchorlock/>
          </v:shape>
          <o:OLEObject Type="Embed" ProgID="Equation.3" ShapeID="_x0000_i1059" DrawAspect="Content" ObjectID="_1468075766" r:id="rId166">
            <o:LockedField>false</o:LockedField>
          </o:OLEObject>
        </w:object>
      </w:r>
      <w:r>
        <w:rPr>
          <w:rFonts w:hint="eastAsia" w:ascii="宋体" w:hAnsi="宋体" w:eastAsia="宋体" w:cs="宋体"/>
          <w:color w:val="auto"/>
          <w:sz w:val="24"/>
          <w:szCs w:val="24"/>
          <w:highlight w:val="none"/>
        </w:rPr>
        <w:t>－由反射等引起的修正量，dB(A)。</w:t>
      </w:r>
    </w:p>
    <w:p w14:paraId="3D1DF89C">
      <w:pPr>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b</w:t>
      </w:r>
      <w:r>
        <w:rPr>
          <w:rFonts w:hint="eastAsia" w:ascii="宋体" w:hAnsi="宋体" w:eastAsia="宋体" w:cs="宋体"/>
          <w:color w:val="auto"/>
          <w:sz w:val="24"/>
          <w:szCs w:val="24"/>
          <w:highlight w:val="none"/>
        </w:rPr>
        <w:t>总车流等效声级为：</w:t>
      </w:r>
    </w:p>
    <w:p w14:paraId="68DCCD4D">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60" o:spt="75" type="#_x0000_t75" style="height:22.45pt;width:298.95pt;" o:ole="t" filled="f" o:preferrelative="t" stroked="f" coordsize="21600,21600">
            <v:path/>
            <v:fill on="f" focussize="0,0"/>
            <v:stroke on="f" joinstyle="miter"/>
            <v:imagedata r:id="rId169" o:title=""/>
            <o:lock v:ext="edit" aspectratio="t"/>
            <w10:wrap type="none"/>
            <w10:anchorlock/>
          </v:shape>
          <o:OLEObject Type="Embed" ProgID="Equation.3" ShapeID="_x0000_i1060" DrawAspect="Content" ObjectID="_1468075767" r:id="rId168">
            <o:LockedField>false</o:LockedField>
          </o:OLEObject>
        </w:object>
      </w:r>
    </w:p>
    <w:p w14:paraId="40B10D3F">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r>
        <w:rPr>
          <w:rFonts w:hint="eastAsia" w:ascii="宋体" w:hAnsi="宋体" w:eastAsia="宋体" w:cs="宋体"/>
          <w:color w:val="auto"/>
          <w:position w:val="-10"/>
          <w:sz w:val="24"/>
          <w:szCs w:val="24"/>
          <w:highlight w:val="none"/>
        </w:rPr>
        <w:object>
          <v:shape id="_x0000_i1061" o:spt="75" type="#_x0000_t75" style="height:17.3pt;width:36.85pt;" o:ole="t" filled="f" o:preferrelative="t" stroked="f" coordsize="21600,21600">
            <v:path/>
            <v:fill on="f" focussize="0,0"/>
            <v:stroke on="f" joinstyle="miter"/>
            <v:imagedata r:id="rId171" o:title=""/>
            <o:lock v:ext="edit" aspectratio="t"/>
            <w10:wrap type="none"/>
            <w10:anchorlock/>
          </v:shape>
          <o:OLEObject Type="Embed" ProgID="Equation.3" ShapeID="_x0000_i1061" DrawAspect="Content" ObjectID="_1468075768" r:id="rId170">
            <o:LockedField>false</o:LockedField>
          </o:OLEObject>
        </w:object>
      </w:r>
      <w:r>
        <w:rPr>
          <w:rFonts w:hint="eastAsia" w:ascii="宋体" w:hAnsi="宋体" w:eastAsia="宋体" w:cs="宋体"/>
          <w:color w:val="auto"/>
          <w:sz w:val="24"/>
          <w:szCs w:val="24"/>
          <w:highlight w:val="none"/>
        </w:rPr>
        <w:t>－预测点接受到交通噪声值，dB(A)；</w:t>
      </w:r>
    </w:p>
    <w:p w14:paraId="008E22BB">
      <w:pPr>
        <w:keepNext w:val="0"/>
        <w:keepLines w:val="0"/>
        <w:pageBreakBefore w:val="0"/>
        <w:widowControl w:val="0"/>
        <w:kinsoku/>
        <w:wordWrap/>
        <w:overflowPunct/>
        <w:topLinePunct w:val="0"/>
        <w:autoSpaceDE/>
        <w:autoSpaceDN/>
        <w:bidi w:val="0"/>
        <w:adjustRightInd/>
        <w:snapToGrid/>
        <w:spacing w:line="360" w:lineRule="auto"/>
        <w:ind w:left="1368" w:leftChars="570" w:firstLine="0" w:firstLineChars="0"/>
        <w:textAlignment w:val="auto"/>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62" o:spt="75" type="#_x0000_t75" style="height:17.3pt;width:48.95pt;" o:ole="t" filled="f" o:preferrelative="t" stroked="f" coordsize="21600,21600">
            <v:path/>
            <v:fill on="f" focussize="0,0"/>
            <v:stroke on="f" joinstyle="miter"/>
            <v:imagedata r:id="rId173" o:title=""/>
            <o:lock v:ext="edit" aspectratio="t"/>
            <w10:wrap type="none"/>
            <w10:anchorlock/>
          </v:shape>
          <o:OLEObject Type="Embed" ProgID="Equation.3" ShapeID="_x0000_i1062" DrawAspect="Content" ObjectID="_1468075769" r:id="rId172">
            <o:LockedField>false</o:LockedField>
          </o:OLEObject>
        </w:object>
      </w:r>
      <w:r>
        <w:rPr>
          <w:rFonts w:hint="eastAsia" w:ascii="宋体" w:hAnsi="宋体" w:eastAsia="宋体" w:cs="宋体"/>
          <w:color w:val="auto"/>
          <w:sz w:val="24"/>
          <w:szCs w:val="24"/>
          <w:highlight w:val="none"/>
        </w:rPr>
        <w:t>、</w:t>
      </w:r>
      <w:r>
        <w:rPr>
          <w:rFonts w:hint="eastAsia" w:ascii="宋体" w:hAnsi="宋体" w:eastAsia="宋体" w:cs="宋体"/>
          <w:color w:val="auto"/>
          <w:position w:val="-10"/>
          <w:sz w:val="24"/>
          <w:szCs w:val="24"/>
          <w:highlight w:val="none"/>
        </w:rPr>
        <w:object>
          <v:shape id="_x0000_i1063" o:spt="75" type="#_x0000_t75" style="height:17.3pt;width:45.5pt;" o:ole="t" filled="f" o:preferrelative="t" stroked="f" coordsize="21600,21600">
            <v:path/>
            <v:fill on="f" focussize="0,0"/>
            <v:stroke on="f" joinstyle="miter"/>
            <v:imagedata r:id="rId175" o:title=""/>
            <o:lock v:ext="edit" aspectratio="t"/>
            <w10:wrap type="none"/>
            <w10:anchorlock/>
          </v:shape>
          <o:OLEObject Type="Embed" ProgID="Equation.3" ShapeID="_x0000_i1063" DrawAspect="Content" ObjectID="_1468075770" r:id="rId174">
            <o:LockedField>false</o:LockedField>
          </o:OLEObject>
        </w:object>
      </w:r>
      <w:r>
        <w:rPr>
          <w:rFonts w:hint="eastAsia" w:ascii="宋体" w:hAnsi="宋体" w:eastAsia="宋体" w:cs="宋体"/>
          <w:color w:val="auto"/>
          <w:sz w:val="24"/>
          <w:szCs w:val="24"/>
          <w:highlight w:val="none"/>
        </w:rPr>
        <w:t>、</w:t>
      </w:r>
      <w:r>
        <w:rPr>
          <w:rFonts w:hint="eastAsia" w:ascii="宋体" w:hAnsi="宋体" w:eastAsia="宋体" w:cs="宋体"/>
          <w:color w:val="auto"/>
          <w:position w:val="-10"/>
          <w:sz w:val="24"/>
          <w:szCs w:val="24"/>
          <w:highlight w:val="none"/>
        </w:rPr>
        <w:object>
          <v:shape id="_x0000_i1064" o:spt="75" type="#_x0000_t75" style="height:17.3pt;width:47.8pt;" o:ole="t" filled="f" o:preferrelative="t" stroked="f" coordsize="21600,21600">
            <v:path/>
            <v:fill on="f" focussize="0,0"/>
            <v:stroke on="f" joinstyle="miter"/>
            <v:imagedata r:id="rId177" o:title=""/>
            <o:lock v:ext="edit" aspectratio="t"/>
            <w10:wrap type="none"/>
            <w10:anchorlock/>
          </v:shape>
          <o:OLEObject Type="Embed" ProgID="Equation.3" ShapeID="_x0000_i1064" DrawAspect="Content" ObjectID="_1468075771" r:id="rId176">
            <o:LockedField>false</o:LockedField>
          </o:OLEObject>
        </w:object>
      </w:r>
      <w:r>
        <w:rPr>
          <w:rFonts w:hint="eastAsia" w:ascii="宋体" w:hAnsi="宋体" w:eastAsia="宋体" w:cs="宋体"/>
          <w:color w:val="auto"/>
          <w:sz w:val="24"/>
          <w:szCs w:val="24"/>
          <w:highlight w:val="none"/>
        </w:rPr>
        <w:t>－分别为大、中、小型车辆预测点接受的噪声值，dB(A)；</w:t>
      </w:r>
    </w:p>
    <w:p w14:paraId="2C6C0D74">
      <w:pPr>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如某个预测点受多条线路交通噪声影响，应分别计算每条车道对该预测点的声级后，经叠加后得到贡献值。</w:t>
      </w:r>
    </w:p>
    <w:p w14:paraId="76AFF7CB">
      <w:pPr>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c</w:t>
      </w:r>
      <w:r>
        <w:rPr>
          <w:rFonts w:hint="eastAsia" w:ascii="宋体" w:hAnsi="宋体" w:eastAsia="宋体" w:cs="宋体"/>
          <w:color w:val="auto"/>
          <w:sz w:val="24"/>
          <w:szCs w:val="24"/>
          <w:highlight w:val="none"/>
        </w:rPr>
        <w:t>预测点环境噪声预测值的计算公式：</w:t>
      </w:r>
    </w:p>
    <w:p w14:paraId="3B02B660">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65" o:spt="75" type="#_x0000_t75" style="height:19pt;width:158.4pt;" o:ole="t" filled="f" o:preferrelative="t" stroked="f" coordsize="21600,21600">
            <v:path/>
            <v:fill on="f" focussize="0,0"/>
            <v:stroke on="f" joinstyle="miter"/>
            <v:imagedata r:id="rId179" o:title=""/>
            <o:lock v:ext="edit" aspectratio="t"/>
            <w10:wrap type="none"/>
            <w10:anchorlock/>
          </v:shape>
          <o:OLEObject Type="Embed" ProgID="Equation.3" ShapeID="_x0000_i1065" DrawAspect="Content" ObjectID="_1468075772" r:id="rId178">
            <o:LockedField>false</o:LockedField>
          </o:OLEObject>
        </w:object>
      </w:r>
    </w:p>
    <w:p w14:paraId="246724B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r>
        <w:rPr>
          <w:rFonts w:hint="eastAsia" w:ascii="宋体" w:hAnsi="宋体" w:eastAsia="宋体" w:cs="宋体"/>
          <w:color w:val="auto"/>
          <w:position w:val="-10"/>
          <w:sz w:val="24"/>
          <w:szCs w:val="24"/>
          <w:highlight w:val="none"/>
        </w:rPr>
        <w:object>
          <v:shape id="_x0000_i1066" o:spt="75" type="#_x0000_t75" style="height:15.55pt;width:21.9pt;" o:ole="t" filled="f" o:preferrelative="t" stroked="f" coordsize="21600,21600">
            <v:path/>
            <v:fill on="f" focussize="0,0"/>
            <v:stroke on="f" joinstyle="miter"/>
            <v:imagedata r:id="rId181" o:title=""/>
            <o:lock v:ext="edit" aspectratio="t"/>
            <w10:wrap type="none"/>
            <w10:anchorlock/>
          </v:shape>
          <o:OLEObject Type="Embed" ProgID="Equation.3" ShapeID="_x0000_i1066" DrawAspect="Content" ObjectID="_1468075773" r:id="rId180">
            <o:LockedField>false</o:LockedField>
          </o:OLEObject>
        </w:object>
      </w:r>
      <w:r>
        <w:rPr>
          <w:rFonts w:hint="eastAsia" w:ascii="宋体" w:hAnsi="宋体" w:eastAsia="宋体" w:cs="宋体"/>
          <w:color w:val="auto"/>
          <w:sz w:val="24"/>
          <w:szCs w:val="24"/>
          <w:highlight w:val="none"/>
        </w:rPr>
        <w:t>－预测点昼间或夜间的环境噪声预测值，dB(A)；</w:t>
      </w:r>
    </w:p>
    <w:p w14:paraId="50AF2279">
      <w:pPr>
        <w:spacing w:line="360" w:lineRule="auto"/>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position w:val="-10"/>
          <w:sz w:val="24"/>
          <w:szCs w:val="24"/>
          <w:highlight w:val="none"/>
        </w:rPr>
        <w:object>
          <v:shape id="_x0000_i1067" o:spt="75" type="#_x0000_t75" style="height:17.3pt;width:34pt;" o:ole="t" filled="f" o:preferrelative="t" stroked="f" coordsize="21600,21600">
            <v:path/>
            <v:fill on="f" focussize="0,0"/>
            <v:stroke on="f" joinstyle="miter"/>
            <v:imagedata r:id="rId183" o:title=""/>
            <o:lock v:ext="edit" aspectratio="t"/>
            <w10:wrap type="none"/>
            <w10:anchorlock/>
          </v:shape>
          <o:OLEObject Type="Embed" ProgID="Equation.3" ShapeID="_x0000_i1067" DrawAspect="Content" ObjectID="_1468075774" r:id="rId182">
            <o:LockedField>false</o:LockedField>
          </o:OLEObject>
        </w:object>
      </w:r>
      <w:r>
        <w:rPr>
          <w:rFonts w:hint="eastAsia" w:ascii="宋体" w:hAnsi="宋体" w:eastAsia="宋体" w:cs="宋体"/>
          <w:color w:val="auto"/>
          <w:sz w:val="24"/>
          <w:szCs w:val="24"/>
          <w:highlight w:val="none"/>
        </w:rPr>
        <w:t>－预测点的环境噪声背景值，dB(A)。</w:t>
      </w:r>
    </w:p>
    <w:p w14:paraId="421E46E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②预测模式参数的确定</w:t>
      </w:r>
    </w:p>
    <w:p w14:paraId="1F9119A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sz w:val="24"/>
          <w:szCs w:val="24"/>
          <w:highlight w:val="none"/>
        </w:rPr>
        <w:t>车型划分及交通量预测</w:t>
      </w:r>
    </w:p>
    <w:p w14:paraId="7829B440">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根据《环境影响评价技术导则-声环境》（HJ2.4-2021），车型可分为小、中、大三种车型。</w:t>
      </w:r>
    </w:p>
    <w:p w14:paraId="61BB60A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b</w:t>
      </w:r>
      <w:r>
        <w:rPr>
          <w:rFonts w:hint="eastAsia" w:ascii="宋体" w:hAnsi="宋体" w:eastAsia="宋体" w:cs="宋体"/>
          <w:color w:val="auto"/>
          <w:sz w:val="24"/>
          <w:szCs w:val="24"/>
          <w:highlight w:val="none"/>
        </w:rPr>
        <w:t>交通量及交通特性参数的确定</w:t>
      </w:r>
    </w:p>
    <w:p w14:paraId="058F4BA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各预测特征年公路交通量预测结果见表</w:t>
      </w:r>
      <w:r>
        <w:rPr>
          <w:rFonts w:hint="eastAsia" w:ascii="宋体" w:hAnsi="宋体" w:eastAsia="宋体" w:cs="宋体"/>
          <w:color w:val="auto"/>
          <w:sz w:val="24"/>
          <w:szCs w:val="24"/>
          <w:highlight w:val="none"/>
          <w:lang w:val="en-US" w:eastAsia="zh-CN"/>
        </w:rPr>
        <w:t>11</w:t>
      </w:r>
      <w:r>
        <w:rPr>
          <w:rFonts w:hint="eastAsia" w:ascii="宋体" w:hAnsi="宋体" w:eastAsia="宋体" w:cs="宋体"/>
          <w:color w:val="auto"/>
          <w:sz w:val="24"/>
          <w:szCs w:val="24"/>
          <w:highlight w:val="none"/>
        </w:rPr>
        <w:t>”。</w:t>
      </w:r>
    </w:p>
    <w:p w14:paraId="7F31B7E4">
      <w:pPr>
        <w:pStyle w:val="102"/>
        <w:numPr>
          <w:ilvl w:val="0"/>
          <w:numId w:val="0"/>
        </w:numPr>
        <w:spacing w:line="360" w:lineRule="auto"/>
        <w:ind w:left="480" w:leftChars="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kern w:val="2"/>
          <w:sz w:val="24"/>
          <w:szCs w:val="24"/>
          <w:highlight w:val="none"/>
          <w:lang w:val="en-US" w:eastAsia="zh-CN" w:bidi="ar-SA"/>
        </w:rPr>
        <w:t>运营期的车速确定</w:t>
      </w:r>
    </w:p>
    <w:p w14:paraId="216618C2">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运营期车速为40km/h。</w:t>
      </w:r>
    </w:p>
    <w:p w14:paraId="78264C34">
      <w:pPr>
        <w:pStyle w:val="102"/>
        <w:numPr>
          <w:ilvl w:val="0"/>
          <w:numId w:val="0"/>
        </w:numPr>
        <w:spacing w:line="360" w:lineRule="auto"/>
        <w:ind w:left="480" w:leftChars="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b</w:t>
      </w:r>
      <w:r>
        <w:rPr>
          <w:rFonts w:hint="eastAsia" w:ascii="宋体" w:hAnsi="宋体" w:eastAsia="宋体" w:cs="宋体"/>
          <w:color w:val="auto"/>
          <w:kern w:val="2"/>
          <w:sz w:val="24"/>
          <w:szCs w:val="24"/>
          <w:highlight w:val="none"/>
          <w:lang w:val="en-US" w:eastAsia="zh-CN" w:bidi="ar-SA"/>
        </w:rPr>
        <w:t>单车行驶辐射噪声级</w:t>
      </w:r>
    </w:p>
    <w:p w14:paraId="26B64307">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车辆在参照点（7.5m处）的平均辐射噪声级结果见表</w:t>
      </w:r>
      <w:r>
        <w:rPr>
          <w:rFonts w:hint="eastAsia" w:ascii="宋体" w:hAnsi="宋体" w:eastAsia="宋体" w:cs="宋体"/>
          <w:color w:val="auto"/>
          <w:sz w:val="24"/>
          <w:szCs w:val="24"/>
          <w:highlight w:val="none"/>
          <w:lang w:val="en-US" w:eastAsia="zh-CN"/>
        </w:rPr>
        <w:t>16</w:t>
      </w:r>
      <w:r>
        <w:rPr>
          <w:rFonts w:hint="eastAsia" w:ascii="宋体" w:hAnsi="宋体" w:eastAsia="宋体" w:cs="宋体"/>
          <w:color w:val="auto"/>
          <w:sz w:val="24"/>
          <w:szCs w:val="24"/>
          <w:highlight w:val="none"/>
        </w:rPr>
        <w:t>”。</w:t>
      </w:r>
    </w:p>
    <w:p w14:paraId="114ADE6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③修正量和衰减量的计算</w:t>
      </w:r>
    </w:p>
    <w:p w14:paraId="45B52E07">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线路因素引起的修正量（△L</w:t>
      </w:r>
      <w:r>
        <w:rPr>
          <w:rFonts w:hint="eastAsia" w:ascii="宋体" w:hAnsi="宋体" w:eastAsia="宋体" w:cs="宋体"/>
          <w:color w:val="auto"/>
          <w:sz w:val="24"/>
          <w:szCs w:val="24"/>
          <w:highlight w:val="none"/>
          <w:vertAlign w:val="subscript"/>
        </w:rPr>
        <w:t>1</w:t>
      </w:r>
      <w:r>
        <w:rPr>
          <w:rFonts w:hint="eastAsia" w:ascii="宋体" w:hAnsi="宋体" w:eastAsia="宋体" w:cs="宋体"/>
          <w:color w:val="auto"/>
          <w:sz w:val="24"/>
          <w:szCs w:val="24"/>
          <w:highlight w:val="none"/>
        </w:rPr>
        <w:t>）</w:t>
      </w:r>
    </w:p>
    <w:p w14:paraId="3436FC8F">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纵坡修正量（△L</w:t>
      </w:r>
      <w:r>
        <w:rPr>
          <w:rFonts w:hint="eastAsia" w:ascii="宋体" w:hAnsi="宋体" w:eastAsia="宋体" w:cs="宋体"/>
          <w:color w:val="auto"/>
          <w:sz w:val="24"/>
          <w:szCs w:val="24"/>
          <w:highlight w:val="none"/>
          <w:vertAlign w:val="subscript"/>
        </w:rPr>
        <w:t>坡度</w:t>
      </w:r>
      <w:r>
        <w:rPr>
          <w:rFonts w:hint="eastAsia" w:ascii="宋体" w:hAnsi="宋体" w:eastAsia="宋体" w:cs="宋体"/>
          <w:color w:val="auto"/>
          <w:sz w:val="24"/>
          <w:szCs w:val="24"/>
          <w:highlight w:val="none"/>
        </w:rPr>
        <w:t>）</w:t>
      </w:r>
    </w:p>
    <w:p w14:paraId="157CEB3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公路纵坡修正量△L</w:t>
      </w:r>
      <w:r>
        <w:rPr>
          <w:rFonts w:hint="eastAsia" w:ascii="宋体" w:hAnsi="宋体" w:eastAsia="宋体" w:cs="宋体"/>
          <w:color w:val="auto"/>
          <w:sz w:val="24"/>
          <w:szCs w:val="24"/>
          <w:highlight w:val="none"/>
          <w:vertAlign w:val="subscript"/>
        </w:rPr>
        <w:t>坡度</w:t>
      </w:r>
      <w:r>
        <w:rPr>
          <w:rFonts w:hint="eastAsia" w:ascii="宋体" w:hAnsi="宋体" w:eastAsia="宋体" w:cs="宋体"/>
          <w:color w:val="auto"/>
          <w:sz w:val="24"/>
          <w:szCs w:val="24"/>
          <w:highlight w:val="none"/>
        </w:rPr>
        <w:t>可按下式计算：</w:t>
      </w:r>
    </w:p>
    <w:p w14:paraId="628FF7B6">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大型车：△L</w:t>
      </w:r>
      <w:r>
        <w:rPr>
          <w:rFonts w:hint="eastAsia" w:ascii="宋体" w:hAnsi="宋体" w:eastAsia="宋体" w:cs="宋体"/>
          <w:color w:val="auto"/>
          <w:sz w:val="24"/>
          <w:szCs w:val="24"/>
          <w:highlight w:val="none"/>
          <w:vertAlign w:val="subscript"/>
        </w:rPr>
        <w:t>坡度</w:t>
      </w:r>
      <w:r>
        <w:rPr>
          <w:rFonts w:hint="eastAsia" w:ascii="宋体" w:hAnsi="宋体" w:eastAsia="宋体" w:cs="宋体"/>
          <w:color w:val="auto"/>
          <w:sz w:val="24"/>
          <w:szCs w:val="24"/>
          <w:highlight w:val="none"/>
        </w:rPr>
        <w:t>=98×β  dB(A)</w:t>
      </w:r>
    </w:p>
    <w:p w14:paraId="1D1D2AFE">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中型车：△L</w:t>
      </w:r>
      <w:r>
        <w:rPr>
          <w:rFonts w:hint="eastAsia" w:ascii="宋体" w:hAnsi="宋体" w:eastAsia="宋体" w:cs="宋体"/>
          <w:color w:val="auto"/>
          <w:sz w:val="24"/>
          <w:szCs w:val="24"/>
          <w:highlight w:val="none"/>
          <w:vertAlign w:val="subscript"/>
        </w:rPr>
        <w:t>坡度</w:t>
      </w:r>
      <w:r>
        <w:rPr>
          <w:rFonts w:hint="eastAsia" w:ascii="宋体" w:hAnsi="宋体" w:eastAsia="宋体" w:cs="宋体"/>
          <w:color w:val="auto"/>
          <w:sz w:val="24"/>
          <w:szCs w:val="24"/>
          <w:highlight w:val="none"/>
        </w:rPr>
        <w:t xml:space="preserve">=73×β  dB(A) </w:t>
      </w:r>
    </w:p>
    <w:p w14:paraId="60E28291">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小型车：△L</w:t>
      </w:r>
      <w:r>
        <w:rPr>
          <w:rFonts w:hint="eastAsia" w:ascii="宋体" w:hAnsi="宋体" w:eastAsia="宋体" w:cs="宋体"/>
          <w:color w:val="auto"/>
          <w:sz w:val="24"/>
          <w:szCs w:val="24"/>
          <w:highlight w:val="none"/>
          <w:vertAlign w:val="subscript"/>
        </w:rPr>
        <w:t>坡度</w:t>
      </w:r>
      <w:r>
        <w:rPr>
          <w:rFonts w:hint="eastAsia" w:ascii="宋体" w:hAnsi="宋体" w:eastAsia="宋体" w:cs="宋体"/>
          <w:color w:val="auto"/>
          <w:sz w:val="24"/>
          <w:szCs w:val="24"/>
          <w:highlight w:val="none"/>
        </w:rPr>
        <w:t>=50×β  dB(A)</w:t>
      </w:r>
    </w:p>
    <w:p w14:paraId="57DB129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式中：β—公路纵坡坡度，%。</w:t>
      </w:r>
    </w:p>
    <w:p w14:paraId="4D0552A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b</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路面修正量（△L</w:t>
      </w:r>
      <w:r>
        <w:rPr>
          <w:rFonts w:hint="eastAsia" w:ascii="宋体" w:hAnsi="宋体" w:eastAsia="宋体" w:cs="宋体"/>
          <w:color w:val="auto"/>
          <w:sz w:val="24"/>
          <w:szCs w:val="24"/>
          <w:highlight w:val="none"/>
          <w:vertAlign w:val="subscript"/>
        </w:rPr>
        <w:t>路面</w:t>
      </w:r>
      <w:r>
        <w:rPr>
          <w:rFonts w:hint="eastAsia" w:ascii="宋体" w:hAnsi="宋体" w:eastAsia="宋体" w:cs="宋体"/>
          <w:color w:val="auto"/>
          <w:sz w:val="24"/>
          <w:szCs w:val="24"/>
          <w:highlight w:val="none"/>
        </w:rPr>
        <w:t>）</w:t>
      </w:r>
    </w:p>
    <w:p w14:paraId="4A75EF2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不同路面的噪声修正量见表</w:t>
      </w:r>
      <w:r>
        <w:rPr>
          <w:rFonts w:hint="eastAsia" w:ascii="宋体" w:hAnsi="宋体" w:eastAsia="宋体" w:cs="宋体"/>
          <w:color w:val="auto"/>
          <w:sz w:val="24"/>
          <w:szCs w:val="24"/>
          <w:highlight w:val="none"/>
          <w:lang w:val="en-US" w:eastAsia="zh-CN"/>
        </w:rPr>
        <w:t>18</w:t>
      </w:r>
      <w:r>
        <w:rPr>
          <w:rFonts w:hint="eastAsia" w:ascii="宋体" w:hAnsi="宋体" w:eastAsia="宋体" w:cs="宋体"/>
          <w:color w:val="auto"/>
          <w:sz w:val="24"/>
          <w:szCs w:val="24"/>
          <w:highlight w:val="none"/>
        </w:rPr>
        <w:t>。</w:t>
      </w:r>
    </w:p>
    <w:p w14:paraId="6C077C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val="0"/>
          <w:color w:val="auto"/>
          <w:sz w:val="21"/>
          <w:szCs w:val="21"/>
          <w:highlight w:val="none"/>
        </w:rPr>
      </w:pPr>
      <w:r>
        <w:rPr>
          <w:rFonts w:hint="eastAsia" w:ascii="宋体" w:hAnsi="宋体" w:eastAsia="宋体" w:cs="宋体"/>
          <w:b/>
          <w:bCs w:val="0"/>
          <w:color w:val="auto"/>
          <w:sz w:val="21"/>
          <w:szCs w:val="21"/>
          <w:highlight w:val="none"/>
        </w:rPr>
        <w:t>表</w:t>
      </w:r>
      <w:r>
        <w:rPr>
          <w:rFonts w:hint="eastAsia" w:ascii="宋体" w:hAnsi="宋体" w:eastAsia="宋体" w:cs="宋体"/>
          <w:b/>
          <w:bCs w:val="0"/>
          <w:color w:val="auto"/>
          <w:sz w:val="21"/>
          <w:szCs w:val="21"/>
          <w:highlight w:val="none"/>
          <w:lang w:val="en-US" w:eastAsia="zh-CN"/>
        </w:rPr>
        <w:t>18</w:t>
      </w:r>
      <w:r>
        <w:rPr>
          <w:rFonts w:hint="eastAsia" w:ascii="宋体" w:hAnsi="宋体" w:eastAsia="宋体" w:cs="宋体"/>
          <w:b/>
          <w:bCs w:val="0"/>
          <w:color w:val="auto"/>
          <w:sz w:val="21"/>
          <w:szCs w:val="21"/>
          <w:highlight w:val="none"/>
        </w:rPr>
        <w:t xml:space="preserve">  常见路面噪声修正量   单位：dB(A)</w:t>
      </w:r>
    </w:p>
    <w:tbl>
      <w:tblPr>
        <w:tblStyle w:val="3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1"/>
        <w:gridCol w:w="2133"/>
        <w:gridCol w:w="2134"/>
        <w:gridCol w:w="2134"/>
      </w:tblGrid>
      <w:tr w14:paraId="35E78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vMerge w:val="restart"/>
            <w:noWrap w:val="0"/>
            <w:vAlign w:val="center"/>
          </w:tcPr>
          <w:p w14:paraId="1F1C7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路面类型</w:t>
            </w:r>
          </w:p>
        </w:tc>
        <w:tc>
          <w:tcPr>
            <w:tcW w:w="6965" w:type="dxa"/>
            <w:gridSpan w:val="3"/>
            <w:noWrap w:val="0"/>
            <w:vAlign w:val="center"/>
          </w:tcPr>
          <w:p w14:paraId="6979FB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不同行驶速度修正量km/h</w:t>
            </w:r>
          </w:p>
        </w:tc>
      </w:tr>
      <w:tr w14:paraId="254FF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vMerge w:val="continue"/>
            <w:noWrap w:val="0"/>
            <w:vAlign w:val="center"/>
          </w:tcPr>
          <w:p w14:paraId="5908A9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2321" w:type="dxa"/>
            <w:noWrap w:val="0"/>
            <w:vAlign w:val="center"/>
          </w:tcPr>
          <w:p w14:paraId="7502E2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30</w:t>
            </w:r>
          </w:p>
        </w:tc>
        <w:tc>
          <w:tcPr>
            <w:tcW w:w="2322" w:type="dxa"/>
            <w:noWrap w:val="0"/>
            <w:vAlign w:val="center"/>
          </w:tcPr>
          <w:p w14:paraId="3B867B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40</w:t>
            </w:r>
          </w:p>
        </w:tc>
        <w:tc>
          <w:tcPr>
            <w:tcW w:w="2322" w:type="dxa"/>
            <w:noWrap w:val="0"/>
            <w:vAlign w:val="center"/>
          </w:tcPr>
          <w:p w14:paraId="06E01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w:t>
            </w:r>
          </w:p>
        </w:tc>
      </w:tr>
      <w:tr w14:paraId="3AF18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noWrap w:val="0"/>
            <w:vAlign w:val="center"/>
          </w:tcPr>
          <w:p w14:paraId="3D2BE2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沥青混凝土</w:t>
            </w:r>
          </w:p>
        </w:tc>
        <w:tc>
          <w:tcPr>
            <w:tcW w:w="2321" w:type="dxa"/>
            <w:noWrap w:val="0"/>
            <w:vAlign w:val="center"/>
          </w:tcPr>
          <w:p w14:paraId="28459E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p>
        </w:tc>
        <w:tc>
          <w:tcPr>
            <w:tcW w:w="2322" w:type="dxa"/>
            <w:noWrap w:val="0"/>
            <w:vAlign w:val="center"/>
          </w:tcPr>
          <w:p w14:paraId="2BF810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p>
        </w:tc>
        <w:tc>
          <w:tcPr>
            <w:tcW w:w="2322" w:type="dxa"/>
            <w:noWrap w:val="0"/>
            <w:vAlign w:val="center"/>
          </w:tcPr>
          <w:p w14:paraId="3BB998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p>
        </w:tc>
      </w:tr>
      <w:tr w14:paraId="00A14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noWrap w:val="0"/>
            <w:vAlign w:val="center"/>
          </w:tcPr>
          <w:p w14:paraId="7C7BFD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水泥混凝土</w:t>
            </w:r>
          </w:p>
        </w:tc>
        <w:tc>
          <w:tcPr>
            <w:tcW w:w="2321" w:type="dxa"/>
            <w:noWrap w:val="0"/>
            <w:vAlign w:val="center"/>
          </w:tcPr>
          <w:p w14:paraId="0F14F2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w:t>
            </w:r>
          </w:p>
        </w:tc>
        <w:tc>
          <w:tcPr>
            <w:tcW w:w="2322" w:type="dxa"/>
            <w:noWrap w:val="0"/>
            <w:vAlign w:val="center"/>
          </w:tcPr>
          <w:p w14:paraId="6B8470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2322" w:type="dxa"/>
            <w:noWrap w:val="0"/>
            <w:vAlign w:val="center"/>
          </w:tcPr>
          <w:p w14:paraId="6854A9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w:t>
            </w:r>
          </w:p>
        </w:tc>
      </w:tr>
    </w:tbl>
    <w:p w14:paraId="62AFAB98">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注：本项目为水泥混凝土路面，车速40km/h，修正值为1.5dB（A）</w:t>
      </w:r>
    </w:p>
    <w:p w14:paraId="2C56083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c.</w:t>
      </w:r>
      <w:r>
        <w:rPr>
          <w:rFonts w:hint="eastAsia" w:ascii="宋体" w:hAnsi="宋体" w:eastAsia="宋体" w:cs="宋体"/>
          <w:color w:val="auto"/>
          <w:sz w:val="24"/>
          <w:szCs w:val="24"/>
          <w:highlight w:val="none"/>
        </w:rPr>
        <w:t>空气吸收引起的衰减（A</w:t>
      </w:r>
      <w:r>
        <w:rPr>
          <w:rFonts w:hint="eastAsia" w:ascii="宋体" w:hAnsi="宋体" w:eastAsia="宋体" w:cs="宋体"/>
          <w:color w:val="auto"/>
          <w:sz w:val="24"/>
          <w:szCs w:val="24"/>
          <w:highlight w:val="none"/>
          <w:vertAlign w:val="subscript"/>
        </w:rPr>
        <w:t>atm</w:t>
      </w:r>
      <w:r>
        <w:rPr>
          <w:rFonts w:hint="eastAsia" w:ascii="宋体" w:hAnsi="宋体" w:eastAsia="宋体" w:cs="宋体"/>
          <w:color w:val="auto"/>
          <w:sz w:val="24"/>
          <w:szCs w:val="24"/>
          <w:highlight w:val="none"/>
        </w:rPr>
        <w:t>）</w:t>
      </w:r>
    </w:p>
    <w:p w14:paraId="6D545425">
      <w:pPr>
        <w:spacing w:line="360" w:lineRule="auto"/>
        <w:ind w:firstLine="676" w:firstLineChars="28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空气吸收引起的衰减按下式计算：</w:t>
      </w:r>
    </w:p>
    <w:p w14:paraId="476C9C5B">
      <w:pPr>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mc:AlternateContent>
          <mc:Choice Requires="wps">
            <w:drawing>
              <wp:anchor distT="0" distB="0" distL="114300" distR="114300" simplePos="0" relativeHeight="251683840" behindDoc="0" locked="0" layoutInCell="1" allowOverlap="1">
                <wp:simplePos x="0" y="0"/>
                <wp:positionH relativeFrom="column">
                  <wp:posOffset>1236345</wp:posOffset>
                </wp:positionH>
                <wp:positionV relativeFrom="paragraph">
                  <wp:posOffset>38100</wp:posOffset>
                </wp:positionV>
                <wp:extent cx="762000" cy="396240"/>
                <wp:effectExtent l="0" t="0" r="0" b="0"/>
                <wp:wrapNone/>
                <wp:docPr id="329" name="文本框 329"/>
                <wp:cNvGraphicFramePr/>
                <a:graphic xmlns:a="http://schemas.openxmlformats.org/drawingml/2006/main">
                  <a:graphicData uri="http://schemas.microsoft.com/office/word/2010/wordprocessingShape">
                    <wps:wsp>
                      <wps:cNvSpPr txBox="1">
                        <a:spLocks noChangeArrowheads="1"/>
                      </wps:cNvSpPr>
                      <wps:spPr bwMode="auto">
                        <a:xfrm>
                          <a:off x="0" y="0"/>
                          <a:ext cx="762000" cy="396240"/>
                        </a:xfrm>
                        <a:prstGeom prst="rect">
                          <a:avLst/>
                        </a:prstGeom>
                        <a:noFill/>
                        <a:ln>
                          <a:noFill/>
                        </a:ln>
                        <a:effectLst/>
                      </wps:spPr>
                      <wps:txbx>
                        <w:txbxContent>
                          <w:p w14:paraId="19FA8FC6">
                            <w:pPr>
                              <w:ind w:firstLine="240" w:firstLineChars="100"/>
                            </w:pPr>
                            <w:r>
                              <w:rPr>
                                <w:rFonts w:hint="eastAsia"/>
                              </w:rPr>
                              <w:t>A</w:t>
                            </w:r>
                            <w:r>
                              <w:rPr>
                                <w:rFonts w:hint="eastAsia"/>
                                <w:vertAlign w:val="subscript"/>
                              </w:rPr>
                              <w:t>atm</w:t>
                            </w:r>
                            <w:r>
                              <w:rPr>
                                <w:rFonts w:hint="eastAsia"/>
                              </w:rPr>
                              <w:t>=</w:t>
                            </w:r>
                            <w:r>
                              <w:t xml:space="preserve"> </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7.35pt;margin-top:3pt;height:31.2pt;width:60pt;z-index:251683840;mso-width-relative:page;mso-height-relative:page;" filled="f" stroked="f" coordsize="21600,21600" o:gfxdata="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bAjGW0wAAAAgBAAAP&#10;AAAAAAAAAAEAIAAAACIAAABkcnMvZG93bnJldi54bWxQSwECFAAUAAAACACHTuJAPGkx5x0CAAAm&#10;BAAADgAAAAAAAAABACAAAAAiAQAAZHJzL2Uyb0RvYy54bWxQSwUGAAAAAAYABgBZAQAAsQUAAAAA&#10;">
                <v:fill on="f" focussize="0,0"/>
                <v:stroke on="f"/>
                <v:imagedata o:title=""/>
                <o:lock v:ext="edit" aspectratio="f"/>
                <v:textbox>
                  <w:txbxContent>
                    <w:p w14:paraId="19FA8FC6">
                      <w:pPr>
                        <w:ind w:firstLine="240" w:firstLineChars="100"/>
                      </w:pPr>
                      <w:r>
                        <w:rPr>
                          <w:rFonts w:hint="eastAsia"/>
                        </w:rPr>
                        <w:t>A</w:t>
                      </w:r>
                      <w:r>
                        <w:rPr>
                          <w:rFonts w:hint="eastAsia"/>
                          <w:vertAlign w:val="subscript"/>
                        </w:rPr>
                        <w:t>atm</w:t>
                      </w:r>
                      <w:r>
                        <w:rPr>
                          <w:rFonts w:hint="eastAsia"/>
                        </w:rPr>
                        <w:t>=</w:t>
                      </w:r>
                      <w:r>
                        <w:t xml:space="preserve"> </w:t>
                      </w:r>
                    </w:p>
                  </w:txbxContent>
                </v:textbox>
              </v:shape>
            </w:pict>
          </mc:Fallback>
        </mc:AlternateContent>
      </w:r>
      <w:r>
        <w:rPr>
          <w:rFonts w:hint="eastAsia" w:ascii="宋体" w:hAnsi="宋体" w:eastAsia="宋体" w:cs="宋体"/>
          <w:color w:val="auto"/>
          <w:sz w:val="24"/>
          <w:szCs w:val="24"/>
          <w:highlight w:val="none"/>
        </w:rPr>
        <w:t xml:space="preserve">                      a</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r-r</w:t>
      </w:r>
      <w:r>
        <w:rPr>
          <w:rFonts w:hint="eastAsia" w:ascii="宋体" w:hAnsi="宋体" w:eastAsia="宋体" w:cs="宋体"/>
          <w:color w:val="auto"/>
          <w:sz w:val="24"/>
          <w:szCs w:val="24"/>
          <w:highlight w:val="none"/>
          <w:vertAlign w:val="subscript"/>
        </w:rPr>
        <w:t>0</w:t>
      </w:r>
      <w:r>
        <w:rPr>
          <w:rFonts w:hint="eastAsia" w:ascii="宋体" w:hAnsi="宋体" w:eastAsia="宋体" w:cs="宋体"/>
          <w:color w:val="auto"/>
          <w:sz w:val="24"/>
          <w:szCs w:val="24"/>
          <w:highlight w:val="none"/>
          <w:vertAlign w:val="subscript"/>
          <w:lang w:eastAsia="zh-CN"/>
        </w:rPr>
        <w:t>)</w:t>
      </w:r>
    </w:p>
    <w:p w14:paraId="0B0DA13C">
      <w:pPr>
        <w:ind w:firstLine="2640" w:firstLineChars="11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mc:AlternateContent>
          <mc:Choice Requires="wps">
            <w:drawing>
              <wp:anchor distT="0" distB="0" distL="114300" distR="114300" simplePos="0" relativeHeight="251682816" behindDoc="0" locked="0" layoutInCell="1" allowOverlap="1">
                <wp:simplePos x="0" y="0"/>
                <wp:positionH relativeFrom="column">
                  <wp:posOffset>1828800</wp:posOffset>
                </wp:positionH>
                <wp:positionV relativeFrom="paragraph">
                  <wp:posOffset>10160</wp:posOffset>
                </wp:positionV>
                <wp:extent cx="762000" cy="0"/>
                <wp:effectExtent l="0" t="4445" r="0" b="5080"/>
                <wp:wrapNone/>
                <wp:docPr id="328" name="直接连接符 328"/>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6350">
                          <a:solidFill>
                            <a:srgbClr val="000000"/>
                          </a:solidFill>
                          <a:round/>
                        </a:ln>
                        <a:effectLst/>
                      </wps:spPr>
                      <wps:bodyPr/>
                    </wps:wsp>
                  </a:graphicData>
                </a:graphic>
              </wp:anchor>
            </w:drawing>
          </mc:Choice>
          <mc:Fallback>
            <w:pict>
              <v:line id="_x0000_s1026" o:spid="_x0000_s1026" o:spt="20" style="position:absolute;left:0pt;margin-left:144pt;margin-top:0.8pt;height:0pt;width:60pt;z-index:251682816;mso-width-relative:page;mso-height-relative:page;" filled="f" stroked="t" coordsize="21600,21600" o:gfxdata="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Dx9sytIAAAAH&#10;AQAADwAAAAAAAAABACAAAAAiAAAAZHJzL2Rvd25yZXYueG1sUEsBAhQAFAAAAAgAh07iQEHJ2mvp&#10;AQAAuwMAAA4AAAAAAAAAAQAgAAAAIQEAAGRycy9lMm9Eb2MueG1sUEsFBgAAAAAGAAYAWQEAAHwF&#10;AAAAAA==&#10;">
                <v:fill on="f" focussize="0,0"/>
                <v:stroke weight="0.5pt" color="#000000" joinstyle="round"/>
                <v:imagedata o:title=""/>
                <o:lock v:ext="edit" aspectratio="f"/>
              </v:line>
            </w:pict>
          </mc:Fallback>
        </mc:AlternateContent>
      </w:r>
      <w:r>
        <w:rPr>
          <w:rFonts w:hint="eastAsia" w:ascii="宋体" w:hAnsi="宋体" w:eastAsia="宋体" w:cs="宋体"/>
          <w:color w:val="auto"/>
          <w:sz w:val="24"/>
          <w:szCs w:val="24"/>
          <w:highlight w:val="none"/>
        </w:rPr>
        <w:t xml:space="preserve">    1000  </w:t>
      </w:r>
    </w:p>
    <w:p w14:paraId="3565DE4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式中：α为温度、湿度和声波频率的函数，预测计算中一般根据建设项目所处区域常年平均气温和湿度选择相应的空气吸收系数，见下表。</w:t>
      </w:r>
    </w:p>
    <w:p w14:paraId="51501E0C">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19</w:t>
      </w:r>
      <w:r>
        <w:rPr>
          <w:rFonts w:hint="eastAsia" w:ascii="宋体" w:hAnsi="宋体" w:eastAsia="宋体" w:cs="宋体"/>
          <w:b/>
          <w:color w:val="auto"/>
          <w:sz w:val="21"/>
          <w:szCs w:val="21"/>
          <w:highlight w:val="none"/>
        </w:rPr>
        <w:t xml:space="preserve">  倍频带噪声的大气吸收衰减系数α</w:t>
      </w:r>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278"/>
        <w:gridCol w:w="779"/>
        <w:gridCol w:w="711"/>
        <w:gridCol w:w="711"/>
        <w:gridCol w:w="711"/>
        <w:gridCol w:w="852"/>
        <w:gridCol w:w="852"/>
        <w:gridCol w:w="852"/>
        <w:gridCol w:w="924"/>
      </w:tblGrid>
      <w:tr w14:paraId="04A5C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500" w:type="pct"/>
            <w:vMerge w:val="restart"/>
            <w:noWrap w:val="0"/>
            <w:vAlign w:val="center"/>
          </w:tcPr>
          <w:p w14:paraId="3D37E1D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温度</w:t>
            </w:r>
          </w:p>
          <w:p w14:paraId="48B1E27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w:t>
            </w:r>
          </w:p>
        </w:tc>
        <w:tc>
          <w:tcPr>
            <w:tcW w:w="750" w:type="pct"/>
            <w:vMerge w:val="restart"/>
            <w:noWrap w:val="0"/>
            <w:vAlign w:val="center"/>
          </w:tcPr>
          <w:p w14:paraId="3E1BAD3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相对湿度</w:t>
            </w:r>
          </w:p>
          <w:p w14:paraId="0D51AC9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w:t>
            </w:r>
          </w:p>
        </w:tc>
        <w:tc>
          <w:tcPr>
            <w:tcW w:w="3749" w:type="pct"/>
            <w:gridSpan w:val="8"/>
            <w:noWrap w:val="0"/>
            <w:vAlign w:val="center"/>
          </w:tcPr>
          <w:p w14:paraId="76877AD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大气吸收衰减系数α，dB/km</w:t>
            </w:r>
          </w:p>
        </w:tc>
      </w:tr>
      <w:tr w14:paraId="62876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vMerge w:val="continue"/>
            <w:noWrap w:val="0"/>
            <w:vAlign w:val="center"/>
          </w:tcPr>
          <w:p w14:paraId="075625D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750" w:type="pct"/>
            <w:vMerge w:val="continue"/>
            <w:noWrap w:val="0"/>
            <w:vAlign w:val="center"/>
          </w:tcPr>
          <w:p w14:paraId="67F3A01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3749" w:type="pct"/>
            <w:gridSpan w:val="8"/>
            <w:noWrap w:val="0"/>
            <w:vAlign w:val="center"/>
          </w:tcPr>
          <w:p w14:paraId="0DFF059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倍频带中心频率</w:t>
            </w:r>
          </w:p>
        </w:tc>
      </w:tr>
      <w:tr w14:paraId="44CC1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vMerge w:val="continue"/>
            <w:noWrap w:val="0"/>
            <w:vAlign w:val="center"/>
          </w:tcPr>
          <w:p w14:paraId="67C93AD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750" w:type="pct"/>
            <w:vMerge w:val="continue"/>
            <w:noWrap w:val="0"/>
            <w:vAlign w:val="center"/>
          </w:tcPr>
          <w:p w14:paraId="0CDA11E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p>
        </w:tc>
        <w:tc>
          <w:tcPr>
            <w:tcW w:w="457" w:type="pct"/>
            <w:noWrap w:val="0"/>
            <w:vAlign w:val="center"/>
          </w:tcPr>
          <w:p w14:paraId="3FA38C3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63</w:t>
            </w:r>
          </w:p>
        </w:tc>
        <w:tc>
          <w:tcPr>
            <w:tcW w:w="417" w:type="pct"/>
            <w:noWrap w:val="0"/>
            <w:vAlign w:val="center"/>
          </w:tcPr>
          <w:p w14:paraId="17788AF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125</w:t>
            </w:r>
          </w:p>
        </w:tc>
        <w:tc>
          <w:tcPr>
            <w:tcW w:w="417" w:type="pct"/>
            <w:noWrap w:val="0"/>
            <w:vAlign w:val="center"/>
          </w:tcPr>
          <w:p w14:paraId="79BE49B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250</w:t>
            </w:r>
          </w:p>
        </w:tc>
        <w:tc>
          <w:tcPr>
            <w:tcW w:w="417" w:type="pct"/>
            <w:noWrap w:val="0"/>
            <w:vAlign w:val="center"/>
          </w:tcPr>
          <w:p w14:paraId="69425F7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500</w:t>
            </w:r>
          </w:p>
        </w:tc>
        <w:tc>
          <w:tcPr>
            <w:tcW w:w="500" w:type="pct"/>
            <w:noWrap w:val="0"/>
            <w:vAlign w:val="center"/>
          </w:tcPr>
          <w:p w14:paraId="7EF2AB7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1000</w:t>
            </w:r>
          </w:p>
        </w:tc>
        <w:tc>
          <w:tcPr>
            <w:tcW w:w="500" w:type="pct"/>
            <w:noWrap w:val="0"/>
            <w:vAlign w:val="center"/>
          </w:tcPr>
          <w:p w14:paraId="00F3744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2000</w:t>
            </w:r>
          </w:p>
        </w:tc>
        <w:tc>
          <w:tcPr>
            <w:tcW w:w="500" w:type="pct"/>
            <w:noWrap w:val="0"/>
            <w:vAlign w:val="center"/>
          </w:tcPr>
          <w:p w14:paraId="6C195C2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4000</w:t>
            </w:r>
          </w:p>
        </w:tc>
        <w:tc>
          <w:tcPr>
            <w:tcW w:w="542" w:type="pct"/>
            <w:noWrap w:val="0"/>
            <w:vAlign w:val="center"/>
          </w:tcPr>
          <w:p w14:paraId="0C885AD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8000</w:t>
            </w:r>
          </w:p>
        </w:tc>
      </w:tr>
      <w:tr w14:paraId="259D8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0B570FF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w:t>
            </w:r>
          </w:p>
        </w:tc>
        <w:tc>
          <w:tcPr>
            <w:tcW w:w="750" w:type="pct"/>
            <w:noWrap w:val="0"/>
            <w:vAlign w:val="center"/>
          </w:tcPr>
          <w:p w14:paraId="501D11D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70</w:t>
            </w:r>
          </w:p>
        </w:tc>
        <w:tc>
          <w:tcPr>
            <w:tcW w:w="457" w:type="pct"/>
            <w:noWrap w:val="0"/>
            <w:vAlign w:val="center"/>
          </w:tcPr>
          <w:p w14:paraId="17BBB3F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0.1</w:t>
            </w:r>
          </w:p>
        </w:tc>
        <w:tc>
          <w:tcPr>
            <w:tcW w:w="417" w:type="pct"/>
            <w:noWrap w:val="0"/>
            <w:vAlign w:val="center"/>
          </w:tcPr>
          <w:p w14:paraId="13C0618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w:t>
            </w:r>
          </w:p>
        </w:tc>
        <w:tc>
          <w:tcPr>
            <w:tcW w:w="417" w:type="pct"/>
            <w:noWrap w:val="0"/>
            <w:vAlign w:val="center"/>
          </w:tcPr>
          <w:p w14:paraId="7B0BB4B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w:t>
            </w:r>
          </w:p>
        </w:tc>
        <w:tc>
          <w:tcPr>
            <w:tcW w:w="417" w:type="pct"/>
            <w:noWrap w:val="0"/>
            <w:vAlign w:val="center"/>
          </w:tcPr>
          <w:p w14:paraId="6A88A17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1.9</w:t>
            </w:r>
          </w:p>
        </w:tc>
        <w:tc>
          <w:tcPr>
            <w:tcW w:w="500" w:type="pct"/>
            <w:noWrap w:val="0"/>
            <w:vAlign w:val="center"/>
          </w:tcPr>
          <w:p w14:paraId="394FE32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3.7</w:t>
            </w:r>
          </w:p>
        </w:tc>
        <w:tc>
          <w:tcPr>
            <w:tcW w:w="500" w:type="pct"/>
            <w:noWrap w:val="0"/>
            <w:vAlign w:val="center"/>
          </w:tcPr>
          <w:p w14:paraId="6A94CF9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9.7</w:t>
            </w:r>
          </w:p>
        </w:tc>
        <w:tc>
          <w:tcPr>
            <w:tcW w:w="500" w:type="pct"/>
            <w:noWrap w:val="0"/>
            <w:vAlign w:val="center"/>
          </w:tcPr>
          <w:p w14:paraId="7D3222F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32.8</w:t>
            </w:r>
          </w:p>
        </w:tc>
        <w:tc>
          <w:tcPr>
            <w:tcW w:w="542" w:type="pct"/>
            <w:noWrap w:val="0"/>
            <w:vAlign w:val="center"/>
          </w:tcPr>
          <w:p w14:paraId="095E471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117.0</w:t>
            </w:r>
          </w:p>
        </w:tc>
      </w:tr>
      <w:tr w14:paraId="178C1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6265320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20</w:t>
            </w:r>
          </w:p>
        </w:tc>
        <w:tc>
          <w:tcPr>
            <w:tcW w:w="750" w:type="pct"/>
            <w:noWrap w:val="0"/>
            <w:vAlign w:val="center"/>
          </w:tcPr>
          <w:p w14:paraId="2014DC7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70</w:t>
            </w:r>
          </w:p>
        </w:tc>
        <w:tc>
          <w:tcPr>
            <w:tcW w:w="457" w:type="pct"/>
            <w:noWrap w:val="0"/>
            <w:vAlign w:val="center"/>
          </w:tcPr>
          <w:p w14:paraId="5A1D088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0.1</w:t>
            </w:r>
          </w:p>
        </w:tc>
        <w:tc>
          <w:tcPr>
            <w:tcW w:w="417" w:type="pct"/>
            <w:noWrap w:val="0"/>
            <w:vAlign w:val="center"/>
          </w:tcPr>
          <w:p w14:paraId="1756990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0.3</w:t>
            </w:r>
          </w:p>
        </w:tc>
        <w:tc>
          <w:tcPr>
            <w:tcW w:w="417" w:type="pct"/>
            <w:noWrap w:val="0"/>
            <w:vAlign w:val="center"/>
          </w:tcPr>
          <w:p w14:paraId="6A9CE30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1.1</w:t>
            </w:r>
          </w:p>
        </w:tc>
        <w:tc>
          <w:tcPr>
            <w:tcW w:w="417" w:type="pct"/>
            <w:noWrap w:val="0"/>
            <w:vAlign w:val="center"/>
          </w:tcPr>
          <w:p w14:paraId="3108CC4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2.8</w:t>
            </w:r>
          </w:p>
        </w:tc>
        <w:tc>
          <w:tcPr>
            <w:tcW w:w="500" w:type="pct"/>
            <w:noWrap w:val="0"/>
            <w:vAlign w:val="center"/>
          </w:tcPr>
          <w:p w14:paraId="5131C9F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5.0</w:t>
            </w:r>
          </w:p>
        </w:tc>
        <w:tc>
          <w:tcPr>
            <w:tcW w:w="500" w:type="pct"/>
            <w:noWrap w:val="0"/>
            <w:vAlign w:val="center"/>
          </w:tcPr>
          <w:p w14:paraId="3E9C02D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9.0</w:t>
            </w:r>
          </w:p>
        </w:tc>
        <w:tc>
          <w:tcPr>
            <w:tcW w:w="500" w:type="pct"/>
            <w:noWrap w:val="0"/>
            <w:vAlign w:val="center"/>
          </w:tcPr>
          <w:p w14:paraId="237254F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22.9</w:t>
            </w:r>
          </w:p>
        </w:tc>
        <w:tc>
          <w:tcPr>
            <w:tcW w:w="542" w:type="pct"/>
            <w:noWrap w:val="0"/>
            <w:vAlign w:val="center"/>
          </w:tcPr>
          <w:p w14:paraId="3767787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76.6</w:t>
            </w:r>
          </w:p>
        </w:tc>
      </w:tr>
      <w:tr w14:paraId="5B5E2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77C2543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30</w:t>
            </w:r>
          </w:p>
        </w:tc>
        <w:tc>
          <w:tcPr>
            <w:tcW w:w="750" w:type="pct"/>
            <w:noWrap w:val="0"/>
            <w:vAlign w:val="center"/>
          </w:tcPr>
          <w:p w14:paraId="21BED04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70</w:t>
            </w:r>
          </w:p>
        </w:tc>
        <w:tc>
          <w:tcPr>
            <w:tcW w:w="457" w:type="pct"/>
            <w:noWrap w:val="0"/>
            <w:vAlign w:val="center"/>
          </w:tcPr>
          <w:p w14:paraId="39A4303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0.1</w:t>
            </w:r>
          </w:p>
        </w:tc>
        <w:tc>
          <w:tcPr>
            <w:tcW w:w="417" w:type="pct"/>
            <w:noWrap w:val="0"/>
            <w:vAlign w:val="center"/>
          </w:tcPr>
          <w:p w14:paraId="09246D6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0.3</w:t>
            </w:r>
          </w:p>
        </w:tc>
        <w:tc>
          <w:tcPr>
            <w:tcW w:w="417" w:type="pct"/>
            <w:noWrap w:val="0"/>
            <w:vAlign w:val="center"/>
          </w:tcPr>
          <w:p w14:paraId="4CAAEC5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w:t>
            </w:r>
          </w:p>
        </w:tc>
        <w:tc>
          <w:tcPr>
            <w:tcW w:w="417" w:type="pct"/>
            <w:noWrap w:val="0"/>
            <w:vAlign w:val="center"/>
          </w:tcPr>
          <w:p w14:paraId="58C2BEC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3.1</w:t>
            </w:r>
          </w:p>
        </w:tc>
        <w:tc>
          <w:tcPr>
            <w:tcW w:w="500" w:type="pct"/>
            <w:noWrap w:val="0"/>
            <w:vAlign w:val="center"/>
          </w:tcPr>
          <w:p w14:paraId="21A569A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7.4</w:t>
            </w:r>
          </w:p>
        </w:tc>
        <w:tc>
          <w:tcPr>
            <w:tcW w:w="500" w:type="pct"/>
            <w:noWrap w:val="0"/>
            <w:vAlign w:val="center"/>
          </w:tcPr>
          <w:p w14:paraId="68A91A7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12.7</w:t>
            </w:r>
          </w:p>
        </w:tc>
        <w:tc>
          <w:tcPr>
            <w:tcW w:w="500" w:type="pct"/>
            <w:noWrap w:val="0"/>
            <w:vAlign w:val="center"/>
          </w:tcPr>
          <w:p w14:paraId="5613C5C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23.1</w:t>
            </w:r>
          </w:p>
        </w:tc>
        <w:tc>
          <w:tcPr>
            <w:tcW w:w="542" w:type="pct"/>
            <w:noWrap w:val="0"/>
            <w:vAlign w:val="center"/>
          </w:tcPr>
          <w:p w14:paraId="41A3C8E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59.3</w:t>
            </w:r>
          </w:p>
        </w:tc>
      </w:tr>
      <w:tr w14:paraId="671B45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5F33359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15</w:t>
            </w:r>
          </w:p>
        </w:tc>
        <w:tc>
          <w:tcPr>
            <w:tcW w:w="750" w:type="pct"/>
            <w:noWrap w:val="0"/>
            <w:vAlign w:val="center"/>
          </w:tcPr>
          <w:p w14:paraId="62B4141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20</w:t>
            </w:r>
          </w:p>
        </w:tc>
        <w:tc>
          <w:tcPr>
            <w:tcW w:w="457" w:type="pct"/>
            <w:noWrap w:val="0"/>
            <w:vAlign w:val="center"/>
          </w:tcPr>
          <w:p w14:paraId="46BBD2B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0.3</w:t>
            </w:r>
          </w:p>
        </w:tc>
        <w:tc>
          <w:tcPr>
            <w:tcW w:w="417" w:type="pct"/>
            <w:noWrap w:val="0"/>
            <w:vAlign w:val="center"/>
          </w:tcPr>
          <w:p w14:paraId="0D13387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0.6</w:t>
            </w:r>
          </w:p>
        </w:tc>
        <w:tc>
          <w:tcPr>
            <w:tcW w:w="417" w:type="pct"/>
            <w:noWrap w:val="0"/>
            <w:vAlign w:val="center"/>
          </w:tcPr>
          <w:p w14:paraId="69E6661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w:t>
            </w:r>
          </w:p>
        </w:tc>
        <w:tc>
          <w:tcPr>
            <w:tcW w:w="417" w:type="pct"/>
            <w:noWrap w:val="0"/>
            <w:vAlign w:val="center"/>
          </w:tcPr>
          <w:p w14:paraId="6B6D084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2.7</w:t>
            </w:r>
          </w:p>
        </w:tc>
        <w:tc>
          <w:tcPr>
            <w:tcW w:w="500" w:type="pct"/>
            <w:noWrap w:val="0"/>
            <w:vAlign w:val="center"/>
          </w:tcPr>
          <w:p w14:paraId="5C1B4BE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8.2</w:t>
            </w:r>
          </w:p>
        </w:tc>
        <w:tc>
          <w:tcPr>
            <w:tcW w:w="500" w:type="pct"/>
            <w:noWrap w:val="0"/>
            <w:vAlign w:val="center"/>
          </w:tcPr>
          <w:p w14:paraId="1752366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28.2</w:t>
            </w:r>
          </w:p>
        </w:tc>
        <w:tc>
          <w:tcPr>
            <w:tcW w:w="500" w:type="pct"/>
            <w:noWrap w:val="0"/>
            <w:vAlign w:val="center"/>
          </w:tcPr>
          <w:p w14:paraId="5CEEEDA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28.8</w:t>
            </w:r>
          </w:p>
        </w:tc>
        <w:tc>
          <w:tcPr>
            <w:tcW w:w="542" w:type="pct"/>
            <w:noWrap w:val="0"/>
            <w:vAlign w:val="center"/>
          </w:tcPr>
          <w:p w14:paraId="2EDA2B7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202.0</w:t>
            </w:r>
          </w:p>
        </w:tc>
      </w:tr>
      <w:tr w14:paraId="386B2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65B5397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15</w:t>
            </w:r>
          </w:p>
        </w:tc>
        <w:tc>
          <w:tcPr>
            <w:tcW w:w="750" w:type="pct"/>
            <w:noWrap w:val="0"/>
            <w:vAlign w:val="center"/>
          </w:tcPr>
          <w:p w14:paraId="6F9D1B7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50</w:t>
            </w:r>
          </w:p>
        </w:tc>
        <w:tc>
          <w:tcPr>
            <w:tcW w:w="457" w:type="pct"/>
            <w:noWrap w:val="0"/>
            <w:vAlign w:val="center"/>
          </w:tcPr>
          <w:p w14:paraId="3D33155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0.1</w:t>
            </w:r>
          </w:p>
        </w:tc>
        <w:tc>
          <w:tcPr>
            <w:tcW w:w="417" w:type="pct"/>
            <w:noWrap w:val="0"/>
            <w:vAlign w:val="center"/>
          </w:tcPr>
          <w:p w14:paraId="74B962C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0.5</w:t>
            </w:r>
          </w:p>
        </w:tc>
        <w:tc>
          <w:tcPr>
            <w:tcW w:w="417" w:type="pct"/>
            <w:noWrap w:val="0"/>
            <w:vAlign w:val="center"/>
          </w:tcPr>
          <w:p w14:paraId="6B7D191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w:t>
            </w:r>
          </w:p>
        </w:tc>
        <w:tc>
          <w:tcPr>
            <w:tcW w:w="417" w:type="pct"/>
            <w:noWrap w:val="0"/>
            <w:vAlign w:val="center"/>
          </w:tcPr>
          <w:p w14:paraId="71F047A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2.2</w:t>
            </w:r>
          </w:p>
        </w:tc>
        <w:tc>
          <w:tcPr>
            <w:tcW w:w="500" w:type="pct"/>
            <w:noWrap w:val="0"/>
            <w:vAlign w:val="center"/>
          </w:tcPr>
          <w:p w14:paraId="6CB6224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4.2</w:t>
            </w:r>
          </w:p>
        </w:tc>
        <w:tc>
          <w:tcPr>
            <w:tcW w:w="500" w:type="pct"/>
            <w:noWrap w:val="0"/>
            <w:vAlign w:val="center"/>
          </w:tcPr>
          <w:p w14:paraId="1851335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10.8</w:t>
            </w:r>
          </w:p>
        </w:tc>
        <w:tc>
          <w:tcPr>
            <w:tcW w:w="500" w:type="pct"/>
            <w:noWrap w:val="0"/>
            <w:vAlign w:val="center"/>
          </w:tcPr>
          <w:p w14:paraId="0C53856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36.2</w:t>
            </w:r>
          </w:p>
        </w:tc>
        <w:tc>
          <w:tcPr>
            <w:tcW w:w="542" w:type="pct"/>
            <w:noWrap w:val="0"/>
            <w:vAlign w:val="center"/>
          </w:tcPr>
          <w:p w14:paraId="32D90FF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129.0</w:t>
            </w:r>
          </w:p>
        </w:tc>
      </w:tr>
      <w:tr w14:paraId="3CCCA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 w:type="pct"/>
            <w:noWrap w:val="0"/>
            <w:vAlign w:val="center"/>
          </w:tcPr>
          <w:p w14:paraId="5F4530F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15</w:t>
            </w:r>
          </w:p>
        </w:tc>
        <w:tc>
          <w:tcPr>
            <w:tcW w:w="750" w:type="pct"/>
            <w:noWrap w:val="0"/>
            <w:vAlign w:val="center"/>
          </w:tcPr>
          <w:p w14:paraId="2D9A6AD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80</w:t>
            </w:r>
          </w:p>
        </w:tc>
        <w:tc>
          <w:tcPr>
            <w:tcW w:w="457" w:type="pct"/>
            <w:noWrap w:val="0"/>
            <w:vAlign w:val="center"/>
          </w:tcPr>
          <w:p w14:paraId="3868C94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0.1</w:t>
            </w:r>
          </w:p>
        </w:tc>
        <w:tc>
          <w:tcPr>
            <w:tcW w:w="417" w:type="pct"/>
            <w:noWrap w:val="0"/>
            <w:vAlign w:val="center"/>
          </w:tcPr>
          <w:p w14:paraId="5679272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0.3</w:t>
            </w:r>
          </w:p>
        </w:tc>
        <w:tc>
          <w:tcPr>
            <w:tcW w:w="417" w:type="pct"/>
            <w:noWrap w:val="0"/>
            <w:vAlign w:val="center"/>
          </w:tcPr>
          <w:p w14:paraId="4239409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1.1</w:t>
            </w:r>
          </w:p>
        </w:tc>
        <w:tc>
          <w:tcPr>
            <w:tcW w:w="417" w:type="pct"/>
            <w:noWrap w:val="0"/>
            <w:vAlign w:val="center"/>
          </w:tcPr>
          <w:p w14:paraId="5A83652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2.4</w:t>
            </w:r>
          </w:p>
        </w:tc>
        <w:tc>
          <w:tcPr>
            <w:tcW w:w="500" w:type="pct"/>
            <w:noWrap w:val="0"/>
            <w:vAlign w:val="center"/>
          </w:tcPr>
          <w:p w14:paraId="6EAB0BF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4.1</w:t>
            </w:r>
          </w:p>
        </w:tc>
        <w:tc>
          <w:tcPr>
            <w:tcW w:w="500" w:type="pct"/>
            <w:noWrap w:val="0"/>
            <w:vAlign w:val="center"/>
          </w:tcPr>
          <w:p w14:paraId="2A0F0D7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8.3</w:t>
            </w:r>
          </w:p>
        </w:tc>
        <w:tc>
          <w:tcPr>
            <w:tcW w:w="500" w:type="pct"/>
            <w:noWrap w:val="0"/>
            <w:vAlign w:val="center"/>
          </w:tcPr>
          <w:p w14:paraId="5FBAAD3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23.7</w:t>
            </w:r>
          </w:p>
        </w:tc>
        <w:tc>
          <w:tcPr>
            <w:tcW w:w="542" w:type="pct"/>
            <w:noWrap w:val="0"/>
            <w:vAlign w:val="center"/>
          </w:tcPr>
          <w:p w14:paraId="7BF6033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82.8</w:t>
            </w:r>
          </w:p>
        </w:tc>
      </w:tr>
    </w:tbl>
    <w:p w14:paraId="5B7ED59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d.</w:t>
      </w:r>
      <w:r>
        <w:rPr>
          <w:rFonts w:hint="eastAsia" w:ascii="宋体" w:hAnsi="宋体" w:eastAsia="宋体" w:cs="宋体"/>
          <w:color w:val="auto"/>
          <w:sz w:val="24"/>
          <w:szCs w:val="24"/>
          <w:highlight w:val="none"/>
        </w:rPr>
        <w:t>地面效应衰减（A</w:t>
      </w:r>
      <w:r>
        <w:rPr>
          <w:rFonts w:hint="eastAsia" w:ascii="宋体" w:hAnsi="宋体" w:eastAsia="宋体" w:cs="宋体"/>
          <w:color w:val="auto"/>
          <w:sz w:val="24"/>
          <w:szCs w:val="24"/>
          <w:highlight w:val="none"/>
          <w:vertAlign w:val="subscript"/>
        </w:rPr>
        <w:t>gr</w:t>
      </w:r>
      <w:r>
        <w:rPr>
          <w:rFonts w:hint="eastAsia" w:ascii="宋体" w:hAnsi="宋体" w:eastAsia="宋体" w:cs="宋体"/>
          <w:color w:val="auto"/>
          <w:sz w:val="24"/>
          <w:szCs w:val="24"/>
          <w:highlight w:val="none"/>
        </w:rPr>
        <w:t>）</w:t>
      </w:r>
    </w:p>
    <w:p w14:paraId="697D47E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地面类型可分为：</w:t>
      </w:r>
    </w:p>
    <w:p w14:paraId="79AC80D8">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ⅰ、坚实地面，包括铺筑过的路面、水面、冰面以及夯实地面。</w:t>
      </w:r>
    </w:p>
    <w:p w14:paraId="6941EDF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ⅱ、疏松地面，包括被草或其他植物覆盖的地面，以及农田等适合于植物生长的地面。</w:t>
      </w:r>
    </w:p>
    <w:p w14:paraId="52F9727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ⅲ、混合地面，由坚实地面和疏松地面组成。</w:t>
      </w:r>
    </w:p>
    <w:p w14:paraId="189A000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声波越过疏松地面传播时，或大部分为疏松地面的混合地面，在预测点仅计算A声级前提下，地面效应引起的倍频带衰减可用下式计算：</w:t>
      </w:r>
    </w:p>
    <w:p w14:paraId="5D62BC25">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rPr>
        <w:drawing>
          <wp:inline distT="0" distB="0" distL="114300" distR="114300">
            <wp:extent cx="2414270" cy="511810"/>
            <wp:effectExtent l="0" t="0" r="5080" b="2540"/>
            <wp:docPr id="8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3"/>
                    <pic:cNvPicPr>
                      <a:picLocks noChangeAspect="1"/>
                    </pic:cNvPicPr>
                  </pic:nvPicPr>
                  <pic:blipFill>
                    <a:blip r:embed="rId184"/>
                    <a:stretch>
                      <a:fillRect/>
                    </a:stretch>
                  </pic:blipFill>
                  <pic:spPr>
                    <a:xfrm>
                      <a:off x="0" y="0"/>
                      <a:ext cx="2414270" cy="511810"/>
                    </a:xfrm>
                    <a:prstGeom prst="rect">
                      <a:avLst/>
                    </a:prstGeom>
                    <a:noFill/>
                    <a:ln>
                      <a:noFill/>
                    </a:ln>
                  </pic:spPr>
                </pic:pic>
              </a:graphicData>
            </a:graphic>
          </wp:inline>
        </w:drawing>
      </w:r>
    </w:p>
    <w:p w14:paraId="40C1A36C">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式中：</w:t>
      </w:r>
    </w:p>
    <w:p w14:paraId="49C67EF6">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r─声源到预测点的距离，m；</w:t>
      </w:r>
    </w:p>
    <w:p w14:paraId="6BA7C328">
      <w:pPr>
        <w:spacing w:line="360" w:lineRule="auto"/>
        <w:ind w:left="1454" w:leftChars="456" w:hanging="360" w:hanging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h</w:t>
      </w:r>
      <w:r>
        <w:rPr>
          <w:rFonts w:hint="eastAsia" w:ascii="宋体" w:hAnsi="宋体" w:eastAsia="宋体" w:cs="宋体"/>
          <w:color w:val="auto"/>
          <w:sz w:val="24"/>
          <w:szCs w:val="24"/>
          <w:highlight w:val="none"/>
          <w:vertAlign w:val="subscript"/>
        </w:rPr>
        <w:t>m</w:t>
      </w:r>
      <w:r>
        <w:rPr>
          <w:rFonts w:hint="eastAsia" w:ascii="宋体" w:hAnsi="宋体" w:eastAsia="宋体" w:cs="宋体"/>
          <w:color w:val="auto"/>
          <w:sz w:val="24"/>
          <w:szCs w:val="24"/>
          <w:highlight w:val="none"/>
        </w:rPr>
        <w:t>─传播路径的平均离地高度，m；可按图5.2-3进行计算，h</w:t>
      </w:r>
      <w:r>
        <w:rPr>
          <w:rFonts w:hint="eastAsia" w:ascii="宋体" w:hAnsi="宋体" w:eastAsia="宋体" w:cs="宋体"/>
          <w:color w:val="auto"/>
          <w:sz w:val="24"/>
          <w:szCs w:val="24"/>
          <w:highlight w:val="none"/>
          <w:vertAlign w:val="subscript"/>
        </w:rPr>
        <w:t>m</w:t>
      </w:r>
      <w:r>
        <w:rPr>
          <w:rFonts w:hint="eastAsia" w:ascii="宋体" w:hAnsi="宋体" w:eastAsia="宋体" w:cs="宋体"/>
          <w:color w:val="auto"/>
          <w:sz w:val="24"/>
          <w:szCs w:val="24"/>
          <w:highlight w:val="none"/>
        </w:rPr>
        <w:t>=F/r；F：面积，m</w:t>
      </w:r>
      <w:r>
        <w:rPr>
          <w:rFonts w:hint="eastAsia" w:ascii="宋体" w:hAnsi="宋体" w:eastAsia="宋体" w:cs="宋体"/>
          <w:color w:val="auto"/>
          <w:sz w:val="24"/>
          <w:szCs w:val="24"/>
          <w:highlight w:val="none"/>
          <w:vertAlign w:val="superscript"/>
        </w:rPr>
        <w:t>2</w:t>
      </w:r>
      <w:r>
        <w:rPr>
          <w:rFonts w:hint="eastAsia" w:ascii="宋体" w:hAnsi="宋体" w:eastAsia="宋体" w:cs="宋体"/>
          <w:color w:val="auto"/>
          <w:sz w:val="24"/>
          <w:szCs w:val="24"/>
          <w:highlight w:val="none"/>
        </w:rPr>
        <w:t>；</w:t>
      </w:r>
    </w:p>
    <w:p w14:paraId="130054A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若A</w:t>
      </w:r>
      <w:r>
        <w:rPr>
          <w:rFonts w:hint="eastAsia" w:ascii="宋体" w:hAnsi="宋体" w:eastAsia="宋体" w:cs="宋体"/>
          <w:color w:val="auto"/>
          <w:sz w:val="24"/>
          <w:szCs w:val="24"/>
          <w:highlight w:val="none"/>
          <w:vertAlign w:val="subscript"/>
        </w:rPr>
        <w:t>gr</w:t>
      </w:r>
      <w:r>
        <w:rPr>
          <w:rFonts w:hint="eastAsia" w:ascii="宋体" w:hAnsi="宋体" w:eastAsia="宋体" w:cs="宋体"/>
          <w:color w:val="auto"/>
          <w:sz w:val="24"/>
          <w:szCs w:val="24"/>
          <w:highlight w:val="none"/>
        </w:rPr>
        <w:t>计算出负值，则A</w:t>
      </w:r>
      <w:r>
        <w:rPr>
          <w:rFonts w:hint="eastAsia" w:ascii="宋体" w:hAnsi="宋体" w:eastAsia="宋体" w:cs="宋体"/>
          <w:color w:val="auto"/>
          <w:sz w:val="24"/>
          <w:szCs w:val="24"/>
          <w:highlight w:val="none"/>
          <w:vertAlign w:val="subscript"/>
        </w:rPr>
        <w:t>gr</w:t>
      </w:r>
      <w:r>
        <w:rPr>
          <w:rFonts w:hint="eastAsia" w:ascii="宋体" w:hAnsi="宋体" w:eastAsia="宋体" w:cs="宋体"/>
          <w:color w:val="auto"/>
          <w:sz w:val="24"/>
          <w:szCs w:val="24"/>
          <w:highlight w:val="none"/>
        </w:rPr>
        <w:t>可用“0”代替。</w:t>
      </w:r>
    </w:p>
    <w:p w14:paraId="1077B76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其他情况可参照GB/T17247.2进行计算。</w:t>
      </w:r>
    </w:p>
    <w:p w14:paraId="2AF533B0">
      <w:pP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4718050" cy="2026285"/>
            <wp:effectExtent l="0" t="0" r="6350" b="12065"/>
            <wp:docPr id="8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4"/>
                    <pic:cNvPicPr>
                      <a:picLocks noChangeAspect="1"/>
                    </pic:cNvPicPr>
                  </pic:nvPicPr>
                  <pic:blipFill>
                    <a:blip r:embed="rId185"/>
                    <a:stretch>
                      <a:fillRect/>
                    </a:stretch>
                  </pic:blipFill>
                  <pic:spPr>
                    <a:xfrm>
                      <a:off x="0" y="0"/>
                      <a:ext cx="4718050" cy="2026285"/>
                    </a:xfrm>
                    <a:prstGeom prst="rect">
                      <a:avLst/>
                    </a:prstGeom>
                    <a:noFill/>
                    <a:ln>
                      <a:noFill/>
                    </a:ln>
                  </pic:spPr>
                </pic:pic>
              </a:graphicData>
            </a:graphic>
          </wp:inline>
        </w:drawing>
      </w:r>
    </w:p>
    <w:p w14:paraId="012C0E72">
      <w:pPr>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图</w:t>
      </w:r>
      <w:r>
        <w:rPr>
          <w:rFonts w:hint="eastAsia" w:ascii="宋体" w:hAnsi="宋体" w:eastAsia="宋体" w:cs="宋体"/>
          <w:b/>
          <w:color w:val="auto"/>
          <w:sz w:val="24"/>
          <w:szCs w:val="24"/>
          <w:highlight w:val="none"/>
          <w:lang w:val="en-US" w:eastAsia="zh-CN"/>
        </w:rPr>
        <w:t>5</w:t>
      </w:r>
      <w:r>
        <w:rPr>
          <w:rFonts w:hint="eastAsia" w:ascii="宋体" w:hAnsi="宋体" w:eastAsia="宋体" w:cs="宋体"/>
          <w:b/>
          <w:color w:val="auto"/>
          <w:sz w:val="24"/>
          <w:szCs w:val="24"/>
          <w:highlight w:val="none"/>
        </w:rPr>
        <w:t xml:space="preserve">   估计平均高度h</w:t>
      </w:r>
      <w:r>
        <w:rPr>
          <w:rFonts w:hint="eastAsia" w:ascii="宋体" w:hAnsi="宋体" w:eastAsia="宋体" w:cs="宋体"/>
          <w:b/>
          <w:color w:val="auto"/>
          <w:sz w:val="24"/>
          <w:szCs w:val="24"/>
          <w:highlight w:val="none"/>
          <w:vertAlign w:val="subscript"/>
        </w:rPr>
        <w:t>m</w:t>
      </w:r>
      <w:r>
        <w:rPr>
          <w:rFonts w:hint="eastAsia" w:ascii="宋体" w:hAnsi="宋体" w:eastAsia="宋体" w:cs="宋体"/>
          <w:b/>
          <w:color w:val="auto"/>
          <w:sz w:val="24"/>
          <w:szCs w:val="24"/>
          <w:highlight w:val="none"/>
        </w:rPr>
        <w:t>的方法</w:t>
      </w:r>
    </w:p>
    <w:p w14:paraId="1660A84A">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④交通噪声预测</w:t>
      </w:r>
    </w:p>
    <w:p w14:paraId="0EDB770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不考虑树林引起的噪声衰减量、建筑物引起的噪声衰减量以及采取措施的削减量的情况下，根据建设项目运行后项目噪声源情况，利用上述预测模式和参数，本评价根据预测模式和相关参数，计算出本工程道路营运期</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本次评价需预测近期：20</w:t>
      </w:r>
      <w:r>
        <w:rPr>
          <w:rFonts w:hint="eastAsia" w:ascii="宋体" w:hAnsi="宋体" w:eastAsia="宋体" w:cs="宋体"/>
          <w:color w:val="auto"/>
          <w:sz w:val="24"/>
          <w:szCs w:val="24"/>
          <w:highlight w:val="none"/>
          <w:lang w:val="en-US" w:eastAsia="zh-CN"/>
        </w:rPr>
        <w:t>26</w:t>
      </w:r>
      <w:r>
        <w:rPr>
          <w:rFonts w:hint="eastAsia" w:ascii="宋体" w:hAnsi="宋体" w:eastAsia="宋体" w:cs="宋体"/>
          <w:color w:val="auto"/>
          <w:sz w:val="24"/>
          <w:szCs w:val="24"/>
          <w:highlight w:val="none"/>
        </w:rPr>
        <w:t>年，中期：</w:t>
      </w:r>
      <w:r>
        <w:rPr>
          <w:rFonts w:hint="eastAsia" w:ascii="宋体" w:hAnsi="宋体" w:eastAsia="宋体" w:cs="宋体"/>
          <w:color w:val="auto"/>
          <w:sz w:val="24"/>
          <w:szCs w:val="24"/>
          <w:highlight w:val="none"/>
          <w:lang w:eastAsia="zh-CN"/>
        </w:rPr>
        <w:t>20</w:t>
      </w:r>
      <w:r>
        <w:rPr>
          <w:rFonts w:hint="eastAsia" w:ascii="宋体" w:hAnsi="宋体" w:eastAsia="宋体" w:cs="宋体"/>
          <w:color w:val="auto"/>
          <w:sz w:val="24"/>
          <w:szCs w:val="24"/>
          <w:highlight w:val="none"/>
          <w:lang w:val="en-US" w:eastAsia="zh-CN"/>
        </w:rPr>
        <w:t>32</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远期2040年。</w:t>
      </w:r>
      <w:r>
        <w:rPr>
          <w:rFonts w:hint="eastAsia" w:ascii="宋体" w:hAnsi="宋体" w:eastAsia="宋体" w:cs="宋体"/>
          <w:color w:val="auto"/>
          <w:sz w:val="24"/>
          <w:szCs w:val="24"/>
          <w:highlight w:val="none"/>
        </w:rPr>
        <w:t>营运期各时段各路段的交通噪声预测值和两个评价时段的交通噪声预测值达标距离。营运期不同时段、不同路段的噪声预测结果见表</w:t>
      </w:r>
      <w:r>
        <w:rPr>
          <w:rFonts w:hint="eastAsia" w:ascii="宋体" w:hAnsi="宋体" w:eastAsia="宋体" w:cs="宋体"/>
          <w:color w:val="auto"/>
          <w:sz w:val="24"/>
          <w:szCs w:val="24"/>
          <w:highlight w:val="none"/>
          <w:lang w:val="en-US" w:eastAsia="zh-CN"/>
        </w:rPr>
        <w:t>20</w:t>
      </w:r>
      <w:r>
        <w:rPr>
          <w:rFonts w:hint="eastAsia" w:ascii="宋体" w:hAnsi="宋体" w:eastAsia="宋体" w:cs="宋体"/>
          <w:color w:val="auto"/>
          <w:sz w:val="24"/>
          <w:szCs w:val="24"/>
          <w:highlight w:val="none"/>
        </w:rPr>
        <w:t>，等声</w:t>
      </w:r>
      <w:r>
        <w:rPr>
          <w:rFonts w:hint="eastAsia" w:ascii="宋体" w:hAnsi="宋体" w:eastAsia="宋体" w:cs="宋体"/>
          <w:color w:val="auto"/>
          <w:sz w:val="24"/>
          <w:szCs w:val="24"/>
          <w:highlight w:val="none"/>
          <w:lang w:val="en-US" w:eastAsia="zh-CN"/>
        </w:rPr>
        <w:t>级</w:t>
      </w:r>
      <w:r>
        <w:rPr>
          <w:rFonts w:hint="eastAsia" w:ascii="宋体" w:hAnsi="宋体" w:eastAsia="宋体" w:cs="宋体"/>
          <w:color w:val="auto"/>
          <w:sz w:val="24"/>
          <w:szCs w:val="24"/>
          <w:highlight w:val="none"/>
        </w:rPr>
        <w:t>线图见</w:t>
      </w:r>
      <w:r>
        <w:rPr>
          <w:rFonts w:hint="eastAsia" w:ascii="宋体" w:hAnsi="宋体" w:eastAsia="宋体" w:cs="宋体"/>
          <w:color w:val="auto"/>
          <w:sz w:val="24"/>
          <w:szCs w:val="24"/>
          <w:highlight w:val="none"/>
          <w:lang w:val="en-US" w:eastAsia="zh-CN"/>
        </w:rPr>
        <w:t>下图</w:t>
      </w:r>
      <w:r>
        <w:rPr>
          <w:rFonts w:hint="eastAsia" w:ascii="宋体" w:hAnsi="宋体" w:eastAsia="宋体" w:cs="宋体"/>
          <w:color w:val="auto"/>
          <w:sz w:val="24"/>
          <w:szCs w:val="24"/>
          <w:highlight w:val="none"/>
        </w:rPr>
        <w:t>。</w:t>
      </w:r>
    </w:p>
    <w:p w14:paraId="1B665D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20</w:t>
      </w:r>
      <w:r>
        <w:rPr>
          <w:rFonts w:hint="eastAsia" w:ascii="宋体" w:hAnsi="宋体" w:eastAsia="宋体" w:cs="宋体"/>
          <w:b/>
          <w:color w:val="auto"/>
          <w:sz w:val="21"/>
          <w:szCs w:val="21"/>
          <w:highlight w:val="none"/>
        </w:rPr>
        <w:t xml:space="preserve">  公路运营期交通噪声预测结果一览表</w:t>
      </w:r>
      <w:r>
        <w:rPr>
          <w:rFonts w:hint="eastAsia" w:ascii="宋体" w:hAnsi="宋体" w:eastAsia="宋体" w:cs="宋体"/>
          <w:color w:val="auto"/>
          <w:sz w:val="21"/>
          <w:szCs w:val="21"/>
          <w:highlight w:val="none"/>
        </w:rPr>
        <w:t xml:space="preserve">    </w:t>
      </w:r>
      <w:r>
        <w:rPr>
          <w:rFonts w:hint="eastAsia" w:ascii="宋体" w:hAnsi="宋体" w:eastAsia="宋体" w:cs="宋体"/>
          <w:b/>
          <w:bCs/>
          <w:color w:val="auto"/>
          <w:sz w:val="21"/>
          <w:szCs w:val="21"/>
          <w:highlight w:val="none"/>
        </w:rPr>
        <w:t>单位：</w:t>
      </w:r>
      <w:bookmarkStart w:id="22" w:name="_Hlk118728800"/>
      <w:r>
        <w:rPr>
          <w:rFonts w:hint="eastAsia" w:ascii="宋体" w:hAnsi="宋体" w:eastAsia="宋体" w:cs="宋体"/>
          <w:b/>
          <w:bCs/>
          <w:color w:val="auto"/>
          <w:sz w:val="21"/>
          <w:szCs w:val="21"/>
          <w:highlight w:val="none"/>
        </w:rPr>
        <w:t>dB（A</w:t>
      </w:r>
      <w:bookmarkEnd w:id="22"/>
      <w:r>
        <w:rPr>
          <w:rFonts w:hint="eastAsia" w:ascii="宋体" w:hAnsi="宋体" w:eastAsia="宋体" w:cs="宋体"/>
          <w:b/>
          <w:bCs/>
          <w:color w:val="auto"/>
          <w:sz w:val="21"/>
          <w:szCs w:val="21"/>
          <w:highlight w:val="none"/>
        </w:rPr>
        <w:t>）</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0"/>
        <w:gridCol w:w="859"/>
        <w:gridCol w:w="1203"/>
        <w:gridCol w:w="1024"/>
        <w:gridCol w:w="1021"/>
        <w:gridCol w:w="1006"/>
        <w:gridCol w:w="1132"/>
        <w:gridCol w:w="1314"/>
      </w:tblGrid>
      <w:tr w14:paraId="499726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restart"/>
            <w:noWrap w:val="0"/>
            <w:vAlign w:val="center"/>
          </w:tcPr>
          <w:p w14:paraId="281A1B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路段</w:t>
            </w:r>
          </w:p>
        </w:tc>
        <w:tc>
          <w:tcPr>
            <w:tcW w:w="504" w:type="pct"/>
            <w:vMerge w:val="restart"/>
            <w:noWrap w:val="0"/>
            <w:vAlign w:val="center"/>
          </w:tcPr>
          <w:p w14:paraId="2CA5EC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距道路中心线距离m</w:t>
            </w:r>
          </w:p>
        </w:tc>
        <w:tc>
          <w:tcPr>
            <w:tcW w:w="1307" w:type="pct"/>
            <w:gridSpan w:val="2"/>
            <w:noWrap w:val="0"/>
            <w:vAlign w:val="center"/>
          </w:tcPr>
          <w:p w14:paraId="2429E3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近期202</w:t>
            </w:r>
            <w:r>
              <w:rPr>
                <w:rFonts w:hint="eastAsia" w:ascii="宋体" w:hAnsi="宋体" w:eastAsia="宋体" w:cs="宋体"/>
                <w:bCs/>
                <w:iCs/>
                <w:color w:val="auto"/>
                <w:sz w:val="21"/>
                <w:szCs w:val="21"/>
                <w:highlight w:val="yellow"/>
                <w:u w:val="none"/>
                <w:lang w:val="en-US" w:eastAsia="zh-CN"/>
              </w:rPr>
              <w:t>6</w:t>
            </w:r>
            <w:r>
              <w:rPr>
                <w:rFonts w:hint="eastAsia" w:ascii="宋体" w:hAnsi="宋体" w:eastAsia="宋体" w:cs="宋体"/>
                <w:bCs/>
                <w:iCs/>
                <w:color w:val="auto"/>
                <w:sz w:val="21"/>
                <w:szCs w:val="21"/>
                <w:highlight w:val="yellow"/>
                <w:u w:val="none"/>
              </w:rPr>
              <w:t>年</w:t>
            </w:r>
          </w:p>
        </w:tc>
        <w:tc>
          <w:tcPr>
            <w:tcW w:w="1189" w:type="pct"/>
            <w:gridSpan w:val="2"/>
            <w:noWrap w:val="0"/>
            <w:vAlign w:val="center"/>
          </w:tcPr>
          <w:p w14:paraId="7FBCE2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eastAsia="zh-CN"/>
              </w:rPr>
            </w:pPr>
            <w:r>
              <w:rPr>
                <w:rFonts w:hint="eastAsia" w:ascii="宋体" w:hAnsi="宋体" w:eastAsia="宋体" w:cs="宋体"/>
                <w:bCs/>
                <w:iCs/>
                <w:color w:val="auto"/>
                <w:sz w:val="21"/>
                <w:szCs w:val="21"/>
                <w:highlight w:val="yellow"/>
                <w:u w:val="none"/>
                <w:lang w:eastAsia="zh-CN"/>
              </w:rPr>
              <w:t>中期20</w:t>
            </w:r>
            <w:r>
              <w:rPr>
                <w:rFonts w:hint="eastAsia" w:ascii="宋体" w:hAnsi="宋体" w:eastAsia="宋体" w:cs="宋体"/>
                <w:bCs/>
                <w:iCs/>
                <w:color w:val="auto"/>
                <w:sz w:val="21"/>
                <w:szCs w:val="21"/>
                <w:highlight w:val="yellow"/>
                <w:u w:val="none"/>
                <w:lang w:val="en-US" w:eastAsia="zh-CN"/>
              </w:rPr>
              <w:t>32</w:t>
            </w:r>
            <w:r>
              <w:rPr>
                <w:rFonts w:hint="eastAsia" w:ascii="宋体" w:hAnsi="宋体" w:eastAsia="宋体" w:cs="宋体"/>
                <w:bCs/>
                <w:iCs/>
                <w:color w:val="auto"/>
                <w:sz w:val="21"/>
                <w:szCs w:val="21"/>
                <w:highlight w:val="yellow"/>
                <w:u w:val="none"/>
                <w:lang w:eastAsia="zh-CN"/>
              </w:rPr>
              <w:t>年</w:t>
            </w:r>
          </w:p>
        </w:tc>
        <w:tc>
          <w:tcPr>
            <w:tcW w:w="1435" w:type="pct"/>
            <w:gridSpan w:val="2"/>
            <w:noWrap w:val="0"/>
            <w:vAlign w:val="center"/>
          </w:tcPr>
          <w:p w14:paraId="0ECDF9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eastAsia="zh-CN"/>
              </w:rPr>
            </w:pPr>
            <w:r>
              <w:rPr>
                <w:rFonts w:hint="eastAsia" w:ascii="宋体" w:hAnsi="宋体" w:eastAsia="宋体" w:cs="宋体"/>
                <w:bCs/>
                <w:iCs/>
                <w:color w:val="auto"/>
                <w:sz w:val="21"/>
                <w:szCs w:val="21"/>
                <w:highlight w:val="yellow"/>
                <w:u w:val="none"/>
                <w:lang w:eastAsia="zh-CN"/>
              </w:rPr>
              <w:t>中期20</w:t>
            </w:r>
            <w:r>
              <w:rPr>
                <w:rFonts w:hint="eastAsia" w:ascii="宋体" w:hAnsi="宋体" w:eastAsia="宋体" w:cs="宋体"/>
                <w:bCs/>
                <w:iCs/>
                <w:color w:val="auto"/>
                <w:sz w:val="21"/>
                <w:szCs w:val="21"/>
                <w:highlight w:val="yellow"/>
                <w:u w:val="none"/>
                <w:lang w:val="en-US" w:eastAsia="zh-CN"/>
              </w:rPr>
              <w:t>40</w:t>
            </w:r>
            <w:r>
              <w:rPr>
                <w:rFonts w:hint="eastAsia" w:ascii="宋体" w:hAnsi="宋体" w:eastAsia="宋体" w:cs="宋体"/>
                <w:bCs/>
                <w:iCs/>
                <w:color w:val="auto"/>
                <w:sz w:val="21"/>
                <w:szCs w:val="21"/>
                <w:highlight w:val="yellow"/>
                <w:u w:val="none"/>
                <w:lang w:eastAsia="zh-CN"/>
              </w:rPr>
              <w:t>年</w:t>
            </w:r>
          </w:p>
        </w:tc>
      </w:tr>
      <w:tr w14:paraId="18614D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49B7F2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vMerge w:val="continue"/>
            <w:noWrap w:val="0"/>
            <w:vAlign w:val="center"/>
          </w:tcPr>
          <w:p w14:paraId="1C545B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706" w:type="pct"/>
            <w:noWrap w:val="0"/>
            <w:vAlign w:val="center"/>
          </w:tcPr>
          <w:p w14:paraId="205291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昼间</w:t>
            </w:r>
          </w:p>
        </w:tc>
        <w:tc>
          <w:tcPr>
            <w:tcW w:w="601" w:type="pct"/>
            <w:noWrap w:val="0"/>
            <w:vAlign w:val="center"/>
          </w:tcPr>
          <w:p w14:paraId="6BFDB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夜间</w:t>
            </w:r>
          </w:p>
        </w:tc>
        <w:tc>
          <w:tcPr>
            <w:tcW w:w="599" w:type="pct"/>
            <w:noWrap w:val="0"/>
            <w:vAlign w:val="center"/>
          </w:tcPr>
          <w:p w14:paraId="7D42AD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昼间</w:t>
            </w:r>
          </w:p>
        </w:tc>
        <w:tc>
          <w:tcPr>
            <w:tcW w:w="590" w:type="pct"/>
            <w:noWrap w:val="0"/>
            <w:vAlign w:val="center"/>
          </w:tcPr>
          <w:p w14:paraId="63B4A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夜间</w:t>
            </w:r>
          </w:p>
        </w:tc>
        <w:tc>
          <w:tcPr>
            <w:tcW w:w="664" w:type="pct"/>
            <w:noWrap w:val="0"/>
            <w:vAlign w:val="center"/>
          </w:tcPr>
          <w:p w14:paraId="661913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kern w:val="2"/>
                <w:sz w:val="21"/>
                <w:szCs w:val="21"/>
                <w:highlight w:val="none"/>
                <w:u w:val="none"/>
                <w:lang w:val="en-US" w:eastAsia="zh-CN" w:bidi="ar-SA"/>
              </w:rPr>
            </w:pPr>
            <w:r>
              <w:rPr>
                <w:rFonts w:hint="eastAsia" w:ascii="宋体" w:hAnsi="宋体" w:eastAsia="宋体" w:cs="宋体"/>
                <w:bCs/>
                <w:iCs/>
                <w:color w:val="auto"/>
                <w:sz w:val="21"/>
                <w:szCs w:val="21"/>
                <w:highlight w:val="none"/>
                <w:u w:val="none"/>
              </w:rPr>
              <w:t>昼间</w:t>
            </w:r>
          </w:p>
        </w:tc>
        <w:tc>
          <w:tcPr>
            <w:tcW w:w="771" w:type="pct"/>
            <w:noWrap w:val="0"/>
            <w:vAlign w:val="center"/>
          </w:tcPr>
          <w:p w14:paraId="537473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kern w:val="2"/>
                <w:sz w:val="21"/>
                <w:szCs w:val="21"/>
                <w:highlight w:val="none"/>
                <w:u w:val="none"/>
                <w:lang w:val="en-US" w:eastAsia="zh-CN" w:bidi="ar-SA"/>
              </w:rPr>
            </w:pPr>
            <w:r>
              <w:rPr>
                <w:rFonts w:hint="eastAsia" w:ascii="宋体" w:hAnsi="宋体" w:eastAsia="宋体" w:cs="宋体"/>
                <w:bCs/>
                <w:iCs/>
                <w:color w:val="auto"/>
                <w:sz w:val="21"/>
                <w:szCs w:val="21"/>
                <w:highlight w:val="none"/>
                <w:u w:val="none"/>
              </w:rPr>
              <w:t>夜间</w:t>
            </w:r>
          </w:p>
        </w:tc>
      </w:tr>
      <w:tr w14:paraId="1E9D13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restart"/>
            <w:noWrap w:val="0"/>
            <w:vAlign w:val="center"/>
          </w:tcPr>
          <w:p w14:paraId="61EAB8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rPr>
            </w:pPr>
            <w:r>
              <w:rPr>
                <w:rFonts w:hint="eastAsia" w:ascii="宋体" w:hAnsi="宋体" w:eastAsia="宋体" w:cs="宋体"/>
                <w:bCs/>
                <w:iCs/>
                <w:color w:val="auto"/>
                <w:sz w:val="21"/>
                <w:szCs w:val="21"/>
                <w:highlight w:val="none"/>
                <w:u w:val="none"/>
                <w:lang w:val="en-US" w:eastAsia="zh-CN"/>
              </w:rPr>
              <w:t>双鸭山至时代公路钢铁桥桥尾与水泥厂水泥混凝土硬化路交汇路段</w:t>
            </w:r>
          </w:p>
        </w:tc>
        <w:tc>
          <w:tcPr>
            <w:tcW w:w="504" w:type="pct"/>
            <w:noWrap w:val="0"/>
            <w:vAlign w:val="center"/>
          </w:tcPr>
          <w:p w14:paraId="28A63C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eastAsia="zh-CN"/>
              </w:rPr>
            </w:pPr>
            <w:r>
              <w:rPr>
                <w:rFonts w:hint="eastAsia" w:ascii="宋体" w:hAnsi="宋体" w:eastAsia="宋体" w:cs="宋体"/>
                <w:bCs/>
                <w:iCs/>
                <w:color w:val="auto"/>
                <w:sz w:val="21"/>
                <w:szCs w:val="21"/>
                <w:highlight w:val="none"/>
                <w:u w:val="none"/>
                <w:lang w:val="en-US" w:eastAsia="zh-CN"/>
              </w:rPr>
              <w:t>10</w:t>
            </w:r>
          </w:p>
        </w:tc>
        <w:tc>
          <w:tcPr>
            <w:tcW w:w="706" w:type="pct"/>
            <w:noWrap w:val="0"/>
            <w:vAlign w:val="center"/>
          </w:tcPr>
          <w:p w14:paraId="3EF390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66.36</w:t>
            </w:r>
          </w:p>
        </w:tc>
        <w:tc>
          <w:tcPr>
            <w:tcW w:w="601" w:type="pct"/>
            <w:noWrap w:val="0"/>
            <w:vAlign w:val="center"/>
          </w:tcPr>
          <w:p w14:paraId="28D98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60.26</w:t>
            </w:r>
          </w:p>
        </w:tc>
        <w:tc>
          <w:tcPr>
            <w:tcW w:w="599" w:type="pct"/>
            <w:noWrap w:val="0"/>
            <w:vAlign w:val="center"/>
          </w:tcPr>
          <w:p w14:paraId="724625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66.58</w:t>
            </w:r>
          </w:p>
        </w:tc>
        <w:tc>
          <w:tcPr>
            <w:tcW w:w="590" w:type="pct"/>
            <w:noWrap w:val="0"/>
            <w:vAlign w:val="center"/>
          </w:tcPr>
          <w:p w14:paraId="46DFF1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60.64</w:t>
            </w:r>
          </w:p>
        </w:tc>
        <w:tc>
          <w:tcPr>
            <w:tcW w:w="664" w:type="pct"/>
            <w:noWrap w:val="0"/>
            <w:vAlign w:val="center"/>
          </w:tcPr>
          <w:p w14:paraId="189E64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67.83</w:t>
            </w:r>
          </w:p>
        </w:tc>
        <w:tc>
          <w:tcPr>
            <w:tcW w:w="771" w:type="pct"/>
            <w:noWrap w:val="0"/>
            <w:vAlign w:val="center"/>
          </w:tcPr>
          <w:p w14:paraId="2D3913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rPr>
            </w:pPr>
            <w:r>
              <w:rPr>
                <w:rFonts w:hint="eastAsia" w:ascii="宋体" w:hAnsi="宋体" w:eastAsia="宋体" w:cs="宋体"/>
                <w:bCs/>
                <w:iCs/>
                <w:color w:val="auto"/>
                <w:sz w:val="21"/>
                <w:szCs w:val="21"/>
                <w:highlight w:val="yellow"/>
                <w:u w:val="none"/>
              </w:rPr>
              <w:t>61.04</w:t>
            </w:r>
          </w:p>
        </w:tc>
      </w:tr>
      <w:tr w14:paraId="2C52BC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7D6475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rPr>
            </w:pPr>
          </w:p>
        </w:tc>
        <w:tc>
          <w:tcPr>
            <w:tcW w:w="504" w:type="pct"/>
            <w:noWrap w:val="0"/>
            <w:vAlign w:val="center"/>
          </w:tcPr>
          <w:p w14:paraId="5DFC9B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20</w:t>
            </w:r>
          </w:p>
        </w:tc>
        <w:tc>
          <w:tcPr>
            <w:tcW w:w="706" w:type="pct"/>
            <w:noWrap w:val="0"/>
            <w:vAlign w:val="center"/>
          </w:tcPr>
          <w:p w14:paraId="560C81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60.01</w:t>
            </w:r>
          </w:p>
        </w:tc>
        <w:tc>
          <w:tcPr>
            <w:tcW w:w="601" w:type="pct"/>
            <w:noWrap w:val="0"/>
            <w:vAlign w:val="center"/>
          </w:tcPr>
          <w:p w14:paraId="3F4987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53.91</w:t>
            </w:r>
          </w:p>
        </w:tc>
        <w:tc>
          <w:tcPr>
            <w:tcW w:w="599" w:type="pct"/>
            <w:noWrap w:val="0"/>
            <w:vAlign w:val="center"/>
          </w:tcPr>
          <w:p w14:paraId="38C41A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60.23</w:t>
            </w:r>
          </w:p>
        </w:tc>
        <w:tc>
          <w:tcPr>
            <w:tcW w:w="590" w:type="pct"/>
            <w:noWrap w:val="0"/>
            <w:vAlign w:val="center"/>
          </w:tcPr>
          <w:p w14:paraId="7F86F3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54.29</w:t>
            </w:r>
          </w:p>
        </w:tc>
        <w:tc>
          <w:tcPr>
            <w:tcW w:w="664" w:type="pct"/>
            <w:noWrap w:val="0"/>
            <w:vAlign w:val="center"/>
          </w:tcPr>
          <w:p w14:paraId="1C8225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62.76</w:t>
            </w:r>
          </w:p>
        </w:tc>
        <w:tc>
          <w:tcPr>
            <w:tcW w:w="771" w:type="pct"/>
            <w:noWrap w:val="0"/>
            <w:vAlign w:val="center"/>
          </w:tcPr>
          <w:p w14:paraId="35298A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54.69</w:t>
            </w:r>
          </w:p>
        </w:tc>
      </w:tr>
      <w:tr w14:paraId="09716E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63FA8F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1E5288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40</w:t>
            </w:r>
          </w:p>
        </w:tc>
        <w:tc>
          <w:tcPr>
            <w:tcW w:w="706" w:type="pct"/>
            <w:noWrap w:val="0"/>
            <w:vAlign w:val="center"/>
          </w:tcPr>
          <w:p w14:paraId="17B30B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54.1</w:t>
            </w:r>
          </w:p>
        </w:tc>
        <w:tc>
          <w:tcPr>
            <w:tcW w:w="601" w:type="pct"/>
            <w:noWrap w:val="0"/>
            <w:vAlign w:val="center"/>
          </w:tcPr>
          <w:p w14:paraId="786F5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48.01</w:t>
            </w:r>
          </w:p>
        </w:tc>
        <w:tc>
          <w:tcPr>
            <w:tcW w:w="599" w:type="pct"/>
            <w:noWrap w:val="0"/>
            <w:vAlign w:val="center"/>
          </w:tcPr>
          <w:p w14:paraId="42EE91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54.32</w:t>
            </w:r>
          </w:p>
        </w:tc>
        <w:tc>
          <w:tcPr>
            <w:tcW w:w="590" w:type="pct"/>
            <w:noWrap w:val="0"/>
            <w:vAlign w:val="center"/>
          </w:tcPr>
          <w:p w14:paraId="0D8AA3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48.38</w:t>
            </w:r>
          </w:p>
        </w:tc>
        <w:tc>
          <w:tcPr>
            <w:tcW w:w="664" w:type="pct"/>
            <w:noWrap w:val="0"/>
            <w:vAlign w:val="center"/>
          </w:tcPr>
          <w:p w14:paraId="6A2778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58.29</w:t>
            </w:r>
          </w:p>
        </w:tc>
        <w:tc>
          <w:tcPr>
            <w:tcW w:w="771" w:type="pct"/>
            <w:noWrap w:val="0"/>
            <w:vAlign w:val="center"/>
          </w:tcPr>
          <w:p w14:paraId="6D86D4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48.78</w:t>
            </w:r>
          </w:p>
        </w:tc>
      </w:tr>
      <w:tr w14:paraId="341E91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05AC8A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00B642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60</w:t>
            </w:r>
          </w:p>
        </w:tc>
        <w:tc>
          <w:tcPr>
            <w:tcW w:w="706" w:type="pct"/>
            <w:noWrap w:val="0"/>
            <w:vAlign w:val="center"/>
          </w:tcPr>
          <w:p w14:paraId="55B074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50.85</w:t>
            </w:r>
          </w:p>
        </w:tc>
        <w:tc>
          <w:tcPr>
            <w:tcW w:w="601" w:type="pct"/>
            <w:noWrap w:val="0"/>
            <w:vAlign w:val="center"/>
          </w:tcPr>
          <w:p w14:paraId="5C21DE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44.75</w:t>
            </w:r>
          </w:p>
        </w:tc>
        <w:tc>
          <w:tcPr>
            <w:tcW w:w="599" w:type="pct"/>
            <w:noWrap w:val="0"/>
            <w:vAlign w:val="center"/>
          </w:tcPr>
          <w:p w14:paraId="11B697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51.07</w:t>
            </w:r>
          </w:p>
        </w:tc>
        <w:tc>
          <w:tcPr>
            <w:tcW w:w="590" w:type="pct"/>
            <w:noWrap w:val="0"/>
            <w:vAlign w:val="center"/>
          </w:tcPr>
          <w:p w14:paraId="7C8A2F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45.13</w:t>
            </w:r>
          </w:p>
        </w:tc>
        <w:tc>
          <w:tcPr>
            <w:tcW w:w="664" w:type="pct"/>
            <w:noWrap w:val="0"/>
            <w:vAlign w:val="center"/>
          </w:tcPr>
          <w:p w14:paraId="780464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56.01</w:t>
            </w:r>
          </w:p>
        </w:tc>
        <w:tc>
          <w:tcPr>
            <w:tcW w:w="771" w:type="pct"/>
            <w:noWrap w:val="0"/>
            <w:vAlign w:val="center"/>
          </w:tcPr>
          <w:p w14:paraId="2BCBBC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45.53</w:t>
            </w:r>
          </w:p>
        </w:tc>
      </w:tr>
      <w:tr w14:paraId="0B9C4A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389E4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33B46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80</w:t>
            </w:r>
          </w:p>
        </w:tc>
        <w:tc>
          <w:tcPr>
            <w:tcW w:w="706" w:type="pct"/>
            <w:noWrap w:val="0"/>
            <w:vAlign w:val="center"/>
          </w:tcPr>
          <w:p w14:paraId="20954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48.55</w:t>
            </w:r>
          </w:p>
        </w:tc>
        <w:tc>
          <w:tcPr>
            <w:tcW w:w="601" w:type="pct"/>
            <w:noWrap w:val="0"/>
            <w:vAlign w:val="center"/>
          </w:tcPr>
          <w:p w14:paraId="5466AF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42.46</w:t>
            </w:r>
          </w:p>
        </w:tc>
        <w:tc>
          <w:tcPr>
            <w:tcW w:w="599" w:type="pct"/>
            <w:noWrap w:val="0"/>
            <w:vAlign w:val="center"/>
          </w:tcPr>
          <w:p w14:paraId="67CAD9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48.77</w:t>
            </w:r>
          </w:p>
        </w:tc>
        <w:tc>
          <w:tcPr>
            <w:tcW w:w="590" w:type="pct"/>
            <w:noWrap w:val="0"/>
            <w:vAlign w:val="center"/>
          </w:tcPr>
          <w:p w14:paraId="3FA3A9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42.83</w:t>
            </w:r>
          </w:p>
        </w:tc>
        <w:tc>
          <w:tcPr>
            <w:tcW w:w="664" w:type="pct"/>
            <w:noWrap w:val="0"/>
            <w:vAlign w:val="center"/>
          </w:tcPr>
          <w:p w14:paraId="30131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54.4</w:t>
            </w:r>
          </w:p>
        </w:tc>
        <w:tc>
          <w:tcPr>
            <w:tcW w:w="771" w:type="pct"/>
            <w:noWrap w:val="0"/>
            <w:vAlign w:val="center"/>
          </w:tcPr>
          <w:p w14:paraId="5336E0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43.23</w:t>
            </w:r>
          </w:p>
        </w:tc>
      </w:tr>
      <w:tr w14:paraId="43EF3D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05D2C3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05EDC3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eastAsia="zh-CN"/>
              </w:rPr>
            </w:pPr>
            <w:r>
              <w:rPr>
                <w:rFonts w:hint="eastAsia" w:ascii="宋体" w:hAnsi="宋体" w:eastAsia="宋体" w:cs="宋体"/>
                <w:bCs/>
                <w:iCs/>
                <w:color w:val="auto"/>
                <w:sz w:val="21"/>
                <w:szCs w:val="21"/>
                <w:highlight w:val="none"/>
                <w:u w:val="none"/>
                <w:lang w:val="en-US" w:eastAsia="zh-CN"/>
              </w:rPr>
              <w:t>100</w:t>
            </w:r>
          </w:p>
        </w:tc>
        <w:tc>
          <w:tcPr>
            <w:tcW w:w="706" w:type="pct"/>
            <w:noWrap w:val="0"/>
            <w:vAlign w:val="center"/>
          </w:tcPr>
          <w:p w14:paraId="385A1F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46.83</w:t>
            </w:r>
          </w:p>
        </w:tc>
        <w:tc>
          <w:tcPr>
            <w:tcW w:w="601" w:type="pct"/>
            <w:noWrap w:val="0"/>
            <w:vAlign w:val="center"/>
          </w:tcPr>
          <w:p w14:paraId="35D090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40.73</w:t>
            </w:r>
          </w:p>
        </w:tc>
        <w:tc>
          <w:tcPr>
            <w:tcW w:w="599" w:type="pct"/>
            <w:noWrap w:val="0"/>
            <w:vAlign w:val="center"/>
          </w:tcPr>
          <w:p w14:paraId="44D5FE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47.05</w:t>
            </w:r>
          </w:p>
        </w:tc>
        <w:tc>
          <w:tcPr>
            <w:tcW w:w="590" w:type="pct"/>
            <w:noWrap w:val="0"/>
            <w:vAlign w:val="center"/>
          </w:tcPr>
          <w:p w14:paraId="4CB53C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41.11</w:t>
            </w:r>
          </w:p>
        </w:tc>
        <w:tc>
          <w:tcPr>
            <w:tcW w:w="664" w:type="pct"/>
            <w:noWrap w:val="0"/>
            <w:vAlign w:val="center"/>
          </w:tcPr>
          <w:p w14:paraId="2AE8E2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53.19</w:t>
            </w:r>
          </w:p>
        </w:tc>
        <w:tc>
          <w:tcPr>
            <w:tcW w:w="771" w:type="pct"/>
            <w:noWrap w:val="0"/>
            <w:vAlign w:val="center"/>
          </w:tcPr>
          <w:p w14:paraId="17085E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41.51</w:t>
            </w:r>
          </w:p>
        </w:tc>
      </w:tr>
      <w:tr w14:paraId="3D938C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0D10D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75B643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120</w:t>
            </w:r>
          </w:p>
        </w:tc>
        <w:tc>
          <w:tcPr>
            <w:tcW w:w="706" w:type="pct"/>
            <w:noWrap w:val="0"/>
            <w:vAlign w:val="center"/>
          </w:tcPr>
          <w:p w14:paraId="5C0D68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45.42</w:t>
            </w:r>
          </w:p>
        </w:tc>
        <w:tc>
          <w:tcPr>
            <w:tcW w:w="601" w:type="pct"/>
            <w:noWrap w:val="0"/>
            <w:vAlign w:val="center"/>
          </w:tcPr>
          <w:p w14:paraId="16C720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39.32</w:t>
            </w:r>
          </w:p>
        </w:tc>
        <w:tc>
          <w:tcPr>
            <w:tcW w:w="599" w:type="pct"/>
            <w:noWrap w:val="0"/>
            <w:vAlign w:val="center"/>
          </w:tcPr>
          <w:p w14:paraId="462602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45.64</w:t>
            </w:r>
          </w:p>
        </w:tc>
        <w:tc>
          <w:tcPr>
            <w:tcW w:w="590" w:type="pct"/>
            <w:noWrap w:val="0"/>
            <w:vAlign w:val="center"/>
          </w:tcPr>
          <w:p w14:paraId="7FB036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39.7</w:t>
            </w:r>
          </w:p>
        </w:tc>
        <w:tc>
          <w:tcPr>
            <w:tcW w:w="664" w:type="pct"/>
            <w:noWrap w:val="0"/>
            <w:vAlign w:val="center"/>
          </w:tcPr>
          <w:p w14:paraId="528A3D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52.19</w:t>
            </w:r>
          </w:p>
        </w:tc>
        <w:tc>
          <w:tcPr>
            <w:tcW w:w="771" w:type="pct"/>
            <w:noWrap w:val="0"/>
            <w:vAlign w:val="center"/>
          </w:tcPr>
          <w:p w14:paraId="3594A0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40.1</w:t>
            </w:r>
          </w:p>
        </w:tc>
      </w:tr>
      <w:tr w14:paraId="1B793D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23D653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486CC2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r>
              <w:rPr>
                <w:rFonts w:hint="eastAsia" w:ascii="宋体" w:hAnsi="宋体" w:eastAsia="宋体" w:cs="宋体"/>
                <w:bCs/>
                <w:iCs/>
                <w:color w:val="auto"/>
                <w:sz w:val="21"/>
                <w:szCs w:val="21"/>
                <w:highlight w:val="none"/>
                <w:u w:val="none"/>
              </w:rPr>
              <w:t>1</w:t>
            </w:r>
            <w:r>
              <w:rPr>
                <w:rFonts w:hint="eastAsia" w:ascii="宋体" w:hAnsi="宋体" w:eastAsia="宋体" w:cs="宋体"/>
                <w:bCs/>
                <w:iCs/>
                <w:color w:val="auto"/>
                <w:sz w:val="21"/>
                <w:szCs w:val="21"/>
                <w:highlight w:val="none"/>
                <w:u w:val="none"/>
                <w:lang w:val="en-US" w:eastAsia="zh-CN"/>
              </w:rPr>
              <w:t>4</w:t>
            </w:r>
            <w:r>
              <w:rPr>
                <w:rFonts w:hint="eastAsia" w:ascii="宋体" w:hAnsi="宋体" w:eastAsia="宋体" w:cs="宋体"/>
                <w:bCs/>
                <w:iCs/>
                <w:color w:val="auto"/>
                <w:sz w:val="21"/>
                <w:szCs w:val="21"/>
                <w:highlight w:val="none"/>
                <w:u w:val="none"/>
              </w:rPr>
              <w:t>0</w:t>
            </w:r>
          </w:p>
        </w:tc>
        <w:tc>
          <w:tcPr>
            <w:tcW w:w="706" w:type="pct"/>
            <w:noWrap w:val="0"/>
            <w:vAlign w:val="center"/>
          </w:tcPr>
          <w:p w14:paraId="4809FD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44.17</w:t>
            </w:r>
          </w:p>
        </w:tc>
        <w:tc>
          <w:tcPr>
            <w:tcW w:w="601" w:type="pct"/>
            <w:noWrap w:val="0"/>
            <w:vAlign w:val="center"/>
          </w:tcPr>
          <w:p w14:paraId="4154AA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38.08</w:t>
            </w:r>
          </w:p>
        </w:tc>
        <w:tc>
          <w:tcPr>
            <w:tcW w:w="599" w:type="pct"/>
            <w:noWrap w:val="0"/>
            <w:vAlign w:val="center"/>
          </w:tcPr>
          <w:p w14:paraId="53E6A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44.39</w:t>
            </w:r>
          </w:p>
        </w:tc>
        <w:tc>
          <w:tcPr>
            <w:tcW w:w="590" w:type="pct"/>
            <w:noWrap w:val="0"/>
            <w:vAlign w:val="center"/>
          </w:tcPr>
          <w:p w14:paraId="669035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38.45</w:t>
            </w:r>
          </w:p>
        </w:tc>
        <w:tc>
          <w:tcPr>
            <w:tcW w:w="664" w:type="pct"/>
            <w:noWrap w:val="0"/>
            <w:vAlign w:val="center"/>
          </w:tcPr>
          <w:p w14:paraId="6DFA0B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51.3</w:t>
            </w:r>
          </w:p>
        </w:tc>
        <w:tc>
          <w:tcPr>
            <w:tcW w:w="771" w:type="pct"/>
            <w:noWrap w:val="0"/>
            <w:vAlign w:val="center"/>
          </w:tcPr>
          <w:p w14:paraId="7FC384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38.85</w:t>
            </w:r>
          </w:p>
        </w:tc>
      </w:tr>
      <w:tr w14:paraId="52B591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43FDD8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7AEEB7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eastAsia="zh-CN"/>
              </w:rPr>
            </w:pPr>
            <w:r>
              <w:rPr>
                <w:rFonts w:hint="eastAsia" w:ascii="宋体" w:hAnsi="宋体" w:eastAsia="宋体" w:cs="宋体"/>
                <w:bCs/>
                <w:iCs/>
                <w:color w:val="auto"/>
                <w:sz w:val="21"/>
                <w:szCs w:val="21"/>
                <w:highlight w:val="none"/>
                <w:u w:val="none"/>
                <w:lang w:val="en-US" w:eastAsia="zh-CN"/>
              </w:rPr>
              <w:t>160</w:t>
            </w:r>
          </w:p>
        </w:tc>
        <w:tc>
          <w:tcPr>
            <w:tcW w:w="706" w:type="pct"/>
            <w:noWrap w:val="0"/>
            <w:vAlign w:val="center"/>
          </w:tcPr>
          <w:p w14:paraId="1B0A05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43.15</w:t>
            </w:r>
          </w:p>
        </w:tc>
        <w:tc>
          <w:tcPr>
            <w:tcW w:w="601" w:type="pct"/>
            <w:noWrap w:val="0"/>
            <w:vAlign w:val="center"/>
          </w:tcPr>
          <w:p w14:paraId="314A6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37.06</w:t>
            </w:r>
          </w:p>
        </w:tc>
        <w:tc>
          <w:tcPr>
            <w:tcW w:w="599" w:type="pct"/>
            <w:noWrap w:val="0"/>
            <w:vAlign w:val="center"/>
          </w:tcPr>
          <w:p w14:paraId="1DEFDE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43.37</w:t>
            </w:r>
          </w:p>
        </w:tc>
        <w:tc>
          <w:tcPr>
            <w:tcW w:w="590" w:type="pct"/>
            <w:noWrap w:val="0"/>
            <w:vAlign w:val="center"/>
          </w:tcPr>
          <w:p w14:paraId="05DF4C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37.43</w:t>
            </w:r>
          </w:p>
        </w:tc>
        <w:tc>
          <w:tcPr>
            <w:tcW w:w="664" w:type="pct"/>
            <w:noWrap w:val="0"/>
            <w:vAlign w:val="center"/>
          </w:tcPr>
          <w:p w14:paraId="04F33C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50.57</w:t>
            </w:r>
          </w:p>
        </w:tc>
        <w:tc>
          <w:tcPr>
            <w:tcW w:w="771" w:type="pct"/>
            <w:noWrap w:val="0"/>
            <w:vAlign w:val="center"/>
          </w:tcPr>
          <w:p w14:paraId="302A0D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37.83</w:t>
            </w:r>
          </w:p>
        </w:tc>
      </w:tr>
      <w:tr w14:paraId="0D62B0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74E28E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2FB458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eastAsia="zh-CN"/>
              </w:rPr>
            </w:pPr>
            <w:r>
              <w:rPr>
                <w:rFonts w:hint="eastAsia" w:ascii="宋体" w:hAnsi="宋体" w:eastAsia="宋体" w:cs="宋体"/>
                <w:bCs/>
                <w:iCs/>
                <w:color w:val="auto"/>
                <w:sz w:val="21"/>
                <w:szCs w:val="21"/>
                <w:highlight w:val="none"/>
                <w:u w:val="none"/>
                <w:lang w:val="en-US" w:eastAsia="zh-CN"/>
              </w:rPr>
              <w:t>180</w:t>
            </w:r>
          </w:p>
        </w:tc>
        <w:tc>
          <w:tcPr>
            <w:tcW w:w="706" w:type="pct"/>
            <w:noWrap w:val="0"/>
            <w:vAlign w:val="center"/>
          </w:tcPr>
          <w:p w14:paraId="66E183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42.11</w:t>
            </w:r>
          </w:p>
        </w:tc>
        <w:tc>
          <w:tcPr>
            <w:tcW w:w="601" w:type="pct"/>
            <w:noWrap w:val="0"/>
            <w:vAlign w:val="center"/>
          </w:tcPr>
          <w:p w14:paraId="2C9B21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36.02</w:t>
            </w:r>
          </w:p>
        </w:tc>
        <w:tc>
          <w:tcPr>
            <w:tcW w:w="599" w:type="pct"/>
            <w:noWrap w:val="0"/>
            <w:vAlign w:val="center"/>
          </w:tcPr>
          <w:p w14:paraId="656D5F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42.33</w:t>
            </w:r>
          </w:p>
        </w:tc>
        <w:tc>
          <w:tcPr>
            <w:tcW w:w="590" w:type="pct"/>
            <w:noWrap w:val="0"/>
            <w:vAlign w:val="center"/>
          </w:tcPr>
          <w:p w14:paraId="2C2261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36.39</w:t>
            </w:r>
          </w:p>
        </w:tc>
        <w:tc>
          <w:tcPr>
            <w:tcW w:w="664" w:type="pct"/>
            <w:noWrap w:val="0"/>
            <w:vAlign w:val="center"/>
          </w:tcPr>
          <w:p w14:paraId="5BB668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49.81</w:t>
            </w:r>
          </w:p>
        </w:tc>
        <w:tc>
          <w:tcPr>
            <w:tcW w:w="771" w:type="pct"/>
            <w:noWrap w:val="0"/>
            <w:vAlign w:val="center"/>
          </w:tcPr>
          <w:p w14:paraId="0A1586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36.79</w:t>
            </w:r>
          </w:p>
        </w:tc>
      </w:tr>
      <w:tr w14:paraId="48528B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3" w:type="pct"/>
            <w:vMerge w:val="continue"/>
            <w:noWrap w:val="0"/>
            <w:vAlign w:val="center"/>
          </w:tcPr>
          <w:p w14:paraId="5BAFCC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rPr>
            </w:pPr>
          </w:p>
        </w:tc>
        <w:tc>
          <w:tcPr>
            <w:tcW w:w="504" w:type="pct"/>
            <w:noWrap w:val="0"/>
            <w:vAlign w:val="center"/>
          </w:tcPr>
          <w:p w14:paraId="558F2B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none"/>
                <w:u w:val="none"/>
                <w:lang w:val="en-US" w:eastAsia="zh-CN"/>
              </w:rPr>
            </w:pPr>
            <w:r>
              <w:rPr>
                <w:rFonts w:hint="eastAsia" w:ascii="宋体" w:hAnsi="宋体" w:eastAsia="宋体" w:cs="宋体"/>
                <w:bCs/>
                <w:iCs/>
                <w:color w:val="auto"/>
                <w:sz w:val="21"/>
                <w:szCs w:val="21"/>
                <w:highlight w:val="none"/>
                <w:u w:val="none"/>
                <w:lang w:val="en-US" w:eastAsia="zh-CN"/>
              </w:rPr>
              <w:t>200</w:t>
            </w:r>
          </w:p>
        </w:tc>
        <w:tc>
          <w:tcPr>
            <w:tcW w:w="706" w:type="pct"/>
            <w:noWrap w:val="0"/>
            <w:vAlign w:val="center"/>
          </w:tcPr>
          <w:p w14:paraId="75B6A6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41.24</w:t>
            </w:r>
          </w:p>
        </w:tc>
        <w:tc>
          <w:tcPr>
            <w:tcW w:w="601" w:type="pct"/>
            <w:noWrap w:val="0"/>
            <w:vAlign w:val="center"/>
          </w:tcPr>
          <w:p w14:paraId="643153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35.15</w:t>
            </w:r>
          </w:p>
        </w:tc>
        <w:tc>
          <w:tcPr>
            <w:tcW w:w="599" w:type="pct"/>
            <w:noWrap w:val="0"/>
            <w:vAlign w:val="center"/>
          </w:tcPr>
          <w:p w14:paraId="52D9B3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41.46</w:t>
            </w:r>
          </w:p>
        </w:tc>
        <w:tc>
          <w:tcPr>
            <w:tcW w:w="590" w:type="pct"/>
            <w:noWrap w:val="0"/>
            <w:vAlign w:val="center"/>
          </w:tcPr>
          <w:p w14:paraId="5F1C5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lang w:val="en-US" w:eastAsia="zh-CN"/>
              </w:rPr>
              <w:t>35.52</w:t>
            </w:r>
          </w:p>
        </w:tc>
        <w:tc>
          <w:tcPr>
            <w:tcW w:w="664" w:type="pct"/>
            <w:noWrap w:val="0"/>
            <w:vAlign w:val="center"/>
          </w:tcPr>
          <w:p w14:paraId="2018BF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49.15</w:t>
            </w:r>
          </w:p>
        </w:tc>
        <w:tc>
          <w:tcPr>
            <w:tcW w:w="771" w:type="pct"/>
            <w:noWrap w:val="0"/>
            <w:vAlign w:val="center"/>
          </w:tcPr>
          <w:p w14:paraId="42054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iCs/>
                <w:color w:val="auto"/>
                <w:sz w:val="21"/>
                <w:szCs w:val="21"/>
                <w:highlight w:val="yellow"/>
                <w:u w:val="none"/>
                <w:lang w:val="en-US" w:eastAsia="zh-CN"/>
              </w:rPr>
            </w:pPr>
            <w:r>
              <w:rPr>
                <w:rFonts w:hint="eastAsia" w:ascii="宋体" w:hAnsi="宋体" w:eastAsia="宋体" w:cs="宋体"/>
                <w:bCs/>
                <w:iCs/>
                <w:color w:val="auto"/>
                <w:sz w:val="21"/>
                <w:szCs w:val="21"/>
                <w:highlight w:val="yellow"/>
                <w:u w:val="none"/>
              </w:rPr>
              <w:t>35.92</w:t>
            </w:r>
          </w:p>
        </w:tc>
      </w:tr>
    </w:tbl>
    <w:p w14:paraId="6A003C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11"/>
          <w:sz w:val="24"/>
          <w:szCs w:val="24"/>
          <w:highlight w:val="none"/>
        </w:rPr>
      </w:pPr>
      <w:r>
        <w:rPr>
          <w:rFonts w:hint="eastAsia" w:ascii="宋体" w:hAnsi="宋体" w:eastAsia="宋体" w:cs="宋体"/>
          <w:color w:val="auto"/>
          <w:kern w:val="11"/>
          <w:sz w:val="24"/>
          <w:szCs w:val="24"/>
          <w:highlight w:val="none"/>
        </w:rPr>
        <w:t>本项目交通噪声影响评价结果如下：</w:t>
      </w:r>
    </w:p>
    <w:p w14:paraId="5E170B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11"/>
          <w:sz w:val="24"/>
          <w:szCs w:val="24"/>
          <w:highlight w:val="yellow"/>
        </w:rPr>
      </w:pPr>
      <w:r>
        <w:rPr>
          <w:rFonts w:hint="eastAsia" w:ascii="宋体" w:hAnsi="宋体" w:eastAsia="宋体" w:cs="宋体"/>
          <w:color w:val="auto"/>
          <w:sz w:val="24"/>
          <w:szCs w:val="24"/>
          <w:highlight w:val="yellow"/>
        </w:rPr>
        <w:t>随着距道路路肩距离的增加，交通噪声的影响逐渐减小；同时，随着营运期的增长，车流量的增大，交通噪声声级值也随之增强。其中昼夜间的交通噪声最大值均出现在</w:t>
      </w:r>
      <w:r>
        <w:rPr>
          <w:rFonts w:hint="eastAsia" w:ascii="宋体" w:hAnsi="宋体" w:eastAsia="宋体" w:cs="宋体"/>
          <w:color w:val="auto"/>
          <w:sz w:val="24"/>
          <w:szCs w:val="24"/>
          <w:highlight w:val="yellow"/>
          <w:lang w:val="en-US" w:eastAsia="zh-CN"/>
        </w:rPr>
        <w:t>2042</w:t>
      </w:r>
      <w:r>
        <w:rPr>
          <w:rFonts w:hint="eastAsia" w:ascii="宋体" w:hAnsi="宋体" w:eastAsia="宋体" w:cs="宋体"/>
          <w:color w:val="auto"/>
          <w:sz w:val="24"/>
          <w:szCs w:val="24"/>
          <w:highlight w:val="yellow"/>
        </w:rPr>
        <w:t>年，在距路肩5m处，昼间交通噪声最大值为</w:t>
      </w:r>
      <w:r>
        <w:rPr>
          <w:rFonts w:hint="eastAsia" w:ascii="宋体" w:hAnsi="宋体" w:eastAsia="宋体" w:cs="宋体"/>
          <w:color w:val="auto"/>
          <w:sz w:val="24"/>
          <w:szCs w:val="24"/>
          <w:highlight w:val="yellow"/>
          <w:lang w:val="en-US" w:eastAsia="zh-CN"/>
        </w:rPr>
        <w:t>67.83</w:t>
      </w:r>
      <w:r>
        <w:rPr>
          <w:rFonts w:hint="eastAsia" w:ascii="宋体" w:hAnsi="宋体" w:eastAsia="宋体" w:cs="宋体"/>
          <w:color w:val="auto"/>
          <w:sz w:val="24"/>
          <w:szCs w:val="24"/>
          <w:highlight w:val="yellow"/>
        </w:rPr>
        <w:t>dB，夜间交通噪声最大值为</w:t>
      </w:r>
      <w:r>
        <w:rPr>
          <w:rFonts w:hint="eastAsia" w:ascii="宋体" w:hAnsi="宋体" w:eastAsia="宋体" w:cs="宋体"/>
          <w:color w:val="auto"/>
          <w:sz w:val="24"/>
          <w:szCs w:val="24"/>
          <w:highlight w:val="yellow"/>
          <w:lang w:val="en-US" w:eastAsia="zh-CN"/>
        </w:rPr>
        <w:t>61.04</w:t>
      </w:r>
      <w:r>
        <w:rPr>
          <w:rFonts w:hint="eastAsia" w:ascii="宋体" w:hAnsi="宋体" w:eastAsia="宋体" w:cs="宋体"/>
          <w:color w:val="auto"/>
          <w:sz w:val="24"/>
          <w:szCs w:val="24"/>
          <w:highlight w:val="yellow"/>
        </w:rPr>
        <w:t>dB。</w:t>
      </w:r>
    </w:p>
    <w:p w14:paraId="46F865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yellow"/>
          <w:lang w:val="en-US" w:eastAsia="zh-CN"/>
        </w:rPr>
      </w:pPr>
      <w:r>
        <w:rPr>
          <w:rFonts w:hint="eastAsia" w:ascii="宋体" w:hAnsi="宋体" w:eastAsia="宋体" w:cs="宋体"/>
          <w:color w:val="auto"/>
          <w:sz w:val="24"/>
          <w:szCs w:val="24"/>
          <w:highlight w:val="yellow"/>
        </w:rPr>
        <w:t>根据GB3096-2008《声环境质量标准》及GB/T15190-94《城市区域环境噪声适用区划分技术规范》，结合项目所在区域功能，项目建成后，区域内声环境功能区划分如下：本项目拟</w:t>
      </w:r>
      <w:r>
        <w:rPr>
          <w:rFonts w:hint="eastAsia" w:ascii="宋体" w:hAnsi="宋体" w:eastAsia="宋体" w:cs="宋体"/>
          <w:color w:val="auto"/>
          <w:sz w:val="24"/>
          <w:szCs w:val="24"/>
          <w:highlight w:val="yellow"/>
          <w:lang w:val="en-US" w:eastAsia="zh-CN"/>
        </w:rPr>
        <w:t>改</w:t>
      </w:r>
      <w:r>
        <w:rPr>
          <w:rFonts w:hint="eastAsia" w:ascii="宋体" w:hAnsi="宋体" w:eastAsia="宋体" w:cs="宋体"/>
          <w:color w:val="auto"/>
          <w:sz w:val="24"/>
          <w:szCs w:val="24"/>
          <w:highlight w:val="yellow"/>
        </w:rPr>
        <w:t>建道路</w:t>
      </w:r>
      <w:r>
        <w:rPr>
          <w:rFonts w:hint="eastAsia" w:ascii="宋体" w:hAnsi="宋体" w:eastAsia="宋体" w:cs="宋体"/>
          <w:color w:val="auto"/>
          <w:sz w:val="24"/>
          <w:szCs w:val="24"/>
          <w:highlight w:val="yellow"/>
          <w:lang w:val="en-US" w:eastAsia="zh-CN"/>
        </w:rPr>
        <w:t>南侧临路的</w:t>
      </w:r>
      <w:r>
        <w:rPr>
          <w:rFonts w:hint="eastAsia" w:ascii="宋体" w:hAnsi="宋体" w:eastAsia="宋体" w:cs="宋体"/>
          <w:color w:val="auto"/>
          <w:sz w:val="24"/>
          <w:szCs w:val="24"/>
          <w:highlight w:val="yellow"/>
        </w:rPr>
        <w:t>一层平房建筑为主，</w:t>
      </w:r>
      <w:r>
        <w:rPr>
          <w:rFonts w:hint="eastAsia" w:ascii="宋体" w:hAnsi="宋体" w:eastAsia="宋体" w:cs="宋体"/>
          <w:color w:val="auto"/>
          <w:sz w:val="24"/>
          <w:szCs w:val="24"/>
          <w:highlight w:val="yellow"/>
          <w:lang w:val="en-US" w:eastAsia="zh-CN"/>
        </w:rPr>
        <w:t>交通干线边界</w:t>
      </w:r>
      <w:r>
        <w:rPr>
          <w:rFonts w:hint="eastAsia" w:ascii="宋体" w:hAnsi="宋体" w:eastAsia="宋体" w:cs="宋体"/>
          <w:color w:val="auto"/>
          <w:sz w:val="24"/>
          <w:szCs w:val="24"/>
          <w:highlight w:val="yellow"/>
        </w:rPr>
        <w:t>线</w:t>
      </w:r>
      <w:r>
        <w:rPr>
          <w:rFonts w:hint="eastAsia" w:ascii="宋体" w:hAnsi="宋体" w:eastAsia="宋体" w:cs="宋体"/>
          <w:color w:val="auto"/>
          <w:sz w:val="24"/>
          <w:szCs w:val="24"/>
          <w:highlight w:val="yellow"/>
          <w:lang w:val="en-US" w:eastAsia="zh-CN"/>
        </w:rPr>
        <w:t>外40</w:t>
      </w:r>
      <w:r>
        <w:rPr>
          <w:rFonts w:hint="eastAsia" w:ascii="宋体" w:hAnsi="宋体" w:eastAsia="宋体" w:cs="宋体"/>
          <w:color w:val="auto"/>
          <w:sz w:val="24"/>
          <w:szCs w:val="24"/>
          <w:highlight w:val="yellow"/>
        </w:rPr>
        <w:t>m以内区域为4a类区，</w:t>
      </w:r>
      <w:r>
        <w:rPr>
          <w:rFonts w:hint="eastAsia" w:ascii="宋体" w:hAnsi="宋体" w:eastAsia="宋体" w:cs="宋体"/>
          <w:color w:val="auto"/>
          <w:sz w:val="24"/>
          <w:szCs w:val="24"/>
          <w:highlight w:val="yellow"/>
          <w:lang w:val="en-US" w:eastAsia="zh-CN"/>
        </w:rPr>
        <w:t>交通干线边界</w:t>
      </w:r>
      <w:r>
        <w:rPr>
          <w:rFonts w:hint="eastAsia" w:ascii="宋体" w:hAnsi="宋体" w:eastAsia="宋体" w:cs="宋体"/>
          <w:color w:val="auto"/>
          <w:sz w:val="24"/>
          <w:szCs w:val="24"/>
          <w:highlight w:val="yellow"/>
        </w:rPr>
        <w:t>线</w:t>
      </w:r>
      <w:r>
        <w:rPr>
          <w:rFonts w:hint="eastAsia" w:ascii="宋体" w:hAnsi="宋体" w:eastAsia="宋体" w:cs="宋体"/>
          <w:color w:val="auto"/>
          <w:sz w:val="24"/>
          <w:szCs w:val="24"/>
          <w:highlight w:val="yellow"/>
          <w:lang w:val="en-US" w:eastAsia="zh-CN"/>
        </w:rPr>
        <w:t>外40</w:t>
      </w:r>
      <w:r>
        <w:rPr>
          <w:rFonts w:hint="eastAsia" w:ascii="宋体" w:hAnsi="宋体" w:eastAsia="宋体" w:cs="宋体"/>
          <w:color w:val="auto"/>
          <w:sz w:val="24"/>
          <w:szCs w:val="24"/>
          <w:highlight w:val="yellow"/>
        </w:rPr>
        <w:t>m以外区域为</w:t>
      </w:r>
      <w:r>
        <w:rPr>
          <w:rFonts w:hint="eastAsia" w:ascii="宋体" w:hAnsi="宋体" w:eastAsia="宋体" w:cs="宋体"/>
          <w:color w:val="auto"/>
          <w:sz w:val="24"/>
          <w:szCs w:val="24"/>
          <w:highlight w:val="yellow"/>
          <w:lang w:val="en-US" w:eastAsia="zh-CN"/>
        </w:rPr>
        <w:t>2</w:t>
      </w:r>
      <w:r>
        <w:rPr>
          <w:rFonts w:hint="eastAsia" w:ascii="宋体" w:hAnsi="宋体" w:eastAsia="宋体" w:cs="宋体"/>
          <w:color w:val="auto"/>
          <w:sz w:val="24"/>
          <w:szCs w:val="24"/>
          <w:highlight w:val="yellow"/>
        </w:rPr>
        <w:t>类区。</w:t>
      </w:r>
      <w:r>
        <w:rPr>
          <w:rFonts w:hint="eastAsia" w:ascii="宋体" w:hAnsi="宋体" w:eastAsia="宋体" w:cs="宋体"/>
          <w:color w:val="auto"/>
          <w:sz w:val="24"/>
          <w:szCs w:val="24"/>
          <w:highlight w:val="yellow"/>
          <w:lang w:val="en-US" w:eastAsia="zh-CN"/>
        </w:rPr>
        <w:t>根据上述预测结果，距道路中线60m处为2类区。2类区近期、中期、远期噪声满足</w:t>
      </w:r>
      <w:r>
        <w:rPr>
          <w:rFonts w:hint="eastAsia" w:ascii="宋体" w:hAnsi="宋体" w:eastAsia="宋体" w:cs="宋体"/>
          <w:color w:val="auto"/>
          <w:sz w:val="24"/>
          <w:szCs w:val="24"/>
          <w:highlight w:val="yellow"/>
        </w:rPr>
        <w:t>《声环境质量标准》</w:t>
      </w:r>
      <w:r>
        <w:rPr>
          <w:rFonts w:hint="eastAsia" w:ascii="宋体" w:hAnsi="宋体" w:eastAsia="宋体" w:cs="宋体"/>
          <w:color w:val="auto"/>
          <w:sz w:val="24"/>
          <w:szCs w:val="24"/>
          <w:highlight w:val="yellow"/>
          <w:lang w:eastAsia="zh-CN"/>
        </w:rPr>
        <w:t>（</w:t>
      </w:r>
      <w:r>
        <w:rPr>
          <w:rFonts w:hint="eastAsia" w:ascii="宋体" w:hAnsi="宋体" w:eastAsia="宋体" w:cs="宋体"/>
          <w:color w:val="auto"/>
          <w:sz w:val="24"/>
          <w:szCs w:val="24"/>
          <w:highlight w:val="yellow"/>
        </w:rPr>
        <w:t>GB3096-2008</w:t>
      </w:r>
      <w:r>
        <w:rPr>
          <w:rFonts w:hint="eastAsia" w:ascii="宋体" w:hAnsi="宋体" w:eastAsia="宋体" w:cs="宋体"/>
          <w:color w:val="auto"/>
          <w:sz w:val="24"/>
          <w:szCs w:val="24"/>
          <w:highlight w:val="yellow"/>
          <w:lang w:eastAsia="zh-CN"/>
        </w:rPr>
        <w:t>）</w:t>
      </w:r>
      <w:r>
        <w:rPr>
          <w:rFonts w:hint="eastAsia" w:ascii="宋体" w:hAnsi="宋体" w:eastAsia="宋体" w:cs="宋体"/>
          <w:color w:val="auto"/>
          <w:sz w:val="24"/>
          <w:szCs w:val="24"/>
          <w:highlight w:val="yellow"/>
          <w:lang w:val="en-US" w:eastAsia="zh-CN"/>
        </w:rPr>
        <w:t>2类标准。近期</w:t>
      </w:r>
      <w:r>
        <w:rPr>
          <w:rFonts w:hint="eastAsia" w:ascii="宋体" w:hAnsi="宋体" w:eastAsia="宋体" w:cs="宋体"/>
          <w:color w:val="auto"/>
          <w:kern w:val="11"/>
          <w:sz w:val="24"/>
          <w:szCs w:val="24"/>
          <w:highlight w:val="yellow"/>
          <w:lang w:val="en-US" w:eastAsia="zh-CN"/>
        </w:rPr>
        <w:t>4a类区昼间在道路边界线内达标，夜间达标距离为道路边界线外15m。中期4a类区昼间在道路边界线内达标，夜间达标距离为道路边界线外15m。远期4a类区昼间在道路边界线内达标，夜间达标距离为道路边界线外15m。</w:t>
      </w:r>
    </w:p>
    <w:p w14:paraId="6B34D8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⑤敏感点噪声预测</w:t>
      </w:r>
    </w:p>
    <w:p w14:paraId="25926F54">
      <w:pPr>
        <w:pStyle w:val="108"/>
        <w:rPr>
          <w:rFonts w:hint="eastAsia" w:ascii="宋体" w:hAnsi="宋体" w:eastAsia="宋体" w:cs="宋体"/>
          <w:color w:val="auto"/>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73C51F7">
      <w:pPr>
        <w:pStyle w:val="108"/>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本项目营运期200m范围内涉及敏感点为：</w:t>
      </w:r>
      <w:r>
        <w:rPr>
          <w:rFonts w:hint="eastAsia" w:ascii="宋体" w:hAnsi="宋体" w:eastAsia="宋体" w:cs="宋体"/>
          <w:color w:val="auto"/>
          <w:sz w:val="24"/>
          <w:szCs w:val="24"/>
          <w:highlight w:val="none"/>
          <w:lang w:eastAsia="zh-CN"/>
        </w:rPr>
        <w:t>南侧平房居民</w:t>
      </w:r>
      <w:r>
        <w:rPr>
          <w:rFonts w:hint="eastAsia" w:ascii="宋体" w:hAnsi="宋体" w:eastAsia="宋体" w:cs="宋体"/>
          <w:color w:val="auto"/>
          <w:sz w:val="24"/>
          <w:szCs w:val="24"/>
          <w:highlight w:val="none"/>
        </w:rPr>
        <w:t>，项目范围内敏感点均为平房。本项目对敏感点噪声影响预测如下表</w:t>
      </w:r>
      <w:r>
        <w:rPr>
          <w:rFonts w:hint="eastAsia" w:ascii="宋体" w:hAnsi="宋体" w:eastAsia="宋体" w:cs="宋体"/>
          <w:color w:val="auto"/>
          <w:sz w:val="24"/>
          <w:szCs w:val="24"/>
          <w:highlight w:val="none"/>
          <w:lang w:val="en-US" w:eastAsia="zh-CN"/>
        </w:rPr>
        <w:t>21</w:t>
      </w:r>
      <w:r>
        <w:rPr>
          <w:rFonts w:hint="eastAsia" w:ascii="宋体" w:hAnsi="宋体" w:eastAsia="宋体" w:cs="宋体"/>
          <w:color w:val="auto"/>
          <w:sz w:val="24"/>
          <w:szCs w:val="24"/>
          <w:highlight w:val="none"/>
        </w:rPr>
        <w:t>。</w:t>
      </w:r>
    </w:p>
    <w:p w14:paraId="4837ED93">
      <w:pPr>
        <w:pStyle w:val="108"/>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21</w:t>
      </w:r>
      <w:r>
        <w:rPr>
          <w:rFonts w:hint="eastAsia" w:ascii="宋体" w:hAnsi="宋体" w:eastAsia="宋体" w:cs="宋体"/>
          <w:b/>
          <w:color w:val="auto"/>
          <w:sz w:val="21"/>
          <w:szCs w:val="21"/>
          <w:highlight w:val="none"/>
        </w:rPr>
        <w:t xml:space="preserve">  敏感点声环境影响预测</w:t>
      </w:r>
      <w:r>
        <w:rPr>
          <w:rFonts w:hint="eastAsia" w:ascii="宋体" w:hAnsi="宋体" w:eastAsia="宋体" w:cs="宋体"/>
          <w:color w:val="auto"/>
          <w:sz w:val="21"/>
          <w:szCs w:val="21"/>
          <w:highlight w:val="none"/>
        </w:rPr>
        <w:t xml:space="preserve">         </w:t>
      </w:r>
      <w:r>
        <w:rPr>
          <w:rFonts w:hint="eastAsia" w:ascii="宋体" w:hAnsi="宋体" w:eastAsia="宋体" w:cs="宋体"/>
          <w:b/>
          <w:bCs/>
          <w:color w:val="auto"/>
          <w:sz w:val="21"/>
          <w:szCs w:val="21"/>
          <w:highlight w:val="none"/>
        </w:rPr>
        <w:t>单位：dB（A）</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40"/>
        <w:gridCol w:w="540"/>
        <w:gridCol w:w="540"/>
        <w:gridCol w:w="540"/>
        <w:gridCol w:w="540"/>
        <w:gridCol w:w="788"/>
        <w:gridCol w:w="565"/>
        <w:gridCol w:w="528"/>
        <w:gridCol w:w="493"/>
        <w:gridCol w:w="553"/>
        <w:gridCol w:w="625"/>
        <w:gridCol w:w="505"/>
        <w:gridCol w:w="540"/>
        <w:gridCol w:w="577"/>
        <w:gridCol w:w="433"/>
        <w:gridCol w:w="588"/>
        <w:gridCol w:w="613"/>
        <w:gridCol w:w="457"/>
        <w:gridCol w:w="600"/>
        <w:gridCol w:w="566"/>
        <w:gridCol w:w="516"/>
        <w:gridCol w:w="601"/>
        <w:gridCol w:w="565"/>
        <w:gridCol w:w="422"/>
      </w:tblGrid>
      <w:tr w14:paraId="46B39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04" w:type="pct"/>
            <w:vMerge w:val="restart"/>
            <w:noWrap w:val="0"/>
            <w:vAlign w:val="center"/>
          </w:tcPr>
          <w:p w14:paraId="3A22CB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敏感点</w:t>
            </w:r>
          </w:p>
          <w:p w14:paraId="1B9ABB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名称</w:t>
            </w:r>
          </w:p>
        </w:tc>
        <w:tc>
          <w:tcPr>
            <w:tcW w:w="408" w:type="pct"/>
            <w:gridSpan w:val="2"/>
            <w:noWrap w:val="0"/>
            <w:vAlign w:val="center"/>
          </w:tcPr>
          <w:p w14:paraId="3203C3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背景值</w:t>
            </w:r>
          </w:p>
        </w:tc>
        <w:tc>
          <w:tcPr>
            <w:tcW w:w="204" w:type="pct"/>
            <w:vMerge w:val="restart"/>
            <w:noWrap w:val="0"/>
            <w:vAlign w:val="center"/>
          </w:tcPr>
          <w:p w14:paraId="13891E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距道路最近处功能区</w:t>
            </w:r>
          </w:p>
        </w:tc>
        <w:tc>
          <w:tcPr>
            <w:tcW w:w="501" w:type="pct"/>
            <w:gridSpan w:val="2"/>
            <w:vMerge w:val="restart"/>
            <w:noWrap w:val="0"/>
            <w:vAlign w:val="center"/>
          </w:tcPr>
          <w:p w14:paraId="179EA1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与</w:t>
            </w:r>
            <w:r>
              <w:rPr>
                <w:rFonts w:hint="eastAsia" w:ascii="宋体" w:hAnsi="宋体" w:eastAsia="宋体" w:cs="宋体"/>
                <w:bCs/>
                <w:iCs/>
                <w:color w:val="auto"/>
                <w:kern w:val="11"/>
                <w:sz w:val="21"/>
                <w:szCs w:val="21"/>
                <w:highlight w:val="none"/>
                <w:u w:val="none"/>
                <w:lang w:val="en-US" w:eastAsia="zh-CN"/>
              </w:rPr>
              <w:t>道</w:t>
            </w:r>
            <w:r>
              <w:rPr>
                <w:rFonts w:hint="eastAsia" w:ascii="宋体" w:hAnsi="宋体" w:eastAsia="宋体" w:cs="宋体"/>
                <w:bCs/>
                <w:iCs/>
                <w:color w:val="auto"/>
                <w:kern w:val="11"/>
                <w:sz w:val="21"/>
                <w:szCs w:val="21"/>
                <w:highlight w:val="none"/>
                <w:u w:val="none"/>
              </w:rPr>
              <w:t>路</w:t>
            </w:r>
            <w:r>
              <w:rPr>
                <w:rFonts w:hint="eastAsia" w:ascii="宋体" w:hAnsi="宋体" w:eastAsia="宋体" w:cs="宋体"/>
                <w:bCs/>
                <w:iCs/>
                <w:color w:val="auto"/>
                <w:kern w:val="11"/>
                <w:sz w:val="21"/>
                <w:szCs w:val="21"/>
                <w:highlight w:val="none"/>
                <w:u w:val="none"/>
                <w:lang w:val="en-US" w:eastAsia="zh-CN"/>
              </w:rPr>
              <w:t>边界线</w:t>
            </w:r>
          </w:p>
          <w:p w14:paraId="60AFC4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相对位置</w:t>
            </w:r>
            <w:r>
              <w:rPr>
                <w:rFonts w:hint="eastAsia" w:ascii="宋体" w:hAnsi="宋体" w:eastAsia="宋体" w:cs="宋体"/>
                <w:bCs/>
                <w:iCs/>
                <w:color w:val="auto"/>
                <w:kern w:val="11"/>
                <w:sz w:val="21"/>
                <w:szCs w:val="21"/>
                <w:highlight w:val="none"/>
                <w:u w:val="none"/>
                <w:lang w:eastAsia="zh-CN"/>
              </w:rPr>
              <w:t>（</w:t>
            </w:r>
            <w:r>
              <w:rPr>
                <w:rFonts w:hint="eastAsia" w:ascii="宋体" w:hAnsi="宋体" w:eastAsia="宋体" w:cs="宋体"/>
                <w:bCs/>
                <w:iCs/>
                <w:color w:val="auto"/>
                <w:kern w:val="11"/>
                <w:sz w:val="21"/>
                <w:szCs w:val="21"/>
                <w:highlight w:val="none"/>
                <w:u w:val="none"/>
              </w:rPr>
              <w:t>m)</w:t>
            </w:r>
          </w:p>
        </w:tc>
        <w:tc>
          <w:tcPr>
            <w:tcW w:w="1234" w:type="pct"/>
            <w:gridSpan w:val="6"/>
            <w:noWrap w:val="0"/>
            <w:vAlign w:val="center"/>
          </w:tcPr>
          <w:p w14:paraId="642B570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近期</w:t>
            </w:r>
          </w:p>
        </w:tc>
        <w:tc>
          <w:tcPr>
            <w:tcW w:w="1212" w:type="pct"/>
            <w:gridSpan w:val="6"/>
            <w:noWrap w:val="0"/>
            <w:vAlign w:val="center"/>
          </w:tcPr>
          <w:p w14:paraId="5DB4AB3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中期</w:t>
            </w:r>
          </w:p>
        </w:tc>
        <w:tc>
          <w:tcPr>
            <w:tcW w:w="1235" w:type="pct"/>
            <w:gridSpan w:val="6"/>
            <w:noWrap w:val="0"/>
            <w:vAlign w:val="center"/>
          </w:tcPr>
          <w:p w14:paraId="78CD44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rPr>
            </w:pPr>
            <w:r>
              <w:rPr>
                <w:rFonts w:hint="eastAsia" w:ascii="宋体" w:hAnsi="宋体" w:eastAsia="宋体" w:cs="宋体"/>
                <w:bCs/>
                <w:iCs/>
                <w:color w:val="auto"/>
                <w:kern w:val="11"/>
                <w:sz w:val="21"/>
                <w:szCs w:val="21"/>
                <w:highlight w:val="none"/>
                <w:u w:val="none"/>
                <w:lang w:val="en-US" w:eastAsia="zh-CN"/>
              </w:rPr>
              <w:t>远期</w:t>
            </w:r>
          </w:p>
        </w:tc>
      </w:tr>
      <w:tr w14:paraId="2062E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04" w:type="pct"/>
            <w:vMerge w:val="continue"/>
            <w:noWrap w:val="0"/>
            <w:vAlign w:val="center"/>
          </w:tcPr>
          <w:p w14:paraId="0D213B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204" w:type="pct"/>
            <w:vMerge w:val="restart"/>
            <w:noWrap w:val="0"/>
            <w:vAlign w:val="center"/>
          </w:tcPr>
          <w:p w14:paraId="582CD1B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昼间</w:t>
            </w:r>
          </w:p>
        </w:tc>
        <w:tc>
          <w:tcPr>
            <w:tcW w:w="204" w:type="pct"/>
            <w:vMerge w:val="restart"/>
            <w:noWrap w:val="0"/>
            <w:vAlign w:val="center"/>
          </w:tcPr>
          <w:p w14:paraId="2D3122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夜间</w:t>
            </w:r>
          </w:p>
        </w:tc>
        <w:tc>
          <w:tcPr>
            <w:tcW w:w="204" w:type="pct"/>
            <w:vMerge w:val="continue"/>
            <w:noWrap w:val="0"/>
            <w:vAlign w:val="center"/>
          </w:tcPr>
          <w:p w14:paraId="632249B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501" w:type="pct"/>
            <w:gridSpan w:val="2"/>
            <w:vMerge w:val="continue"/>
            <w:noWrap w:val="0"/>
            <w:vAlign w:val="center"/>
          </w:tcPr>
          <w:p w14:paraId="10856E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598" w:type="pct"/>
            <w:gridSpan w:val="3"/>
            <w:noWrap w:val="0"/>
            <w:vAlign w:val="center"/>
          </w:tcPr>
          <w:p w14:paraId="22E6F4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昼间</w:t>
            </w:r>
          </w:p>
        </w:tc>
        <w:tc>
          <w:tcPr>
            <w:tcW w:w="635" w:type="pct"/>
            <w:gridSpan w:val="3"/>
            <w:noWrap w:val="0"/>
            <w:vAlign w:val="center"/>
          </w:tcPr>
          <w:p w14:paraId="387F660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夜间</w:t>
            </w:r>
          </w:p>
        </w:tc>
        <w:tc>
          <w:tcPr>
            <w:tcW w:w="585" w:type="pct"/>
            <w:gridSpan w:val="3"/>
            <w:noWrap w:val="0"/>
            <w:vAlign w:val="center"/>
          </w:tcPr>
          <w:p w14:paraId="4CD60C6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昼间</w:t>
            </w:r>
          </w:p>
        </w:tc>
        <w:tc>
          <w:tcPr>
            <w:tcW w:w="626" w:type="pct"/>
            <w:gridSpan w:val="3"/>
            <w:noWrap w:val="0"/>
            <w:vAlign w:val="center"/>
          </w:tcPr>
          <w:p w14:paraId="0474F0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夜间</w:t>
            </w:r>
          </w:p>
        </w:tc>
        <w:tc>
          <w:tcPr>
            <w:tcW w:w="635" w:type="pct"/>
            <w:gridSpan w:val="3"/>
            <w:noWrap w:val="0"/>
            <w:vAlign w:val="center"/>
          </w:tcPr>
          <w:p w14:paraId="268ADD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昼间</w:t>
            </w:r>
          </w:p>
        </w:tc>
        <w:tc>
          <w:tcPr>
            <w:tcW w:w="599" w:type="pct"/>
            <w:gridSpan w:val="3"/>
            <w:noWrap w:val="0"/>
            <w:vAlign w:val="center"/>
          </w:tcPr>
          <w:p w14:paraId="7661FE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夜间</w:t>
            </w:r>
          </w:p>
        </w:tc>
      </w:tr>
      <w:tr w14:paraId="0DF31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04" w:type="pct"/>
            <w:vMerge w:val="continue"/>
            <w:noWrap w:val="0"/>
            <w:vAlign w:val="center"/>
          </w:tcPr>
          <w:p w14:paraId="7FCE97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204" w:type="pct"/>
            <w:vMerge w:val="continue"/>
            <w:noWrap w:val="0"/>
            <w:vAlign w:val="center"/>
          </w:tcPr>
          <w:p w14:paraId="65FDA2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204" w:type="pct"/>
            <w:vMerge w:val="continue"/>
            <w:noWrap w:val="0"/>
            <w:vAlign w:val="center"/>
          </w:tcPr>
          <w:p w14:paraId="4AE704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204" w:type="pct"/>
            <w:vMerge w:val="continue"/>
            <w:noWrap w:val="0"/>
            <w:vAlign w:val="center"/>
          </w:tcPr>
          <w:p w14:paraId="68C5EF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p>
        </w:tc>
        <w:tc>
          <w:tcPr>
            <w:tcW w:w="204" w:type="pct"/>
            <w:noWrap w:val="0"/>
            <w:vAlign w:val="center"/>
          </w:tcPr>
          <w:p w14:paraId="387C2E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距离</w:t>
            </w:r>
          </w:p>
        </w:tc>
        <w:tc>
          <w:tcPr>
            <w:tcW w:w="297" w:type="pct"/>
            <w:noWrap w:val="0"/>
            <w:vAlign w:val="center"/>
          </w:tcPr>
          <w:p w14:paraId="32A93BB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高差</w:t>
            </w:r>
          </w:p>
        </w:tc>
        <w:tc>
          <w:tcPr>
            <w:tcW w:w="213" w:type="pct"/>
            <w:noWrap w:val="0"/>
            <w:vAlign w:val="center"/>
          </w:tcPr>
          <w:p w14:paraId="3DEC083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贡献</w:t>
            </w:r>
          </w:p>
        </w:tc>
        <w:tc>
          <w:tcPr>
            <w:tcW w:w="199" w:type="pct"/>
            <w:noWrap w:val="0"/>
            <w:vAlign w:val="center"/>
          </w:tcPr>
          <w:p w14:paraId="61A32E2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预测</w:t>
            </w:r>
          </w:p>
        </w:tc>
        <w:tc>
          <w:tcPr>
            <w:tcW w:w="186" w:type="pct"/>
            <w:noWrap w:val="0"/>
            <w:vAlign w:val="center"/>
          </w:tcPr>
          <w:p w14:paraId="54841B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超标</w:t>
            </w:r>
          </w:p>
        </w:tc>
        <w:tc>
          <w:tcPr>
            <w:tcW w:w="208" w:type="pct"/>
            <w:noWrap w:val="0"/>
            <w:vAlign w:val="center"/>
          </w:tcPr>
          <w:p w14:paraId="33C5B51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贡献</w:t>
            </w:r>
          </w:p>
        </w:tc>
        <w:tc>
          <w:tcPr>
            <w:tcW w:w="236" w:type="pct"/>
            <w:noWrap w:val="0"/>
            <w:vAlign w:val="center"/>
          </w:tcPr>
          <w:p w14:paraId="5B79708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预测</w:t>
            </w:r>
          </w:p>
        </w:tc>
        <w:tc>
          <w:tcPr>
            <w:tcW w:w="190" w:type="pct"/>
            <w:noWrap w:val="0"/>
            <w:vAlign w:val="center"/>
          </w:tcPr>
          <w:p w14:paraId="7A051E0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超标</w:t>
            </w:r>
          </w:p>
        </w:tc>
        <w:tc>
          <w:tcPr>
            <w:tcW w:w="204" w:type="pct"/>
            <w:noWrap w:val="0"/>
            <w:vAlign w:val="center"/>
          </w:tcPr>
          <w:p w14:paraId="5DF05FC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贡献</w:t>
            </w:r>
          </w:p>
        </w:tc>
        <w:tc>
          <w:tcPr>
            <w:tcW w:w="218" w:type="pct"/>
            <w:noWrap w:val="0"/>
            <w:vAlign w:val="center"/>
          </w:tcPr>
          <w:p w14:paraId="2940A3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预测</w:t>
            </w:r>
          </w:p>
        </w:tc>
        <w:tc>
          <w:tcPr>
            <w:tcW w:w="163" w:type="pct"/>
            <w:noWrap w:val="0"/>
            <w:vAlign w:val="center"/>
          </w:tcPr>
          <w:p w14:paraId="1A031F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超标</w:t>
            </w:r>
          </w:p>
        </w:tc>
        <w:tc>
          <w:tcPr>
            <w:tcW w:w="222" w:type="pct"/>
            <w:noWrap w:val="0"/>
            <w:vAlign w:val="center"/>
          </w:tcPr>
          <w:p w14:paraId="63A98D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贡献</w:t>
            </w:r>
          </w:p>
        </w:tc>
        <w:tc>
          <w:tcPr>
            <w:tcW w:w="231" w:type="pct"/>
            <w:noWrap w:val="0"/>
            <w:vAlign w:val="center"/>
          </w:tcPr>
          <w:p w14:paraId="1B533F4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预测</w:t>
            </w:r>
          </w:p>
        </w:tc>
        <w:tc>
          <w:tcPr>
            <w:tcW w:w="172" w:type="pct"/>
            <w:noWrap w:val="0"/>
            <w:vAlign w:val="center"/>
          </w:tcPr>
          <w:p w14:paraId="38ECAA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超标</w:t>
            </w:r>
          </w:p>
        </w:tc>
        <w:tc>
          <w:tcPr>
            <w:tcW w:w="226" w:type="pct"/>
            <w:noWrap w:val="0"/>
            <w:vAlign w:val="center"/>
          </w:tcPr>
          <w:p w14:paraId="7E7F6F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贡献</w:t>
            </w:r>
          </w:p>
        </w:tc>
        <w:tc>
          <w:tcPr>
            <w:tcW w:w="213" w:type="pct"/>
            <w:noWrap w:val="0"/>
            <w:vAlign w:val="center"/>
          </w:tcPr>
          <w:p w14:paraId="2110023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预测</w:t>
            </w:r>
          </w:p>
        </w:tc>
        <w:tc>
          <w:tcPr>
            <w:tcW w:w="195" w:type="pct"/>
            <w:noWrap w:val="0"/>
            <w:vAlign w:val="center"/>
          </w:tcPr>
          <w:p w14:paraId="36B93C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超标</w:t>
            </w:r>
          </w:p>
        </w:tc>
        <w:tc>
          <w:tcPr>
            <w:tcW w:w="227" w:type="pct"/>
            <w:noWrap w:val="0"/>
            <w:vAlign w:val="center"/>
          </w:tcPr>
          <w:p w14:paraId="72EF0D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贡献</w:t>
            </w:r>
          </w:p>
        </w:tc>
        <w:tc>
          <w:tcPr>
            <w:tcW w:w="213" w:type="pct"/>
            <w:noWrap w:val="0"/>
            <w:vAlign w:val="center"/>
          </w:tcPr>
          <w:p w14:paraId="6180EC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预测</w:t>
            </w:r>
          </w:p>
        </w:tc>
        <w:tc>
          <w:tcPr>
            <w:tcW w:w="159" w:type="pct"/>
            <w:noWrap w:val="0"/>
            <w:vAlign w:val="center"/>
          </w:tcPr>
          <w:p w14:paraId="119094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none"/>
                <w:u w:val="none"/>
                <w:lang w:val="en-US" w:eastAsia="zh-CN" w:bidi="ar-SA"/>
              </w:rPr>
            </w:pPr>
            <w:r>
              <w:rPr>
                <w:rFonts w:hint="eastAsia" w:ascii="宋体" w:hAnsi="宋体" w:eastAsia="宋体" w:cs="宋体"/>
                <w:bCs/>
                <w:iCs/>
                <w:color w:val="auto"/>
                <w:kern w:val="11"/>
                <w:sz w:val="21"/>
                <w:szCs w:val="21"/>
                <w:highlight w:val="none"/>
                <w:u w:val="none"/>
              </w:rPr>
              <w:t>超标</w:t>
            </w:r>
          </w:p>
        </w:tc>
      </w:tr>
      <w:tr w14:paraId="22106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04" w:type="pct"/>
            <w:noWrap w:val="0"/>
            <w:vAlign w:val="center"/>
          </w:tcPr>
          <w:p w14:paraId="1252587A">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南侧平房居民1</w:t>
            </w:r>
          </w:p>
        </w:tc>
        <w:tc>
          <w:tcPr>
            <w:tcW w:w="204" w:type="pct"/>
            <w:noWrap w:val="0"/>
            <w:vAlign w:val="center"/>
          </w:tcPr>
          <w:p w14:paraId="034A0CBE">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i w:val="0"/>
                <w:iCs w:val="0"/>
                <w:color w:val="000000"/>
                <w:kern w:val="0"/>
                <w:sz w:val="21"/>
                <w:szCs w:val="21"/>
                <w:highlight w:val="none"/>
                <w:u w:val="none"/>
                <w:lang w:val="en-US" w:eastAsia="zh-CN" w:bidi="ar"/>
              </w:rPr>
              <w:t>58</w:t>
            </w:r>
          </w:p>
        </w:tc>
        <w:tc>
          <w:tcPr>
            <w:tcW w:w="204" w:type="pct"/>
            <w:noWrap w:val="0"/>
            <w:vAlign w:val="center"/>
          </w:tcPr>
          <w:p w14:paraId="07C4F545">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i w:val="0"/>
                <w:iCs w:val="0"/>
                <w:color w:val="000000"/>
                <w:kern w:val="0"/>
                <w:sz w:val="21"/>
                <w:szCs w:val="21"/>
                <w:highlight w:val="none"/>
                <w:u w:val="none"/>
                <w:lang w:val="en-US" w:eastAsia="zh-CN" w:bidi="ar"/>
              </w:rPr>
              <w:t>49</w:t>
            </w:r>
          </w:p>
        </w:tc>
        <w:tc>
          <w:tcPr>
            <w:tcW w:w="204" w:type="pct"/>
            <w:noWrap w:val="0"/>
            <w:vAlign w:val="center"/>
          </w:tcPr>
          <w:p w14:paraId="47AD467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none"/>
                <w:u w:val="none"/>
              </w:rPr>
            </w:pPr>
            <w:r>
              <w:rPr>
                <w:rFonts w:hint="eastAsia" w:ascii="宋体" w:hAnsi="宋体" w:eastAsia="宋体" w:cs="宋体"/>
                <w:bCs/>
                <w:iCs/>
                <w:color w:val="auto"/>
                <w:kern w:val="11"/>
                <w:sz w:val="21"/>
                <w:szCs w:val="21"/>
                <w:highlight w:val="none"/>
                <w:u w:val="none"/>
              </w:rPr>
              <w:t>4a类区</w:t>
            </w:r>
          </w:p>
        </w:tc>
        <w:tc>
          <w:tcPr>
            <w:tcW w:w="204" w:type="pct"/>
            <w:noWrap w:val="0"/>
            <w:vAlign w:val="center"/>
          </w:tcPr>
          <w:p w14:paraId="2954BB2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25</w:t>
            </w:r>
          </w:p>
        </w:tc>
        <w:tc>
          <w:tcPr>
            <w:tcW w:w="297" w:type="pct"/>
            <w:noWrap w:val="0"/>
            <w:vAlign w:val="center"/>
          </w:tcPr>
          <w:p w14:paraId="4C177F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rPr>
            </w:pPr>
            <w:r>
              <w:rPr>
                <w:rFonts w:hint="eastAsia" w:ascii="宋体" w:hAnsi="宋体" w:eastAsia="宋体" w:cs="宋体"/>
                <w:bCs/>
                <w:iCs/>
                <w:color w:val="auto"/>
                <w:kern w:val="11"/>
                <w:sz w:val="21"/>
                <w:szCs w:val="21"/>
                <w:highlight w:val="yellow"/>
                <w:u w:val="none"/>
                <w:lang w:val="en-US" w:eastAsia="zh-CN"/>
              </w:rPr>
              <w:t>1</w:t>
            </w:r>
          </w:p>
        </w:tc>
        <w:tc>
          <w:tcPr>
            <w:tcW w:w="213" w:type="pct"/>
            <w:noWrap w:val="0"/>
            <w:vAlign w:val="center"/>
          </w:tcPr>
          <w:p w14:paraId="23082F0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56.63</w:t>
            </w:r>
          </w:p>
        </w:tc>
        <w:tc>
          <w:tcPr>
            <w:tcW w:w="199" w:type="pct"/>
            <w:noWrap w:val="0"/>
            <w:vAlign w:val="center"/>
          </w:tcPr>
          <w:p w14:paraId="0DDCB9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60.38</w:t>
            </w:r>
          </w:p>
        </w:tc>
        <w:tc>
          <w:tcPr>
            <w:tcW w:w="186" w:type="pct"/>
            <w:noWrap w:val="0"/>
            <w:vAlign w:val="center"/>
          </w:tcPr>
          <w:p w14:paraId="6C1123B3">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w:t>
            </w:r>
          </w:p>
        </w:tc>
        <w:tc>
          <w:tcPr>
            <w:tcW w:w="208" w:type="pct"/>
            <w:noWrap w:val="0"/>
            <w:vAlign w:val="center"/>
          </w:tcPr>
          <w:p w14:paraId="2942BF2B">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50.54</w:t>
            </w:r>
          </w:p>
        </w:tc>
        <w:tc>
          <w:tcPr>
            <w:tcW w:w="236" w:type="pct"/>
            <w:noWrap w:val="0"/>
            <w:vAlign w:val="center"/>
          </w:tcPr>
          <w:p w14:paraId="48A68F73">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52.85</w:t>
            </w:r>
          </w:p>
        </w:tc>
        <w:tc>
          <w:tcPr>
            <w:tcW w:w="190" w:type="pct"/>
            <w:noWrap w:val="0"/>
            <w:vAlign w:val="center"/>
          </w:tcPr>
          <w:p w14:paraId="3B2CA2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04" w:type="pct"/>
            <w:noWrap w:val="0"/>
            <w:vAlign w:val="center"/>
          </w:tcPr>
          <w:p w14:paraId="673CA54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rPr>
              <w:t>56.85</w:t>
            </w:r>
          </w:p>
        </w:tc>
        <w:tc>
          <w:tcPr>
            <w:tcW w:w="218" w:type="pct"/>
            <w:noWrap w:val="0"/>
            <w:vAlign w:val="center"/>
          </w:tcPr>
          <w:p w14:paraId="2FB966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rPr>
              <w:t>60.47</w:t>
            </w:r>
          </w:p>
        </w:tc>
        <w:tc>
          <w:tcPr>
            <w:tcW w:w="163" w:type="pct"/>
            <w:noWrap w:val="0"/>
            <w:vAlign w:val="center"/>
          </w:tcPr>
          <w:p w14:paraId="63110FC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2" w:type="pct"/>
            <w:noWrap w:val="0"/>
            <w:vAlign w:val="center"/>
          </w:tcPr>
          <w:p w14:paraId="3078D03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50.91</w:t>
            </w:r>
          </w:p>
        </w:tc>
        <w:tc>
          <w:tcPr>
            <w:tcW w:w="231" w:type="pct"/>
            <w:noWrap w:val="0"/>
            <w:vAlign w:val="center"/>
          </w:tcPr>
          <w:p w14:paraId="2764DE5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53.07</w:t>
            </w:r>
          </w:p>
        </w:tc>
        <w:tc>
          <w:tcPr>
            <w:tcW w:w="172" w:type="pct"/>
            <w:noWrap w:val="0"/>
            <w:vAlign w:val="center"/>
          </w:tcPr>
          <w:p w14:paraId="34B668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6" w:type="pct"/>
            <w:noWrap w:val="0"/>
            <w:vAlign w:val="center"/>
          </w:tcPr>
          <w:p w14:paraId="33EBB7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60.45</w:t>
            </w:r>
          </w:p>
        </w:tc>
        <w:tc>
          <w:tcPr>
            <w:tcW w:w="213" w:type="pct"/>
            <w:noWrap w:val="0"/>
            <w:vAlign w:val="center"/>
          </w:tcPr>
          <w:p w14:paraId="63B51C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62.41</w:t>
            </w:r>
          </w:p>
        </w:tc>
        <w:tc>
          <w:tcPr>
            <w:tcW w:w="195" w:type="pct"/>
            <w:noWrap w:val="0"/>
            <w:vAlign w:val="center"/>
          </w:tcPr>
          <w:p w14:paraId="12C821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7" w:type="pct"/>
            <w:noWrap w:val="0"/>
            <w:vAlign w:val="center"/>
          </w:tcPr>
          <w:p w14:paraId="32B0A10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51.31</w:t>
            </w:r>
          </w:p>
        </w:tc>
        <w:tc>
          <w:tcPr>
            <w:tcW w:w="213" w:type="pct"/>
            <w:noWrap w:val="0"/>
            <w:vAlign w:val="center"/>
          </w:tcPr>
          <w:p w14:paraId="021C50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53.32</w:t>
            </w:r>
          </w:p>
        </w:tc>
        <w:tc>
          <w:tcPr>
            <w:tcW w:w="159" w:type="pct"/>
            <w:noWrap w:val="0"/>
            <w:vAlign w:val="center"/>
          </w:tcPr>
          <w:p w14:paraId="250BED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p>
        </w:tc>
      </w:tr>
      <w:tr w14:paraId="1B24B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04" w:type="pct"/>
            <w:noWrap w:val="0"/>
            <w:vAlign w:val="center"/>
          </w:tcPr>
          <w:p w14:paraId="773B2CAD">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南侧平房居民2</w:t>
            </w:r>
          </w:p>
        </w:tc>
        <w:tc>
          <w:tcPr>
            <w:tcW w:w="204" w:type="pct"/>
            <w:noWrap w:val="0"/>
            <w:vAlign w:val="center"/>
          </w:tcPr>
          <w:p w14:paraId="5D33BF1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i w:val="0"/>
                <w:iCs w:val="0"/>
                <w:color w:val="000000"/>
                <w:kern w:val="0"/>
                <w:sz w:val="21"/>
                <w:szCs w:val="21"/>
                <w:highlight w:val="none"/>
                <w:u w:val="none"/>
                <w:lang w:val="en-US" w:eastAsia="zh-CN" w:bidi="ar"/>
              </w:rPr>
              <w:t>53</w:t>
            </w:r>
          </w:p>
        </w:tc>
        <w:tc>
          <w:tcPr>
            <w:tcW w:w="204" w:type="pct"/>
            <w:noWrap w:val="0"/>
            <w:vAlign w:val="center"/>
          </w:tcPr>
          <w:p w14:paraId="263A17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i w:val="0"/>
                <w:iCs w:val="0"/>
                <w:color w:val="000000"/>
                <w:kern w:val="0"/>
                <w:sz w:val="21"/>
                <w:szCs w:val="21"/>
                <w:highlight w:val="none"/>
                <w:u w:val="none"/>
                <w:lang w:val="en-US" w:eastAsia="zh-CN" w:bidi="ar"/>
              </w:rPr>
              <w:t>44</w:t>
            </w:r>
          </w:p>
        </w:tc>
        <w:tc>
          <w:tcPr>
            <w:tcW w:w="204" w:type="pct"/>
            <w:noWrap w:val="0"/>
            <w:vAlign w:val="center"/>
          </w:tcPr>
          <w:p w14:paraId="54912A7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none"/>
                <w:u w:val="none"/>
                <w:lang w:val="en-US" w:eastAsia="zh-CN"/>
              </w:rPr>
            </w:pPr>
            <w:r>
              <w:rPr>
                <w:rFonts w:hint="eastAsia" w:ascii="宋体" w:hAnsi="宋体" w:eastAsia="宋体" w:cs="宋体"/>
                <w:bCs/>
                <w:iCs/>
                <w:color w:val="auto"/>
                <w:kern w:val="11"/>
                <w:sz w:val="21"/>
                <w:szCs w:val="21"/>
                <w:highlight w:val="none"/>
                <w:u w:val="none"/>
                <w:lang w:val="en-US" w:eastAsia="zh-CN"/>
              </w:rPr>
              <w:t>2类</w:t>
            </w:r>
          </w:p>
        </w:tc>
        <w:tc>
          <w:tcPr>
            <w:tcW w:w="204" w:type="pct"/>
            <w:noWrap w:val="0"/>
            <w:vAlign w:val="center"/>
          </w:tcPr>
          <w:p w14:paraId="79ACB4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77</w:t>
            </w:r>
          </w:p>
        </w:tc>
        <w:tc>
          <w:tcPr>
            <w:tcW w:w="297" w:type="pct"/>
            <w:noWrap w:val="0"/>
            <w:vAlign w:val="center"/>
          </w:tcPr>
          <w:p w14:paraId="5EE2E4A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1</w:t>
            </w:r>
          </w:p>
        </w:tc>
        <w:tc>
          <w:tcPr>
            <w:tcW w:w="213" w:type="pct"/>
            <w:noWrap w:val="0"/>
            <w:vAlign w:val="center"/>
          </w:tcPr>
          <w:p w14:paraId="191988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49.19</w:t>
            </w:r>
          </w:p>
        </w:tc>
        <w:tc>
          <w:tcPr>
            <w:tcW w:w="199" w:type="pct"/>
            <w:noWrap w:val="0"/>
            <w:vAlign w:val="center"/>
          </w:tcPr>
          <w:p w14:paraId="6E71202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54.51</w:t>
            </w:r>
          </w:p>
        </w:tc>
        <w:tc>
          <w:tcPr>
            <w:tcW w:w="186" w:type="pct"/>
            <w:noWrap w:val="0"/>
            <w:vAlign w:val="center"/>
          </w:tcPr>
          <w:p w14:paraId="29F20492">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w:t>
            </w:r>
          </w:p>
        </w:tc>
        <w:tc>
          <w:tcPr>
            <w:tcW w:w="208" w:type="pct"/>
            <w:noWrap w:val="0"/>
            <w:vAlign w:val="center"/>
          </w:tcPr>
          <w:p w14:paraId="2DFB965B">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43.1</w:t>
            </w:r>
          </w:p>
        </w:tc>
        <w:tc>
          <w:tcPr>
            <w:tcW w:w="236" w:type="pct"/>
            <w:noWrap w:val="0"/>
            <w:vAlign w:val="center"/>
          </w:tcPr>
          <w:p w14:paraId="77CA0BB1">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lang w:val="en-US" w:eastAsia="zh-CN"/>
              </w:rPr>
              <w:t>46.58</w:t>
            </w:r>
          </w:p>
        </w:tc>
        <w:tc>
          <w:tcPr>
            <w:tcW w:w="190" w:type="pct"/>
            <w:noWrap w:val="0"/>
            <w:vAlign w:val="center"/>
          </w:tcPr>
          <w:p w14:paraId="70F1358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04" w:type="pct"/>
            <w:noWrap w:val="0"/>
            <w:vAlign w:val="center"/>
          </w:tcPr>
          <w:p w14:paraId="72EFBD9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rPr>
              <w:t>49.42</w:t>
            </w:r>
          </w:p>
        </w:tc>
        <w:tc>
          <w:tcPr>
            <w:tcW w:w="218" w:type="pct"/>
            <w:noWrap w:val="0"/>
            <w:vAlign w:val="center"/>
          </w:tcPr>
          <w:p w14:paraId="4DD6AE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iCs/>
                <w:color w:val="auto"/>
                <w:kern w:val="11"/>
                <w:sz w:val="21"/>
                <w:szCs w:val="21"/>
                <w:highlight w:val="yellow"/>
                <w:u w:val="none"/>
                <w:lang w:val="en-US" w:eastAsia="zh-CN"/>
              </w:rPr>
            </w:pPr>
            <w:r>
              <w:rPr>
                <w:rFonts w:hint="eastAsia" w:ascii="宋体" w:hAnsi="宋体" w:eastAsia="宋体" w:cs="宋体"/>
                <w:bCs/>
                <w:iCs/>
                <w:color w:val="auto"/>
                <w:kern w:val="11"/>
                <w:sz w:val="21"/>
                <w:szCs w:val="21"/>
                <w:highlight w:val="yellow"/>
                <w:u w:val="none"/>
              </w:rPr>
              <w:t>54.58</w:t>
            </w:r>
          </w:p>
        </w:tc>
        <w:tc>
          <w:tcPr>
            <w:tcW w:w="163" w:type="pct"/>
            <w:noWrap w:val="0"/>
            <w:vAlign w:val="center"/>
          </w:tcPr>
          <w:p w14:paraId="0ED8204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2" w:type="pct"/>
            <w:noWrap w:val="0"/>
            <w:vAlign w:val="center"/>
          </w:tcPr>
          <w:p w14:paraId="36F83B7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43.47</w:t>
            </w:r>
          </w:p>
        </w:tc>
        <w:tc>
          <w:tcPr>
            <w:tcW w:w="231" w:type="pct"/>
            <w:noWrap w:val="0"/>
            <w:vAlign w:val="center"/>
          </w:tcPr>
          <w:p w14:paraId="6813F3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46.76</w:t>
            </w:r>
          </w:p>
        </w:tc>
        <w:tc>
          <w:tcPr>
            <w:tcW w:w="172" w:type="pct"/>
            <w:noWrap w:val="0"/>
            <w:vAlign w:val="center"/>
          </w:tcPr>
          <w:p w14:paraId="2D93F3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6" w:type="pct"/>
            <w:noWrap w:val="0"/>
            <w:vAlign w:val="center"/>
          </w:tcPr>
          <w:p w14:paraId="7941EF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54.66</w:t>
            </w:r>
          </w:p>
        </w:tc>
        <w:tc>
          <w:tcPr>
            <w:tcW w:w="213" w:type="pct"/>
            <w:noWrap w:val="0"/>
            <w:vAlign w:val="center"/>
          </w:tcPr>
          <w:p w14:paraId="764D17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56.92</w:t>
            </w:r>
          </w:p>
        </w:tc>
        <w:tc>
          <w:tcPr>
            <w:tcW w:w="195" w:type="pct"/>
            <w:noWrap w:val="0"/>
            <w:vAlign w:val="center"/>
          </w:tcPr>
          <w:p w14:paraId="77B5C7A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w:t>
            </w:r>
          </w:p>
        </w:tc>
        <w:tc>
          <w:tcPr>
            <w:tcW w:w="227" w:type="pct"/>
            <w:noWrap w:val="0"/>
            <w:vAlign w:val="center"/>
          </w:tcPr>
          <w:p w14:paraId="64B438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43.88</w:t>
            </w:r>
          </w:p>
        </w:tc>
        <w:tc>
          <w:tcPr>
            <w:tcW w:w="213" w:type="pct"/>
            <w:noWrap w:val="0"/>
            <w:vAlign w:val="center"/>
          </w:tcPr>
          <w:p w14:paraId="208542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yellow"/>
                <w:u w:val="none"/>
                <w:lang w:val="en-US" w:eastAsia="zh-CN" w:bidi="ar"/>
              </w:rPr>
            </w:pPr>
            <w:r>
              <w:rPr>
                <w:rFonts w:hint="eastAsia" w:ascii="宋体" w:hAnsi="宋体" w:eastAsia="宋体" w:cs="宋体"/>
                <w:i w:val="0"/>
                <w:iCs w:val="0"/>
                <w:color w:val="auto"/>
                <w:kern w:val="0"/>
                <w:sz w:val="21"/>
                <w:szCs w:val="21"/>
                <w:highlight w:val="yellow"/>
                <w:u w:val="none"/>
                <w:lang w:val="en-US" w:eastAsia="zh-CN" w:bidi="ar"/>
              </w:rPr>
              <w:t>46.95</w:t>
            </w:r>
          </w:p>
        </w:tc>
        <w:tc>
          <w:tcPr>
            <w:tcW w:w="159" w:type="pct"/>
            <w:noWrap w:val="0"/>
            <w:vAlign w:val="center"/>
          </w:tcPr>
          <w:p w14:paraId="1D3D2C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p>
        </w:tc>
      </w:tr>
    </w:tbl>
    <w:p w14:paraId="6C6464EF">
      <w:pPr>
        <w:spacing w:line="360" w:lineRule="auto"/>
        <w:ind w:firstLine="480" w:firstLineChars="200"/>
        <w:rPr>
          <w:rFonts w:hint="eastAsia" w:ascii="宋体" w:hAnsi="宋体" w:eastAsia="宋体" w:cs="宋体"/>
          <w:color w:val="auto"/>
          <w:sz w:val="24"/>
          <w:szCs w:val="24"/>
          <w:highlight w:val="yellow"/>
          <w:lang w:val="en-US"/>
        </w:rPr>
      </w:pPr>
      <w:r>
        <w:rPr>
          <w:rFonts w:hint="eastAsia" w:ascii="宋体" w:hAnsi="宋体" w:eastAsia="宋体" w:cs="宋体"/>
          <w:color w:val="auto"/>
          <w:sz w:val="24"/>
          <w:szCs w:val="24"/>
          <w:highlight w:val="yellow"/>
        </w:rPr>
        <w:t>由上对沿线敏感点的噪声预测结果可知，</w:t>
      </w:r>
      <w:r>
        <w:rPr>
          <w:rFonts w:hint="eastAsia" w:ascii="宋体" w:hAnsi="宋体" w:eastAsia="宋体" w:cs="宋体"/>
          <w:color w:val="auto"/>
          <w:sz w:val="24"/>
          <w:szCs w:val="24"/>
          <w:highlight w:val="yellow"/>
          <w:lang w:val="en-US" w:eastAsia="zh-CN"/>
        </w:rPr>
        <w:t>交通干线边界线外40米内平房居民</w:t>
      </w:r>
      <w:r>
        <w:rPr>
          <w:rFonts w:hint="eastAsia" w:ascii="宋体" w:hAnsi="宋体" w:eastAsia="宋体" w:cs="宋体"/>
          <w:color w:val="auto"/>
          <w:sz w:val="24"/>
          <w:szCs w:val="24"/>
          <w:highlight w:val="yellow"/>
        </w:rPr>
        <w:t>在近期、中期</w:t>
      </w:r>
      <w:r>
        <w:rPr>
          <w:rFonts w:hint="eastAsia" w:ascii="宋体" w:hAnsi="宋体" w:eastAsia="宋体" w:cs="宋体"/>
          <w:color w:val="auto"/>
          <w:sz w:val="24"/>
          <w:szCs w:val="24"/>
          <w:highlight w:val="yellow"/>
          <w:lang w:eastAsia="zh-CN"/>
        </w:rPr>
        <w:t>、</w:t>
      </w:r>
      <w:r>
        <w:rPr>
          <w:rFonts w:hint="eastAsia" w:ascii="宋体" w:hAnsi="宋体" w:eastAsia="宋体" w:cs="宋体"/>
          <w:color w:val="auto"/>
          <w:sz w:val="24"/>
          <w:szCs w:val="24"/>
          <w:highlight w:val="yellow"/>
          <w:lang w:val="en-US" w:eastAsia="zh-CN"/>
        </w:rPr>
        <w:t>远期</w:t>
      </w:r>
      <w:r>
        <w:rPr>
          <w:rFonts w:hint="eastAsia" w:ascii="宋体" w:hAnsi="宋体" w:eastAsia="宋体" w:cs="宋体"/>
          <w:color w:val="auto"/>
          <w:sz w:val="24"/>
          <w:szCs w:val="24"/>
          <w:highlight w:val="yellow"/>
        </w:rPr>
        <w:t>的交通噪声预测值昼间可以满足《声环境质量标准》（GB3096-2008）</w:t>
      </w:r>
      <w:r>
        <w:rPr>
          <w:rFonts w:hint="eastAsia" w:ascii="宋体" w:hAnsi="宋体" w:eastAsia="宋体" w:cs="宋体"/>
          <w:color w:val="auto"/>
          <w:sz w:val="24"/>
          <w:szCs w:val="24"/>
          <w:highlight w:val="yellow"/>
          <w:lang w:val="en-US" w:eastAsia="zh-CN"/>
        </w:rPr>
        <w:t>中4a类区</w:t>
      </w:r>
      <w:r>
        <w:rPr>
          <w:rFonts w:hint="eastAsia" w:ascii="宋体" w:hAnsi="宋体" w:eastAsia="宋体" w:cs="宋体"/>
          <w:color w:val="auto"/>
          <w:sz w:val="24"/>
          <w:szCs w:val="24"/>
          <w:highlight w:val="yellow"/>
        </w:rPr>
        <w:t>标准要求。</w:t>
      </w:r>
      <w:r>
        <w:rPr>
          <w:rFonts w:hint="eastAsia" w:ascii="宋体" w:hAnsi="宋体" w:eastAsia="宋体" w:cs="宋体"/>
          <w:color w:val="auto"/>
          <w:sz w:val="24"/>
          <w:szCs w:val="24"/>
          <w:highlight w:val="yellow"/>
          <w:lang w:val="en-US" w:eastAsia="zh-CN"/>
        </w:rPr>
        <w:t>交通干线边界线外40米外的敏感点</w:t>
      </w:r>
      <w:r>
        <w:rPr>
          <w:rFonts w:hint="eastAsia" w:ascii="宋体" w:hAnsi="宋体" w:eastAsia="宋体" w:cs="宋体"/>
          <w:color w:val="auto"/>
          <w:sz w:val="24"/>
          <w:szCs w:val="24"/>
          <w:highlight w:val="yellow"/>
        </w:rPr>
        <w:t>在近期、中期</w:t>
      </w:r>
      <w:r>
        <w:rPr>
          <w:rFonts w:hint="eastAsia" w:ascii="宋体" w:hAnsi="宋体" w:eastAsia="宋体" w:cs="宋体"/>
          <w:color w:val="auto"/>
          <w:sz w:val="24"/>
          <w:szCs w:val="24"/>
          <w:highlight w:val="yellow"/>
          <w:lang w:eastAsia="zh-CN"/>
        </w:rPr>
        <w:t>、</w:t>
      </w:r>
      <w:r>
        <w:rPr>
          <w:rFonts w:hint="eastAsia" w:ascii="宋体" w:hAnsi="宋体" w:eastAsia="宋体" w:cs="宋体"/>
          <w:color w:val="auto"/>
          <w:sz w:val="24"/>
          <w:szCs w:val="24"/>
          <w:highlight w:val="yellow"/>
          <w:lang w:val="en-US" w:eastAsia="zh-CN"/>
        </w:rPr>
        <w:t>远期</w:t>
      </w:r>
      <w:r>
        <w:rPr>
          <w:rFonts w:hint="eastAsia" w:ascii="宋体" w:hAnsi="宋体" w:eastAsia="宋体" w:cs="宋体"/>
          <w:color w:val="auto"/>
          <w:sz w:val="24"/>
          <w:szCs w:val="24"/>
          <w:highlight w:val="yellow"/>
        </w:rPr>
        <w:t>的交通噪声预测值昼间可以满足《声环境质量标准》（GB3096-2008）</w:t>
      </w:r>
      <w:r>
        <w:rPr>
          <w:rFonts w:hint="eastAsia" w:ascii="宋体" w:hAnsi="宋体" w:eastAsia="宋体" w:cs="宋体"/>
          <w:color w:val="auto"/>
          <w:sz w:val="24"/>
          <w:szCs w:val="24"/>
          <w:highlight w:val="yellow"/>
          <w:lang w:val="en-US" w:eastAsia="zh-CN"/>
        </w:rPr>
        <w:t>中2类区</w:t>
      </w:r>
      <w:r>
        <w:rPr>
          <w:rFonts w:hint="eastAsia" w:ascii="宋体" w:hAnsi="宋体" w:eastAsia="宋体" w:cs="宋体"/>
          <w:color w:val="auto"/>
          <w:sz w:val="24"/>
          <w:szCs w:val="24"/>
          <w:highlight w:val="yellow"/>
        </w:rPr>
        <w:t>标准要求。</w:t>
      </w:r>
    </w:p>
    <w:p w14:paraId="72493576">
      <w:pPr>
        <w:rPr>
          <w:rFonts w:hint="eastAsia" w:ascii="宋体" w:hAnsi="宋体" w:eastAsia="宋体" w:cs="宋体"/>
          <w:b/>
          <w:color w:val="auto"/>
          <w:sz w:val="24"/>
          <w:szCs w:val="24"/>
          <w:highlight w:val="none"/>
        </w:rPr>
      </w:pPr>
    </w:p>
    <w:p w14:paraId="51ABDB2C">
      <w:pPr>
        <w:pStyle w:val="14"/>
        <w:jc w:val="center"/>
        <w:rPr>
          <w:rFonts w:hint="eastAsia" w:ascii="宋体" w:hAnsi="宋体" w:eastAsia="宋体" w:cs="宋体"/>
          <w:highlight w:val="none"/>
        </w:rPr>
      </w:pPr>
      <w:r>
        <w:rPr>
          <w:rFonts w:hint="eastAsia" w:ascii="宋体" w:hAnsi="宋体" w:eastAsia="宋体" w:cs="宋体"/>
          <w:highlight w:val="none"/>
        </w:rPr>
        <w:drawing>
          <wp:anchor distT="0" distB="0" distL="114300" distR="114300" simplePos="0" relativeHeight="251685888" behindDoc="0" locked="0" layoutInCell="1" allowOverlap="1">
            <wp:simplePos x="0" y="0"/>
            <wp:positionH relativeFrom="column">
              <wp:posOffset>7804150</wp:posOffset>
            </wp:positionH>
            <wp:positionV relativeFrom="paragraph">
              <wp:posOffset>2922905</wp:posOffset>
            </wp:positionV>
            <wp:extent cx="581660" cy="1983740"/>
            <wp:effectExtent l="0" t="0" r="8890" b="16510"/>
            <wp:wrapNone/>
            <wp:docPr id="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8092440" cy="4918075"/>
            <wp:effectExtent l="0" t="0" r="3810" b="15875"/>
            <wp:docPr id="1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3"/>
                    <pic:cNvPicPr>
                      <a:picLocks noChangeAspect="1"/>
                    </pic:cNvPicPr>
                  </pic:nvPicPr>
                  <pic:blipFill>
                    <a:blip r:embed="rId187"/>
                    <a:stretch>
                      <a:fillRect/>
                    </a:stretch>
                  </pic:blipFill>
                  <pic:spPr>
                    <a:xfrm>
                      <a:off x="0" y="0"/>
                      <a:ext cx="8092440" cy="4918075"/>
                    </a:xfrm>
                    <a:prstGeom prst="rect">
                      <a:avLst/>
                    </a:prstGeom>
                    <a:noFill/>
                    <a:ln>
                      <a:noFill/>
                    </a:ln>
                  </pic:spPr>
                </pic:pic>
              </a:graphicData>
            </a:graphic>
          </wp:inline>
        </w:drawing>
      </w:r>
    </w:p>
    <w:p w14:paraId="1C642468">
      <w:pPr>
        <w:pStyle w:val="19"/>
        <w:keepNext w:val="0"/>
        <w:keepLines w:val="0"/>
        <w:pageBreakBefore w:val="0"/>
        <w:widowControl w:val="0"/>
        <w:kinsoku/>
        <w:wordWrap/>
        <w:overflowPunct/>
        <w:topLinePunct w:val="0"/>
        <w:autoSpaceDE/>
        <w:autoSpaceDN/>
        <w:bidi w:val="0"/>
        <w:adjustRightInd/>
        <w:snapToGrid/>
        <w:ind w:left="0" w:leftChars="0" w:firstLine="0"/>
        <w:jc w:val="center"/>
        <w:textAlignment w:val="auto"/>
        <w:rPr>
          <w:rFonts w:hint="eastAsia" w:ascii="宋体" w:hAnsi="宋体" w:eastAsia="宋体" w:cs="宋体"/>
          <w:b/>
          <w:bCs/>
          <w:sz w:val="24"/>
          <w:szCs w:val="32"/>
          <w:highlight w:val="yellow"/>
          <w:lang w:val="en-US" w:eastAsia="zh-CN"/>
        </w:rPr>
      </w:pPr>
      <w:r>
        <w:rPr>
          <w:rFonts w:hint="eastAsia" w:ascii="宋体" w:hAnsi="宋体" w:eastAsia="宋体" w:cs="宋体"/>
          <w:b/>
          <w:bCs/>
          <w:sz w:val="24"/>
          <w:szCs w:val="32"/>
          <w:highlight w:val="yellow"/>
          <w:lang w:val="en-US" w:eastAsia="zh-CN"/>
        </w:rPr>
        <w:t>图6近期昼间等声级线图</w:t>
      </w:r>
    </w:p>
    <w:p w14:paraId="78100BE4">
      <w:pPr>
        <w:pStyle w:val="19"/>
        <w:keepNext w:val="0"/>
        <w:keepLines w:val="0"/>
        <w:pageBreakBefore w:val="0"/>
        <w:widowControl w:val="0"/>
        <w:kinsoku/>
        <w:wordWrap/>
        <w:overflowPunct/>
        <w:topLinePunct w:val="0"/>
        <w:autoSpaceDE/>
        <w:autoSpaceDN/>
        <w:bidi w:val="0"/>
        <w:adjustRightInd/>
        <w:snapToGrid/>
        <w:ind w:left="0" w:leftChars="0" w:firstLine="0"/>
        <w:jc w:val="center"/>
        <w:textAlignment w:val="auto"/>
        <w:rPr>
          <w:rFonts w:hint="eastAsia" w:ascii="宋体" w:hAnsi="宋体" w:eastAsia="宋体" w:cs="宋体"/>
          <w:highlight w:val="none"/>
        </w:rPr>
      </w:pPr>
      <w:r>
        <w:rPr>
          <w:rFonts w:hint="eastAsia" w:ascii="宋体" w:hAnsi="宋体" w:eastAsia="宋体" w:cs="宋体"/>
          <w:highlight w:val="none"/>
        </w:rPr>
        <w:drawing>
          <wp:anchor distT="0" distB="0" distL="114300" distR="114300" simplePos="0" relativeHeight="251684864" behindDoc="0" locked="0" layoutInCell="1" allowOverlap="1">
            <wp:simplePos x="0" y="0"/>
            <wp:positionH relativeFrom="column">
              <wp:posOffset>7601585</wp:posOffset>
            </wp:positionH>
            <wp:positionV relativeFrom="paragraph">
              <wp:posOffset>2920365</wp:posOffset>
            </wp:positionV>
            <wp:extent cx="581660" cy="1983740"/>
            <wp:effectExtent l="0" t="0" r="8890" b="16510"/>
            <wp:wrapNone/>
            <wp:docPr id="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7553960" cy="4870450"/>
            <wp:effectExtent l="0" t="0" r="8890" b="6350"/>
            <wp:docPr id="11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4"/>
                    <pic:cNvPicPr>
                      <a:picLocks noChangeAspect="1"/>
                    </pic:cNvPicPr>
                  </pic:nvPicPr>
                  <pic:blipFill>
                    <a:blip r:embed="rId188"/>
                    <a:stretch>
                      <a:fillRect/>
                    </a:stretch>
                  </pic:blipFill>
                  <pic:spPr>
                    <a:xfrm>
                      <a:off x="0" y="0"/>
                      <a:ext cx="7553960" cy="4870450"/>
                    </a:xfrm>
                    <a:prstGeom prst="rect">
                      <a:avLst/>
                    </a:prstGeom>
                    <a:noFill/>
                    <a:ln>
                      <a:noFill/>
                    </a:ln>
                  </pic:spPr>
                </pic:pic>
              </a:graphicData>
            </a:graphic>
          </wp:inline>
        </w:drawing>
      </w:r>
    </w:p>
    <w:p w14:paraId="37D836D0">
      <w:pPr>
        <w:jc w:val="center"/>
        <w:rPr>
          <w:rFonts w:hint="eastAsia" w:ascii="宋体" w:hAnsi="宋体" w:eastAsia="宋体" w:cs="宋体"/>
          <w:highlight w:val="none"/>
        </w:rPr>
      </w:pPr>
      <w:r>
        <w:rPr>
          <w:rFonts w:hint="eastAsia" w:ascii="宋体" w:hAnsi="宋体" w:eastAsia="宋体" w:cs="宋体"/>
          <w:b/>
          <w:bCs/>
          <w:sz w:val="24"/>
          <w:szCs w:val="32"/>
          <w:highlight w:val="yellow"/>
          <w:lang w:val="en-US" w:eastAsia="zh-CN"/>
        </w:rPr>
        <w:t>图7 近期夜间等声级线图</w:t>
      </w:r>
      <w:r>
        <w:rPr>
          <w:rFonts w:hint="eastAsia" w:ascii="宋体" w:hAnsi="宋体" w:eastAsia="宋体" w:cs="宋体"/>
          <w:highlight w:val="none"/>
        </w:rPr>
        <w:drawing>
          <wp:anchor distT="0" distB="0" distL="114300" distR="114300" simplePos="0" relativeHeight="251686912" behindDoc="0" locked="0" layoutInCell="1" allowOverlap="1">
            <wp:simplePos x="0" y="0"/>
            <wp:positionH relativeFrom="column">
              <wp:posOffset>7592695</wp:posOffset>
            </wp:positionH>
            <wp:positionV relativeFrom="paragraph">
              <wp:posOffset>3074670</wp:posOffset>
            </wp:positionV>
            <wp:extent cx="581660" cy="1983740"/>
            <wp:effectExtent l="0" t="0" r="8890" b="16510"/>
            <wp:wrapNone/>
            <wp:docPr id="2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7834630" cy="5050790"/>
            <wp:effectExtent l="0" t="0" r="13970" b="16510"/>
            <wp:docPr id="11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2"/>
                    <pic:cNvPicPr>
                      <a:picLocks noChangeAspect="1"/>
                    </pic:cNvPicPr>
                  </pic:nvPicPr>
                  <pic:blipFill>
                    <a:blip r:embed="rId189"/>
                    <a:stretch>
                      <a:fillRect/>
                    </a:stretch>
                  </pic:blipFill>
                  <pic:spPr>
                    <a:xfrm>
                      <a:off x="0" y="0"/>
                      <a:ext cx="7834630" cy="5050790"/>
                    </a:xfrm>
                    <a:prstGeom prst="rect">
                      <a:avLst/>
                    </a:prstGeom>
                    <a:noFill/>
                    <a:ln>
                      <a:noFill/>
                    </a:ln>
                  </pic:spPr>
                </pic:pic>
              </a:graphicData>
            </a:graphic>
          </wp:inline>
        </w:drawing>
      </w:r>
    </w:p>
    <w:p w14:paraId="08544D15">
      <w:pPr>
        <w:pStyle w:val="2"/>
        <w:rPr>
          <w:rFonts w:hint="eastAsia" w:ascii="宋体" w:hAnsi="宋体" w:eastAsia="宋体" w:cs="宋体"/>
          <w:highlight w:val="none"/>
        </w:rPr>
      </w:pPr>
      <w:r>
        <w:rPr>
          <w:rFonts w:hint="eastAsia" w:ascii="宋体" w:hAnsi="宋体" w:eastAsia="宋体" w:cs="宋体"/>
          <w:b/>
          <w:bCs/>
          <w:highlight w:val="yellow"/>
          <w:lang w:val="en-US" w:eastAsia="zh-CN"/>
        </w:rPr>
        <w:t>图8 中期昼间等声级线图</w:t>
      </w:r>
      <w:r>
        <w:rPr>
          <w:rFonts w:hint="eastAsia" w:ascii="宋体" w:hAnsi="宋体" w:eastAsia="宋体" w:cs="宋体"/>
          <w:highlight w:val="none"/>
        </w:rPr>
        <w:drawing>
          <wp:anchor distT="0" distB="0" distL="114300" distR="114300" simplePos="0" relativeHeight="251691008" behindDoc="0" locked="0" layoutInCell="1" allowOverlap="1">
            <wp:simplePos x="0" y="0"/>
            <wp:positionH relativeFrom="column">
              <wp:posOffset>7650480</wp:posOffset>
            </wp:positionH>
            <wp:positionV relativeFrom="paragraph">
              <wp:posOffset>2726690</wp:posOffset>
            </wp:positionV>
            <wp:extent cx="581660" cy="1983740"/>
            <wp:effectExtent l="0" t="0" r="8890" b="16510"/>
            <wp:wrapNone/>
            <wp:docPr id="3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7912100" cy="4624070"/>
            <wp:effectExtent l="0" t="0" r="12700" b="5080"/>
            <wp:docPr id="11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0"/>
                    <pic:cNvPicPr>
                      <a:picLocks noChangeAspect="1"/>
                    </pic:cNvPicPr>
                  </pic:nvPicPr>
                  <pic:blipFill>
                    <a:blip r:embed="rId190"/>
                    <a:stretch>
                      <a:fillRect/>
                    </a:stretch>
                  </pic:blipFill>
                  <pic:spPr>
                    <a:xfrm>
                      <a:off x="0" y="0"/>
                      <a:ext cx="7912100" cy="4624070"/>
                    </a:xfrm>
                    <a:prstGeom prst="rect">
                      <a:avLst/>
                    </a:prstGeom>
                    <a:noFill/>
                    <a:ln>
                      <a:noFill/>
                    </a:ln>
                  </pic:spPr>
                </pic:pic>
              </a:graphicData>
            </a:graphic>
          </wp:inline>
        </w:drawing>
      </w:r>
    </w:p>
    <w:p w14:paraId="3B4AE05E">
      <w:pPr>
        <w:jc w:val="center"/>
        <w:rPr>
          <w:rFonts w:hint="eastAsia" w:ascii="宋体" w:hAnsi="宋体" w:eastAsia="宋体" w:cs="宋体"/>
          <w:highlight w:val="none"/>
        </w:rPr>
      </w:pPr>
      <w:r>
        <w:rPr>
          <w:rFonts w:hint="eastAsia" w:ascii="宋体" w:hAnsi="宋体" w:eastAsia="宋体" w:cs="宋体"/>
          <w:b/>
          <w:bCs/>
          <w:sz w:val="24"/>
          <w:szCs w:val="32"/>
          <w:highlight w:val="yellow"/>
          <w:lang w:val="en-US" w:eastAsia="zh-CN"/>
        </w:rPr>
        <w:t>图9 中期夜间等声级线图</w:t>
      </w:r>
      <w:r>
        <w:rPr>
          <w:rFonts w:hint="eastAsia" w:ascii="宋体" w:hAnsi="宋体" w:eastAsia="宋体" w:cs="宋体"/>
          <w:highlight w:val="none"/>
        </w:rPr>
        <w:drawing>
          <wp:anchor distT="0" distB="0" distL="114300" distR="114300" simplePos="0" relativeHeight="251687936" behindDoc="0" locked="0" layoutInCell="1" allowOverlap="1">
            <wp:simplePos x="0" y="0"/>
            <wp:positionH relativeFrom="column">
              <wp:posOffset>7625715</wp:posOffset>
            </wp:positionH>
            <wp:positionV relativeFrom="paragraph">
              <wp:posOffset>3074035</wp:posOffset>
            </wp:positionV>
            <wp:extent cx="581660" cy="1983740"/>
            <wp:effectExtent l="0" t="0" r="8890" b="16510"/>
            <wp:wrapNone/>
            <wp:docPr id="2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7877810" cy="4971415"/>
            <wp:effectExtent l="0" t="0" r="8890" b="635"/>
            <wp:docPr id="1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5"/>
                    <pic:cNvPicPr>
                      <a:picLocks noChangeAspect="1"/>
                    </pic:cNvPicPr>
                  </pic:nvPicPr>
                  <pic:blipFill>
                    <a:blip r:embed="rId191"/>
                    <a:stretch>
                      <a:fillRect/>
                    </a:stretch>
                  </pic:blipFill>
                  <pic:spPr>
                    <a:xfrm>
                      <a:off x="0" y="0"/>
                      <a:ext cx="7877810" cy="4971415"/>
                    </a:xfrm>
                    <a:prstGeom prst="rect">
                      <a:avLst/>
                    </a:prstGeom>
                    <a:noFill/>
                    <a:ln>
                      <a:noFill/>
                    </a:ln>
                  </pic:spPr>
                </pic:pic>
              </a:graphicData>
            </a:graphic>
          </wp:inline>
        </w:drawing>
      </w:r>
    </w:p>
    <w:p w14:paraId="4E41CD9D">
      <w:pPr>
        <w:pStyle w:val="2"/>
        <w:rPr>
          <w:rFonts w:hint="eastAsia" w:ascii="宋体" w:hAnsi="宋体" w:eastAsia="宋体" w:cs="宋体"/>
          <w:highlight w:val="none"/>
        </w:rPr>
      </w:pPr>
      <w:r>
        <w:rPr>
          <w:rFonts w:hint="eastAsia" w:ascii="宋体" w:hAnsi="宋体" w:eastAsia="宋体" w:cs="宋体"/>
          <w:b/>
          <w:bCs/>
          <w:highlight w:val="yellow"/>
          <w:lang w:val="en-US" w:eastAsia="zh-CN"/>
        </w:rPr>
        <w:t>图10 远期昼间等声级线图</w:t>
      </w:r>
      <w:r>
        <w:rPr>
          <w:rFonts w:hint="eastAsia" w:ascii="宋体" w:hAnsi="宋体" w:eastAsia="宋体" w:cs="宋体"/>
          <w:highlight w:val="none"/>
        </w:rPr>
        <w:drawing>
          <wp:anchor distT="0" distB="0" distL="114300" distR="114300" simplePos="0" relativeHeight="251688960" behindDoc="0" locked="0" layoutInCell="1" allowOverlap="1">
            <wp:simplePos x="0" y="0"/>
            <wp:positionH relativeFrom="column">
              <wp:posOffset>7486015</wp:posOffset>
            </wp:positionH>
            <wp:positionV relativeFrom="paragraph">
              <wp:posOffset>2962910</wp:posOffset>
            </wp:positionV>
            <wp:extent cx="581660" cy="1983740"/>
            <wp:effectExtent l="0" t="0" r="8890" b="16510"/>
            <wp:wrapNone/>
            <wp:docPr id="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7"/>
                    <pic:cNvPicPr>
                      <a:picLocks noChangeAspect="1"/>
                    </pic:cNvPicPr>
                  </pic:nvPicPr>
                  <pic:blipFill>
                    <a:blip r:embed="rId186"/>
                    <a:srcRect l="9665"/>
                    <a:stretch>
                      <a:fillRect/>
                    </a:stretch>
                  </pic:blipFill>
                  <pic:spPr>
                    <a:xfrm>
                      <a:off x="0" y="0"/>
                      <a:ext cx="581660" cy="198374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7625715" cy="4930140"/>
            <wp:effectExtent l="0" t="0" r="13335" b="3810"/>
            <wp:docPr id="1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6"/>
                    <pic:cNvPicPr>
                      <a:picLocks noChangeAspect="1"/>
                    </pic:cNvPicPr>
                  </pic:nvPicPr>
                  <pic:blipFill>
                    <a:blip r:embed="rId192"/>
                    <a:stretch>
                      <a:fillRect/>
                    </a:stretch>
                  </pic:blipFill>
                  <pic:spPr>
                    <a:xfrm>
                      <a:off x="0" y="0"/>
                      <a:ext cx="7625715" cy="4930140"/>
                    </a:xfrm>
                    <a:prstGeom prst="rect">
                      <a:avLst/>
                    </a:prstGeom>
                    <a:noFill/>
                    <a:ln>
                      <a:noFill/>
                    </a:ln>
                  </pic:spPr>
                </pic:pic>
              </a:graphicData>
            </a:graphic>
          </wp:inline>
        </w:drawing>
      </w:r>
    </w:p>
    <w:p w14:paraId="78740F06">
      <w:pPr>
        <w:jc w:val="center"/>
        <w:rPr>
          <w:rFonts w:hint="eastAsia" w:ascii="宋体" w:hAnsi="宋体" w:eastAsia="宋体" w:cs="宋体"/>
          <w:b/>
          <w:bCs/>
          <w:sz w:val="24"/>
          <w:szCs w:val="32"/>
          <w:highlight w:val="yellow"/>
          <w:lang w:val="en-US" w:eastAsia="zh-CN"/>
        </w:rPr>
        <w:sectPr>
          <w:footerReference r:id="rId19" w:type="default"/>
          <w:pgSz w:w="16838" w:h="11906" w:orient="landscape"/>
          <w:pgMar w:top="1440" w:right="1800" w:bottom="1440" w:left="1800" w:header="851" w:footer="1418"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bCs/>
          <w:sz w:val="24"/>
          <w:szCs w:val="32"/>
          <w:highlight w:val="yellow"/>
          <w:lang w:val="en-US" w:eastAsia="zh-CN"/>
        </w:rPr>
        <w:t>图11远期夜间等声级线图</w:t>
      </w:r>
    </w:p>
    <w:p w14:paraId="68C1EAC1">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lang w:val="en-US" w:eastAsia="zh-CN"/>
        </w:rPr>
        <w:t>9</w:t>
      </w:r>
      <w:r>
        <w:rPr>
          <w:rFonts w:hint="eastAsia" w:ascii="宋体" w:hAnsi="宋体" w:eastAsia="宋体" w:cs="宋体"/>
          <w:b/>
          <w:color w:val="auto"/>
          <w:sz w:val="24"/>
          <w:szCs w:val="24"/>
          <w:highlight w:val="none"/>
        </w:rPr>
        <w:t>、污染防治措施</w:t>
      </w:r>
    </w:p>
    <w:p w14:paraId="7E4D5F40">
      <w:pPr>
        <w:numPr>
          <w:ilvl w:val="0"/>
          <w:numId w:val="0"/>
        </w:numPr>
        <w:spacing w:before="0" w:after="0"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⑴、施工期噪声污染防治措施</w:t>
      </w:r>
    </w:p>
    <w:p w14:paraId="2722BDF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①</w:t>
      </w:r>
      <w:r>
        <w:rPr>
          <w:rFonts w:hint="eastAsia" w:ascii="宋体" w:hAnsi="宋体" w:eastAsia="宋体" w:cs="宋体"/>
          <w:color w:val="auto"/>
          <w:sz w:val="24"/>
          <w:szCs w:val="24"/>
          <w:highlight w:val="none"/>
        </w:rPr>
        <w:t>、施工噪声来源及应对机械车辆方面的措施</w:t>
      </w:r>
    </w:p>
    <w:p w14:paraId="78789CE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期的噪声主要源于施工机械和运输车辆。施工单位务必采用符合国家相关标准的机械与车辆，优先选用低噪声的机械和工艺。对于振动较大的固定机械设备，要加装减振机座。而且，要对各类施工设备做好维护保养工作，使其保持良好运转状态，从而尽可能降低噪声源强。</w:t>
      </w:r>
    </w:p>
    <w:p w14:paraId="6459FD20">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②</w:t>
      </w:r>
      <w:r>
        <w:rPr>
          <w:rFonts w:hint="eastAsia" w:ascii="宋体" w:hAnsi="宋体" w:eastAsia="宋体" w:cs="宋体"/>
          <w:color w:val="auto"/>
          <w:sz w:val="24"/>
          <w:szCs w:val="24"/>
          <w:highlight w:val="none"/>
        </w:rPr>
        <w:t>、机械施工噪声特点及作业时间调整</w:t>
      </w:r>
    </w:p>
    <w:p w14:paraId="5A2EDCB1">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机械施工的噪声有突发、无规则、不连续、高强度等特性。针对这种情况，可以把噪声源强大的作业安排在昼间（06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00-22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00）进行，或者对各施工机械的操作时间做适当调整。另外，为了减少材料运输、敲击等施工活动产生的噪声源，要求</w:t>
      </w:r>
      <w:r>
        <w:rPr>
          <w:rFonts w:hint="eastAsia" w:ascii="宋体" w:hAnsi="宋体" w:eastAsia="宋体" w:cs="宋体"/>
          <w:color w:val="auto"/>
          <w:sz w:val="24"/>
          <w:szCs w:val="24"/>
          <w:highlight w:val="none"/>
          <w:lang w:val="en-US" w:eastAsia="zh-CN"/>
        </w:rPr>
        <w:t>施工单位</w:t>
      </w:r>
      <w:r>
        <w:rPr>
          <w:rFonts w:hint="eastAsia" w:ascii="宋体" w:hAnsi="宋体" w:eastAsia="宋体" w:cs="宋体"/>
          <w:color w:val="auto"/>
          <w:sz w:val="24"/>
          <w:szCs w:val="24"/>
          <w:highlight w:val="none"/>
        </w:rPr>
        <w:t>通过文明施工并加强有效管理来缓解。</w:t>
      </w:r>
    </w:p>
    <w:p w14:paraId="1A964D76">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③</w:t>
      </w:r>
      <w:r>
        <w:rPr>
          <w:rFonts w:hint="eastAsia" w:ascii="宋体" w:hAnsi="宋体" w:eastAsia="宋体" w:cs="宋体"/>
          <w:color w:val="auto"/>
          <w:sz w:val="24"/>
          <w:szCs w:val="24"/>
          <w:highlight w:val="none"/>
        </w:rPr>
        <w:t>、施工期避开居民休息时间及夜间施工的要求</w:t>
      </w:r>
    </w:p>
    <w:p w14:paraId="03B7A325">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施工期需要避开居民休息时间，禁止在夜间（22∶00-6∶00）施工作业，以此减少对南侧居民的影响。如果要在夜间延长施工，必须取得岭东生态环境</w:t>
      </w:r>
      <w:r>
        <w:rPr>
          <w:rFonts w:hint="eastAsia" w:ascii="宋体" w:hAnsi="宋体" w:eastAsia="宋体" w:cs="宋体"/>
          <w:color w:val="auto"/>
          <w:sz w:val="24"/>
          <w:szCs w:val="24"/>
          <w:highlight w:val="none"/>
          <w:lang w:eastAsia="zh-CN"/>
        </w:rPr>
        <w:t>局</w:t>
      </w:r>
      <w:r>
        <w:rPr>
          <w:rFonts w:hint="eastAsia" w:ascii="宋体" w:hAnsi="宋体" w:eastAsia="宋体" w:cs="宋体"/>
          <w:color w:val="auto"/>
          <w:sz w:val="24"/>
          <w:szCs w:val="24"/>
          <w:highlight w:val="none"/>
        </w:rPr>
        <w:t>的批准，同时要告知南侧居民，并且设置临时声屏障等防噪声措施。</w:t>
      </w:r>
    </w:p>
    <w:p w14:paraId="605F92A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④</w:t>
      </w:r>
      <w:r>
        <w:rPr>
          <w:rFonts w:hint="eastAsia" w:ascii="宋体" w:hAnsi="宋体" w:eastAsia="宋体" w:cs="宋体"/>
          <w:color w:val="auto"/>
          <w:sz w:val="24"/>
          <w:szCs w:val="24"/>
          <w:highlight w:val="none"/>
        </w:rPr>
        <w:t>、对施工人员的防护措施</w:t>
      </w:r>
    </w:p>
    <w:p w14:paraId="7E9D0110">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施工机械噪声会对机械操作者和施工人员造成较为严重的影响，建议对这些人员采取戴耳塞、头盔等个人防护措施。</w:t>
      </w:r>
    </w:p>
    <w:p w14:paraId="0B5182C5">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⑤</w:t>
      </w:r>
      <w:r>
        <w:rPr>
          <w:rFonts w:hint="eastAsia" w:ascii="宋体" w:hAnsi="宋体" w:eastAsia="宋体" w:cs="宋体"/>
          <w:color w:val="auto"/>
          <w:sz w:val="24"/>
          <w:szCs w:val="24"/>
          <w:highlight w:val="none"/>
        </w:rPr>
        <w:t>、避免高噪声设备集中作业</w:t>
      </w:r>
    </w:p>
    <w:p w14:paraId="4FAA014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根据施工作业阶段的具体情况，要尽量避免高噪声机械设备集中使用，或者防止几台声功率相同的设备同时、同点作业，从而减少作业时的噪声声级。</w:t>
      </w:r>
    </w:p>
    <w:p w14:paraId="7F2F699D">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⑥</w:t>
      </w:r>
      <w:r>
        <w:rPr>
          <w:rFonts w:hint="eastAsia" w:ascii="宋体" w:hAnsi="宋体" w:eastAsia="宋体" w:cs="宋体"/>
          <w:color w:val="auto"/>
          <w:sz w:val="24"/>
          <w:szCs w:val="24"/>
          <w:highlight w:val="none"/>
        </w:rPr>
        <w:t>、运输车辆行驶要求</w:t>
      </w:r>
    </w:p>
    <w:p w14:paraId="0F8C9A00">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运输车辆要限速行驶，并且尽量避免鸣笛，以此减轻对声环境保护目标的影响。</w:t>
      </w:r>
    </w:p>
    <w:p w14:paraId="63BFD453">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⑦</w:t>
      </w:r>
      <w:r>
        <w:rPr>
          <w:rFonts w:hint="eastAsia" w:ascii="宋体" w:hAnsi="宋体" w:eastAsia="宋体" w:cs="宋体"/>
          <w:color w:val="auto"/>
          <w:sz w:val="24"/>
          <w:szCs w:val="24"/>
          <w:highlight w:val="none"/>
        </w:rPr>
        <w:t>、围挡、围栏及防溢座的设置</w:t>
      </w:r>
    </w:p>
    <w:p w14:paraId="706BCD5E">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在施工期间，施工</w:t>
      </w:r>
      <w:r>
        <w:rPr>
          <w:rFonts w:hint="eastAsia" w:ascii="宋体" w:hAnsi="宋体" w:eastAsia="宋体" w:cs="宋体"/>
          <w:color w:val="auto"/>
          <w:sz w:val="24"/>
          <w:szCs w:val="24"/>
          <w:highlight w:val="none"/>
          <w:lang w:eastAsia="zh-CN"/>
        </w:rPr>
        <w:t>场地</w:t>
      </w:r>
      <w:r>
        <w:rPr>
          <w:rFonts w:hint="eastAsia" w:ascii="宋体" w:hAnsi="宋体" w:eastAsia="宋体" w:cs="宋体"/>
          <w:color w:val="auto"/>
          <w:sz w:val="24"/>
          <w:szCs w:val="24"/>
          <w:highlight w:val="none"/>
        </w:rPr>
        <w:t>边界应设置高度在3m以上的围挡，根据地方管理要求，围挡高度可适当增加。围挡底端要设置防溢座，围挡之间以及围挡与防溢座之间不能有缝隙。对于特殊地点无法设置围挡、围栏及防溢座的，应设置警示牌。</w:t>
      </w:r>
    </w:p>
    <w:p w14:paraId="5A8A8C14">
      <w:pPr>
        <w:numPr>
          <w:ilvl w:val="0"/>
          <w:numId w:val="0"/>
        </w:numPr>
        <w:spacing w:before="0" w:after="0"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⑵、营运期声环境污染防治措施</w:t>
      </w:r>
    </w:p>
    <w:p w14:paraId="766D274B">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bookmarkStart w:id="23" w:name="_Hlk118729138"/>
      <w:r>
        <w:rPr>
          <w:rFonts w:hint="eastAsia" w:ascii="宋体" w:hAnsi="宋体" w:eastAsia="宋体" w:cs="宋体"/>
          <w:color w:val="auto"/>
          <w:kern w:val="2"/>
          <w:sz w:val="24"/>
          <w:szCs w:val="24"/>
          <w:highlight w:val="none"/>
          <w:u w:val="none"/>
          <w:lang w:val="en-US" w:eastAsia="zh-CN" w:bidi="ar-SA"/>
        </w:rPr>
        <w:t>在进行地面交通噪声污染防治时，《地面交通噪声污染防治技术政策》（环发[2010]7号)提出了一系列原则、责任及控制目标要求。其中，噪声防治应遵循在技术经济可行的条件下，优先对噪声和传声途径采取工程技术措施，实施噪声主动控制的原则。</w:t>
      </w:r>
    </w:p>
    <w:p w14:paraId="5B642328">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关于责任和控制目标，明确规定：在规划或已有地面交通设施邻近区域建设噪声敏感建筑物时，建设单位需采取间隔必要距离、传声途径噪声消减等有效措施，确保室外声环境质量达标；因地面交通设施的建设或运行造成环境噪声污染的，建设单位、运营单位应采取间隔必要距离、噪声源控制、传声途径噪声消减等有效措施，使室外声环境质量达标。若经技术经济论证，不宜对交通噪声实施主动控制，建设单位、运营单位则应对噪声敏感建筑物采取有效的噪声防护措施，保障室内合理的声环境质量。</w:t>
      </w:r>
    </w:p>
    <w:p w14:paraId="6762AC44">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基于上述要求，综合考量项目沿线敏感点特征、道路特点、所需降噪效果以及各种降噪措施的适用条件等因素，秉持技术可行、经济合理且兼顾公平的原则，本次环评提出以下噪声防治措施：</w:t>
      </w:r>
    </w:p>
    <w:p w14:paraId="438CB053">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管理措施</w:t>
      </w:r>
    </w:p>
    <w:p w14:paraId="52370BC3">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绿化与规划管控：依据《地面交通噪声污染防治技术政策》相关要求，强化道路与敏感建筑物之间的绿化。同时，建议在沿线控制距离内，不宜规划建设医院、学校等对声环境质量要求较高的环境保护敏感建筑。若确需规划建设，需对其进行隔声设计，建议采用隔声门窗等措施，避免交通噪声对规划敏感建筑物产生影响。</w:t>
      </w:r>
    </w:p>
    <w:p w14:paraId="7493DEE4">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行车管理：在村屯进出口前设置交通标志，限制村屯段车速（限速40km/h），并禁止鸣笛，以此加强行车管理。</w:t>
      </w:r>
    </w:p>
    <w:p w14:paraId="380F5A54">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路面维护：定期对路面进行检查与保养，及时维修和修复受损路面，确保路面处于良好状态。</w:t>
      </w:r>
    </w:p>
    <w:p w14:paraId="455CE260">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none"/>
          <w:lang w:val="en-US" w:eastAsia="zh-CN" w:bidi="ar-SA"/>
        </w:rPr>
      </w:pPr>
      <w:r>
        <w:rPr>
          <w:rFonts w:hint="eastAsia" w:ascii="宋体" w:hAnsi="宋体" w:eastAsia="宋体" w:cs="宋体"/>
          <w:color w:val="auto"/>
          <w:kern w:val="2"/>
          <w:sz w:val="24"/>
          <w:szCs w:val="24"/>
          <w:highlight w:val="none"/>
          <w:u w:val="none"/>
          <w:lang w:val="en-US" w:eastAsia="zh-CN" w:bidi="ar-SA"/>
        </w:rPr>
        <w:t>监测与监督：环境保护部门应加强对地面交通噪声的监测，针对环境噪声超标的地面交通设施，提出噪声削减意见或要求，并监督有关部门落实。</w:t>
      </w:r>
    </w:p>
    <w:p w14:paraId="0C01BF30">
      <w:pPr>
        <w:pStyle w:val="14"/>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auto"/>
          <w:kern w:val="2"/>
          <w:sz w:val="24"/>
          <w:szCs w:val="24"/>
          <w:highlight w:val="none"/>
          <w:u w:val="none"/>
          <w:lang w:val="en-US" w:eastAsia="zh-CN" w:bidi="ar-SA"/>
        </w:rPr>
        <w:t>资金预留与跟踪监测：预留环保资金，开展中远期跟踪监测。若中期、远期敏感目标出现超标情况，将该资金作为防治措施费用，及时采取相应的隔声降噪措施，保证敏感目标处满足噪声环境质量标准。</w:t>
      </w:r>
    </w:p>
    <w:bookmarkEnd w:id="23"/>
    <w:p w14:paraId="597BDA5D">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color w:val="auto"/>
          <w:sz w:val="24"/>
          <w:szCs w:val="24"/>
          <w:highlight w:val="none"/>
          <w:u w:val="none"/>
        </w:rPr>
      </w:pPr>
      <w:r>
        <w:rPr>
          <w:rFonts w:hint="eastAsia" w:ascii="宋体" w:hAnsi="宋体" w:eastAsia="宋体" w:cs="宋体"/>
          <w:b/>
          <w:color w:val="auto"/>
          <w:sz w:val="24"/>
          <w:szCs w:val="24"/>
          <w:highlight w:val="none"/>
          <w:u w:val="none"/>
          <w:lang w:val="en-US" w:eastAsia="zh-CN"/>
        </w:rPr>
        <w:t>10</w:t>
      </w:r>
      <w:r>
        <w:rPr>
          <w:rFonts w:hint="eastAsia" w:ascii="宋体" w:hAnsi="宋体" w:eastAsia="宋体" w:cs="宋体"/>
          <w:b/>
          <w:color w:val="auto"/>
          <w:sz w:val="24"/>
          <w:szCs w:val="24"/>
          <w:highlight w:val="none"/>
          <w:u w:val="none"/>
        </w:rPr>
        <w:t>、环境监测计划</w:t>
      </w:r>
    </w:p>
    <w:p w14:paraId="55FE7687">
      <w:pPr>
        <w:spacing w:line="360" w:lineRule="auto"/>
        <w:ind w:firstLine="480" w:firstLineChars="200"/>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本项目</w:t>
      </w:r>
      <w:r>
        <w:rPr>
          <w:rFonts w:hint="eastAsia" w:ascii="宋体" w:hAnsi="宋体" w:eastAsia="宋体" w:cs="宋体"/>
          <w:color w:val="auto"/>
          <w:sz w:val="24"/>
          <w:szCs w:val="24"/>
          <w:highlight w:val="none"/>
          <w:lang w:val="en-US" w:eastAsia="zh-CN"/>
        </w:rPr>
        <w:t>噪声</w:t>
      </w:r>
      <w:r>
        <w:rPr>
          <w:rFonts w:hint="eastAsia" w:ascii="宋体" w:hAnsi="宋体" w:eastAsia="宋体" w:cs="宋体"/>
          <w:color w:val="auto"/>
          <w:sz w:val="24"/>
          <w:szCs w:val="24"/>
          <w:highlight w:val="none"/>
          <w:lang w:val="zh-CN"/>
        </w:rPr>
        <w:t>污染源自行监测计划详见表</w:t>
      </w:r>
      <w:r>
        <w:rPr>
          <w:rFonts w:hint="eastAsia" w:ascii="宋体" w:hAnsi="宋体" w:eastAsia="宋体" w:cs="宋体"/>
          <w:color w:val="auto"/>
          <w:sz w:val="24"/>
          <w:szCs w:val="24"/>
          <w:highlight w:val="none"/>
          <w:lang w:val="en-US" w:eastAsia="zh-CN"/>
        </w:rPr>
        <w:t>22</w:t>
      </w:r>
      <w:r>
        <w:rPr>
          <w:rFonts w:hint="eastAsia" w:ascii="宋体" w:hAnsi="宋体" w:eastAsia="宋体" w:cs="宋体"/>
          <w:color w:val="auto"/>
          <w:sz w:val="24"/>
          <w:szCs w:val="24"/>
          <w:highlight w:val="none"/>
          <w:lang w:val="zh-CN"/>
        </w:rPr>
        <w:t>。</w:t>
      </w:r>
    </w:p>
    <w:p w14:paraId="015B241D">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22</w:t>
      </w:r>
      <w:r>
        <w:rPr>
          <w:rFonts w:hint="eastAsia" w:ascii="宋体" w:hAnsi="宋体" w:eastAsia="宋体" w:cs="宋体"/>
          <w:b/>
          <w:color w:val="auto"/>
          <w:sz w:val="21"/>
          <w:szCs w:val="21"/>
          <w:highlight w:val="none"/>
        </w:rPr>
        <w:t xml:space="preserve">   施工期和营运期</w:t>
      </w:r>
      <w:r>
        <w:rPr>
          <w:rFonts w:hint="eastAsia" w:ascii="宋体" w:hAnsi="宋体" w:eastAsia="宋体" w:cs="宋体"/>
          <w:b/>
          <w:color w:val="auto"/>
          <w:sz w:val="21"/>
          <w:szCs w:val="21"/>
          <w:highlight w:val="none"/>
          <w:lang w:val="en-US" w:eastAsia="zh-CN"/>
        </w:rPr>
        <w:t>噪声</w:t>
      </w:r>
      <w:r>
        <w:rPr>
          <w:rFonts w:hint="eastAsia" w:ascii="宋体" w:hAnsi="宋体" w:eastAsia="宋体" w:cs="宋体"/>
          <w:b/>
          <w:color w:val="auto"/>
          <w:sz w:val="21"/>
          <w:szCs w:val="21"/>
          <w:highlight w:val="none"/>
        </w:rPr>
        <w:t>环境监测计划</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953"/>
        <w:gridCol w:w="1160"/>
        <w:gridCol w:w="978"/>
        <w:gridCol w:w="1013"/>
        <w:gridCol w:w="2235"/>
        <w:gridCol w:w="886"/>
        <w:gridCol w:w="1081"/>
      </w:tblGrid>
      <w:tr w14:paraId="5580FB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454" w:hRule="atLeast"/>
          <w:tblHeader/>
          <w:jc w:val="center"/>
        </w:trPr>
        <w:tc>
          <w:tcPr>
            <w:tcW w:w="574" w:type="pct"/>
            <w:noWrap w:val="0"/>
            <w:tcMar>
              <w:left w:w="0" w:type="dxa"/>
              <w:right w:w="0" w:type="dxa"/>
            </w:tcMar>
            <w:vAlign w:val="center"/>
          </w:tcPr>
          <w:p w14:paraId="27A925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环境因子</w:t>
            </w:r>
          </w:p>
        </w:tc>
        <w:tc>
          <w:tcPr>
            <w:tcW w:w="698" w:type="pct"/>
            <w:tcBorders>
              <w:right w:val="single" w:color="auto" w:sz="4" w:space="0"/>
            </w:tcBorders>
            <w:noWrap w:val="0"/>
            <w:tcMar>
              <w:left w:w="0" w:type="dxa"/>
              <w:right w:w="0" w:type="dxa"/>
            </w:tcMar>
            <w:vAlign w:val="center"/>
          </w:tcPr>
          <w:p w14:paraId="6B6D5F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监测时段</w:t>
            </w:r>
          </w:p>
        </w:tc>
        <w:tc>
          <w:tcPr>
            <w:tcW w:w="588" w:type="pct"/>
            <w:tcBorders>
              <w:right w:val="single" w:color="auto" w:sz="4" w:space="0"/>
            </w:tcBorders>
            <w:noWrap w:val="0"/>
            <w:vAlign w:val="center"/>
          </w:tcPr>
          <w:p w14:paraId="51CCDC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监测地点</w:t>
            </w:r>
          </w:p>
        </w:tc>
        <w:tc>
          <w:tcPr>
            <w:tcW w:w="609" w:type="pct"/>
            <w:tcBorders>
              <w:left w:val="single" w:color="auto" w:sz="4" w:space="0"/>
            </w:tcBorders>
            <w:noWrap w:val="0"/>
            <w:vAlign w:val="center"/>
          </w:tcPr>
          <w:p w14:paraId="642508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监测项目</w:t>
            </w:r>
          </w:p>
        </w:tc>
        <w:tc>
          <w:tcPr>
            <w:tcW w:w="1344" w:type="pct"/>
            <w:tcBorders>
              <w:left w:val="single" w:color="auto" w:sz="4" w:space="0"/>
            </w:tcBorders>
            <w:noWrap w:val="0"/>
            <w:vAlign w:val="center"/>
          </w:tcPr>
          <w:p w14:paraId="249587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监测时间</w:t>
            </w:r>
          </w:p>
        </w:tc>
        <w:tc>
          <w:tcPr>
            <w:tcW w:w="533" w:type="pct"/>
            <w:noWrap w:val="0"/>
            <w:tcMar>
              <w:left w:w="0" w:type="dxa"/>
              <w:right w:w="0" w:type="dxa"/>
            </w:tcMar>
            <w:vAlign w:val="center"/>
          </w:tcPr>
          <w:p w14:paraId="42DB40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实施机构</w:t>
            </w:r>
          </w:p>
        </w:tc>
        <w:tc>
          <w:tcPr>
            <w:tcW w:w="650" w:type="pct"/>
            <w:noWrap w:val="0"/>
            <w:tcMar>
              <w:left w:w="0" w:type="dxa"/>
              <w:right w:w="0" w:type="dxa"/>
            </w:tcMar>
            <w:vAlign w:val="center"/>
          </w:tcPr>
          <w:p w14:paraId="3933FE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监督机构</w:t>
            </w:r>
          </w:p>
        </w:tc>
      </w:tr>
      <w:tr w14:paraId="3CEFD7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680" w:hRule="atLeast"/>
          <w:jc w:val="center"/>
        </w:trPr>
        <w:tc>
          <w:tcPr>
            <w:tcW w:w="574" w:type="pct"/>
            <w:vMerge w:val="restart"/>
            <w:noWrap w:val="0"/>
            <w:vAlign w:val="center"/>
          </w:tcPr>
          <w:p w14:paraId="404656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噪声</w:t>
            </w:r>
          </w:p>
        </w:tc>
        <w:tc>
          <w:tcPr>
            <w:tcW w:w="698" w:type="pct"/>
            <w:tcBorders>
              <w:right w:val="single" w:color="auto" w:sz="4" w:space="0"/>
            </w:tcBorders>
            <w:noWrap w:val="0"/>
            <w:vAlign w:val="center"/>
          </w:tcPr>
          <w:p w14:paraId="05A548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施工期</w:t>
            </w:r>
          </w:p>
        </w:tc>
        <w:tc>
          <w:tcPr>
            <w:tcW w:w="588" w:type="pct"/>
            <w:vMerge w:val="restart"/>
            <w:tcBorders>
              <w:right w:val="single" w:color="auto" w:sz="4" w:space="0"/>
            </w:tcBorders>
            <w:noWrap w:val="0"/>
            <w:vAlign w:val="center"/>
          </w:tcPr>
          <w:p w14:paraId="753E0F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sz w:val="21"/>
                <w:szCs w:val="21"/>
                <w:highlight w:val="none"/>
                <w:lang w:eastAsia="zh-CN"/>
              </w:rPr>
              <w:t>南侧平房居民</w:t>
            </w:r>
          </w:p>
        </w:tc>
        <w:tc>
          <w:tcPr>
            <w:tcW w:w="609" w:type="pct"/>
            <w:vMerge w:val="restart"/>
            <w:tcBorders>
              <w:left w:val="single" w:color="auto" w:sz="4" w:space="0"/>
            </w:tcBorders>
            <w:noWrap w:val="0"/>
            <w:vAlign w:val="center"/>
          </w:tcPr>
          <w:p w14:paraId="077D6A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L</w:t>
            </w:r>
            <w:r>
              <w:rPr>
                <w:rFonts w:hint="eastAsia" w:ascii="宋体" w:hAnsi="宋体" w:eastAsia="宋体" w:cs="宋体"/>
                <w:color w:val="auto"/>
                <w:spacing w:val="0"/>
                <w:kern w:val="0"/>
                <w:sz w:val="21"/>
                <w:szCs w:val="21"/>
                <w:highlight w:val="none"/>
                <w:vertAlign w:val="subscript"/>
              </w:rPr>
              <w:t>Aeq</w:t>
            </w:r>
          </w:p>
        </w:tc>
        <w:tc>
          <w:tcPr>
            <w:tcW w:w="1344" w:type="pct"/>
            <w:tcBorders>
              <w:left w:val="single" w:color="auto" w:sz="4" w:space="0"/>
            </w:tcBorders>
            <w:noWrap w:val="0"/>
            <w:vAlign w:val="center"/>
          </w:tcPr>
          <w:p w14:paraId="56E95D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施工期每季度一次，1天2次（昼夜各一次）</w:t>
            </w:r>
          </w:p>
        </w:tc>
        <w:tc>
          <w:tcPr>
            <w:tcW w:w="533" w:type="pct"/>
            <w:vMerge w:val="restart"/>
            <w:noWrap w:val="0"/>
            <w:vAlign w:val="center"/>
          </w:tcPr>
          <w:p w14:paraId="0A292F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委托监测机构</w:t>
            </w:r>
          </w:p>
        </w:tc>
        <w:tc>
          <w:tcPr>
            <w:tcW w:w="650" w:type="pct"/>
            <w:vMerge w:val="restart"/>
            <w:noWrap w:val="0"/>
            <w:vAlign w:val="center"/>
          </w:tcPr>
          <w:p w14:paraId="311074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bCs/>
                <w:color w:val="auto"/>
                <w:spacing w:val="0"/>
                <w:sz w:val="21"/>
                <w:szCs w:val="21"/>
                <w:highlight w:val="none"/>
              </w:rPr>
              <w:t>环境保护主管部门</w:t>
            </w:r>
          </w:p>
        </w:tc>
      </w:tr>
      <w:tr w14:paraId="66D7AA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936" w:hRule="atLeast"/>
          <w:jc w:val="center"/>
        </w:trPr>
        <w:tc>
          <w:tcPr>
            <w:tcW w:w="574" w:type="pct"/>
            <w:vMerge w:val="continue"/>
            <w:noWrap w:val="0"/>
            <w:vAlign w:val="center"/>
          </w:tcPr>
          <w:p w14:paraId="5F8171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698" w:type="pct"/>
            <w:tcBorders>
              <w:right w:val="single" w:color="auto" w:sz="4" w:space="0"/>
            </w:tcBorders>
            <w:noWrap w:val="0"/>
            <w:vAlign w:val="center"/>
          </w:tcPr>
          <w:p w14:paraId="253FE0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运营期</w:t>
            </w:r>
          </w:p>
        </w:tc>
        <w:tc>
          <w:tcPr>
            <w:tcW w:w="588" w:type="pct"/>
            <w:vMerge w:val="continue"/>
            <w:tcBorders>
              <w:right w:val="single" w:color="auto" w:sz="4" w:space="0"/>
            </w:tcBorders>
            <w:noWrap w:val="0"/>
            <w:vAlign w:val="center"/>
          </w:tcPr>
          <w:p w14:paraId="22D4CE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color w:val="auto"/>
                <w:spacing w:val="0"/>
                <w:sz w:val="21"/>
                <w:szCs w:val="21"/>
                <w:highlight w:val="none"/>
              </w:rPr>
            </w:pPr>
          </w:p>
        </w:tc>
        <w:tc>
          <w:tcPr>
            <w:tcW w:w="609" w:type="pct"/>
            <w:vMerge w:val="continue"/>
            <w:tcBorders>
              <w:left w:val="single" w:color="auto" w:sz="4" w:space="0"/>
            </w:tcBorders>
            <w:noWrap w:val="0"/>
            <w:vAlign w:val="center"/>
          </w:tcPr>
          <w:p w14:paraId="752188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1344" w:type="pct"/>
            <w:tcBorders>
              <w:left w:val="single" w:color="auto" w:sz="4" w:space="0"/>
            </w:tcBorders>
            <w:noWrap w:val="0"/>
            <w:vAlign w:val="center"/>
          </w:tcPr>
          <w:p w14:paraId="3098AC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bCs/>
                <w:color w:val="auto"/>
                <w:spacing w:val="0"/>
                <w:sz w:val="21"/>
                <w:szCs w:val="21"/>
                <w:highlight w:val="none"/>
              </w:rPr>
              <w:t>运营近期、中期、远期各1次连续2天，昼夜各一次</w:t>
            </w:r>
          </w:p>
        </w:tc>
        <w:tc>
          <w:tcPr>
            <w:tcW w:w="533" w:type="pct"/>
            <w:vMerge w:val="continue"/>
            <w:noWrap w:val="0"/>
            <w:vAlign w:val="center"/>
          </w:tcPr>
          <w:p w14:paraId="68A55C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650" w:type="pct"/>
            <w:vMerge w:val="continue"/>
            <w:noWrap w:val="0"/>
            <w:vAlign w:val="center"/>
          </w:tcPr>
          <w:p w14:paraId="241B5B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color w:val="auto"/>
                <w:spacing w:val="0"/>
                <w:sz w:val="21"/>
                <w:szCs w:val="21"/>
                <w:highlight w:val="none"/>
              </w:rPr>
            </w:pPr>
          </w:p>
        </w:tc>
      </w:tr>
    </w:tbl>
    <w:p w14:paraId="629DD94A">
      <w:pPr>
        <w:keepNext/>
        <w:keepLines/>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outlineLvl w:val="9"/>
        <w:rPr>
          <w:rFonts w:hint="eastAsia" w:ascii="宋体" w:hAnsi="宋体" w:eastAsia="宋体" w:cs="宋体"/>
          <w:b/>
          <w:color w:val="auto"/>
          <w:sz w:val="24"/>
          <w:szCs w:val="24"/>
          <w:highlight w:val="none"/>
          <w:lang w:val="en-US" w:eastAsia="zh-CN"/>
        </w:rPr>
      </w:pPr>
      <w:r>
        <w:rPr>
          <w:rFonts w:hint="eastAsia" w:ascii="宋体" w:hAnsi="宋体" w:eastAsia="宋体" w:cs="宋体"/>
          <w:b/>
          <w:color w:val="auto"/>
          <w:sz w:val="24"/>
          <w:szCs w:val="24"/>
          <w:highlight w:val="none"/>
          <w:lang w:val="en-US" w:eastAsia="zh-CN"/>
        </w:rPr>
        <w:t>11</w:t>
      </w:r>
      <w:r>
        <w:rPr>
          <w:rFonts w:hint="eastAsia" w:ascii="宋体" w:hAnsi="宋体" w:eastAsia="宋体" w:cs="宋体"/>
          <w:b/>
          <w:color w:val="auto"/>
          <w:sz w:val="24"/>
          <w:szCs w:val="24"/>
          <w:highlight w:val="none"/>
        </w:rPr>
        <w:t>、</w:t>
      </w:r>
      <w:r>
        <w:rPr>
          <w:rFonts w:hint="eastAsia" w:ascii="宋体" w:hAnsi="宋体" w:eastAsia="宋体" w:cs="宋体"/>
          <w:b/>
          <w:color w:val="auto"/>
          <w:sz w:val="24"/>
          <w:szCs w:val="24"/>
          <w:highlight w:val="none"/>
          <w:lang w:val="en-US" w:eastAsia="zh-CN"/>
        </w:rPr>
        <w:t>噪声</w:t>
      </w:r>
      <w:r>
        <w:rPr>
          <w:rFonts w:hint="eastAsia" w:ascii="宋体" w:hAnsi="宋体" w:eastAsia="宋体" w:cs="宋体"/>
          <w:b/>
          <w:color w:val="auto"/>
          <w:sz w:val="24"/>
          <w:szCs w:val="24"/>
          <w:highlight w:val="none"/>
        </w:rPr>
        <w:t>环境影响评价结论</w:t>
      </w:r>
      <w:r>
        <w:rPr>
          <w:rFonts w:hint="eastAsia" w:ascii="宋体" w:hAnsi="宋体" w:eastAsia="宋体" w:cs="宋体"/>
          <w:b/>
          <w:color w:val="auto"/>
          <w:sz w:val="24"/>
          <w:szCs w:val="24"/>
          <w:highlight w:val="none"/>
          <w:lang w:val="en-US" w:eastAsia="zh-CN"/>
        </w:rPr>
        <w:t>与建议</w:t>
      </w:r>
    </w:p>
    <w:p w14:paraId="550701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highlight w:val="none"/>
        </w:rPr>
      </w:pPr>
      <w:r>
        <w:rPr>
          <w:rFonts w:hint="eastAsia" w:ascii="宋体" w:hAnsi="宋体" w:eastAsia="宋体" w:cs="宋体"/>
          <w:b w:val="0"/>
          <w:bCs w:val="0"/>
          <w:color w:val="auto"/>
          <w:kern w:val="2"/>
          <w:sz w:val="24"/>
          <w:szCs w:val="24"/>
          <w:highlight w:val="none"/>
          <w:lang w:val="en-US" w:eastAsia="zh-CN" w:bidi="ar-SA"/>
        </w:rPr>
        <w:t>本项目在施工期和运营期对噪声污染采取了有效的防治措施，在落实有效的噪声污染防治措施后，对周围环境影响可接受。</w:t>
      </w:r>
    </w:p>
    <w:p w14:paraId="3C630F68">
      <w:pPr>
        <w:pStyle w:val="14"/>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2" w:firstLineChars="200"/>
        <w:jc w:val="both"/>
        <w:textAlignment w:val="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建议</w:t>
      </w:r>
    </w:p>
    <w:p w14:paraId="59145BB5">
      <w:pPr>
        <w:pStyle w:val="14"/>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根据近、中、远期预测结果提出以下建议：</w:t>
      </w:r>
    </w:p>
    <w:p w14:paraId="476DED2D">
      <w:pPr>
        <w:pStyle w:val="14"/>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1）严格执行本项目设计车速40km/h，禁止车辆超速行驶；</w:t>
      </w:r>
    </w:p>
    <w:p w14:paraId="1783CE77">
      <w:pPr>
        <w:pStyle w:val="14"/>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工程管理措施：加强公路交通管理，如限制性能差、噪声高的车辆进入；经常维持路面的平整度，避免因路况不佳造成车辆颠簸等引起交通噪声增大；进入敏感点密集路段，设置禁止鸣笛的明显标志、减速带等；</w:t>
      </w:r>
    </w:p>
    <w:p w14:paraId="0469C2F7">
      <w:pPr>
        <w:pStyle w:val="14"/>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0" w:firstLineChars="20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3）严格控制施工质量，保证优质工程。后期加强路面维护，及时修补破损路面，做好路面清洁等措施。</w:t>
      </w:r>
    </w:p>
    <w:p w14:paraId="4829EDDA">
      <w:pPr>
        <w:keepNext w:val="0"/>
        <w:keepLines w:val="0"/>
        <w:pageBreakBefore w:val="0"/>
        <w:kinsoku/>
        <w:wordWrap/>
        <w:overflowPunct/>
        <w:topLinePunct w:val="0"/>
        <w:autoSpaceDE w:val="0"/>
        <w:autoSpaceDN w:val="0"/>
        <w:bidi w:val="0"/>
        <w:adjustRightInd/>
        <w:spacing w:before="0" w:after="0" w:line="360" w:lineRule="auto"/>
        <w:ind w:left="0" w:leftChars="0" w:right="0" w:firstLine="0"/>
        <w:textAlignment w:val="auto"/>
        <w:rPr>
          <w:rFonts w:hint="eastAsia" w:ascii="宋体" w:hAnsi="宋体" w:eastAsia="宋体" w:cs="宋体"/>
          <w:sz w:val="24"/>
          <w:szCs w:val="24"/>
          <w:highlight w:val="none"/>
        </w:rPr>
      </w:pPr>
    </w:p>
    <w:p w14:paraId="1A09978E">
      <w:pPr>
        <w:pStyle w:val="73"/>
        <w:keepNext w:val="0"/>
        <w:keepLines w:val="0"/>
        <w:pageBreakBefore w:val="0"/>
        <w:widowControl/>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21"/>
          <w:highlight w:val="none"/>
          <w:lang w:val="en-US" w:eastAsia="zh-CN"/>
        </w:rPr>
      </w:pPr>
    </w:p>
    <w:p w14:paraId="3E0E9F53">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9"/>
        <w:rPr>
          <w:rFonts w:hint="eastAsia" w:ascii="宋体" w:hAnsi="宋体" w:eastAsia="宋体" w:cs="宋体"/>
          <w:b/>
          <w:bCs/>
          <w:color w:val="auto"/>
          <w:highlight w:val="none"/>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7AD25">
    <w:pPr>
      <w:pStyle w:val="22"/>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7E11EC">
    <w:pPr>
      <w:pStyle w:val="22"/>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33B0C1D">
                          <w:pPr>
                            <w:pStyle w:val="22"/>
                          </w:pPr>
                          <w:r>
                            <w:fldChar w:fldCharType="begin"/>
                          </w:r>
                          <w:r>
                            <w:instrText xml:space="preserve"> PAGE  \* MERGEFORMAT </w:instrText>
                          </w:r>
                          <w:r>
                            <w:fldChar w:fldCharType="separate"/>
                          </w:r>
                          <w:r>
                            <w:t>24</w:t>
                          </w:r>
                          <w:r>
                            <w:fldChar w:fldCharType="end"/>
                          </w:r>
                        </w:p>
                      </w:txbxContent>
                    </wps:txbx>
                    <wps:bodyPr vert="horz" wrap="none" lIns="0" tIns="0" rIns="0" bIns="0" anchor="t" anchorCtr="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Of3f598BAADBAwAADgAAAAAA&#10;AAABACAAAAAeAQAAZHJzL2Uyb0RvYy54bWxQSwUGAAAAAAYABgBZAQAAbwUAAAAA&#10;">
              <v:fill on="f" focussize="0,0"/>
              <v:stroke on="f"/>
              <v:imagedata o:title=""/>
              <o:lock v:ext="edit" aspectratio="f"/>
              <v:textbox inset="0mm,0mm,0mm,0mm" style="mso-fit-shape-to-text:t;">
                <w:txbxContent>
                  <w:p w14:paraId="033B0C1D">
                    <w:pPr>
                      <w:pStyle w:val="22"/>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0E9C6">
    <w:pPr>
      <w:pStyle w:val="2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E3A16D">
    <w:pPr>
      <w:pStyle w:val="2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BEE79">
    <w:pPr>
      <w:pStyle w:val="22"/>
      <w:ind w:firstLine="360"/>
      <w:jc w:val="center"/>
    </w:pPr>
    <w:r>
      <w:fldChar w:fldCharType="begin"/>
    </w:r>
    <w:r>
      <w:instrText xml:space="preserve"> PAGE   \* MERGEFORMAT </w:instrText>
    </w:r>
    <w:r>
      <w:fldChar w:fldCharType="separate"/>
    </w:r>
    <w:r>
      <w:rPr>
        <w:lang w:val="zh-CN"/>
      </w:rPr>
      <w:t>50</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A3517C">
    <w:pPr>
      <w:pStyle w:val="22"/>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FE7143">
                          <w:pPr>
                            <w:pStyle w:val="22"/>
                            <w:ind w:left="0" w:leftChars="0" w:firstLine="0" w:firstLineChars="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48</w:t>
                          </w:r>
                          <w:r>
                            <w:rPr>
                              <w:rFonts w:hint="eastAsia"/>
                              <w:lang w:eastAsia="zh-CN"/>
                            </w:rPr>
                            <w:fldChar w:fldCharType="end"/>
                          </w:r>
                        </w:p>
                      </w:txbxContent>
                    </wps:txbx>
                    <wps:bodyPr wrap="none" lIns="0" tIns="0" rIns="0" bIns="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VEXZP8oBAACaAwAADgAAAAAAAAABACAAAAAeAQAAZHJzL2Uyb0Rv&#10;Yy54bWxQSwUGAAAAAAYABgBZAQAAWgUAAAAA&#10;">
              <v:fill on="f" focussize="0,0"/>
              <v:stroke on="f"/>
              <v:imagedata o:title=""/>
              <o:lock v:ext="edit" aspectratio="f"/>
              <v:textbox inset="0mm,0mm,0mm,0mm" style="mso-fit-shape-to-text:t;">
                <w:txbxContent>
                  <w:p w14:paraId="1EFE7143">
                    <w:pPr>
                      <w:pStyle w:val="22"/>
                      <w:ind w:left="0" w:leftChars="0" w:firstLine="0" w:firstLineChars="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48</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15D5AA">
                          <w:pPr>
                            <w:pStyle w:val="22"/>
                            <w:rPr>
                              <w:rStyle w:val="37"/>
                              <w:rFonts w:ascii="宋体" w:hAnsi="宋体"/>
                              <w:sz w:val="28"/>
                              <w:szCs w:val="28"/>
                            </w:rPr>
                          </w:pPr>
                          <w:r>
                            <w:rPr>
                              <w:rStyle w:val="37"/>
                              <w:rFonts w:hint="eastAsia" w:ascii="宋体" w:hAnsi="宋体"/>
                              <w:sz w:val="20"/>
                              <w:szCs w:val="20"/>
                            </w:rPr>
                            <w:t xml:space="preserve">    </w:t>
                          </w: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mqcg+yQEAAJoDAAAOAAAAAAAAAAEAIAAAAB4BAABkcnMvZTJvRG9j&#10;LnhtbFBLBQYAAAAABgAGAFkBAABZBQAAAAA=&#10;">
              <v:fill on="f" focussize="0,0"/>
              <v:stroke on="f"/>
              <v:imagedata o:title=""/>
              <o:lock v:ext="edit" aspectratio="f"/>
              <v:textbox inset="0mm,0mm,0mm,0mm" style="mso-fit-shape-to-text:t;">
                <w:txbxContent>
                  <w:p w14:paraId="0515D5AA">
                    <w:pPr>
                      <w:pStyle w:val="22"/>
                      <w:rPr>
                        <w:rStyle w:val="37"/>
                        <w:rFonts w:ascii="宋体" w:hAnsi="宋体"/>
                        <w:sz w:val="28"/>
                        <w:szCs w:val="28"/>
                      </w:rPr>
                    </w:pPr>
                    <w:r>
                      <w:rPr>
                        <w:rStyle w:val="37"/>
                        <w:rFonts w:hint="eastAsia" w:ascii="宋体" w:hAnsi="宋体"/>
                        <w:sz w:val="20"/>
                        <w:szCs w:val="20"/>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9E0AA">
    <w:pPr>
      <w:pStyle w:val="22"/>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77CBAF">
                          <w:pPr>
                            <w:pStyle w:val="22"/>
                          </w:pPr>
                          <w:r>
                            <w:fldChar w:fldCharType="begin"/>
                          </w:r>
                          <w:r>
                            <w:instrText xml:space="preserve"> PAGE  \* MERGEFORMAT </w:instrText>
                          </w:r>
                          <w:r>
                            <w:fldChar w:fldCharType="separate"/>
                          </w:r>
                          <w:r>
                            <w:t>107</w:t>
                          </w:r>
                          <w:r>
                            <w:fldChar w:fldCharType="end"/>
                          </w:r>
                        </w:p>
                      </w:txbxContent>
                    </wps:txbx>
                    <wps:bodyPr vert="horz" wrap="none" lIns="0" tIns="0" rIns="0" bIns="0" anchor="t" anchorCtr="0" upright="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qfUPQ3gEAAMADAAAOAAAAAAAA&#10;AAEAIAAAAB4BAABkcnMvZTJvRG9jLnhtbFBLBQYAAAAABgAGAFkBAABuBQAAAAA=&#10;">
              <v:fill on="f" focussize="0,0"/>
              <v:stroke on="f"/>
              <v:imagedata o:title=""/>
              <o:lock v:ext="edit" aspectratio="f"/>
              <v:textbox inset="0mm,0mm,0mm,0mm" style="mso-fit-shape-to-text:t;">
                <w:txbxContent>
                  <w:p w14:paraId="2C77CBAF">
                    <w:pPr>
                      <w:pStyle w:val="22"/>
                    </w:pPr>
                    <w:r>
                      <w:fldChar w:fldCharType="begin"/>
                    </w:r>
                    <w:r>
                      <w:instrText xml:space="preserve"> PAGE  \* MERGEFORMAT </w:instrText>
                    </w:r>
                    <w:r>
                      <w:fldChar w:fldCharType="separate"/>
                    </w:r>
                    <w:r>
                      <w:t>107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D7D1D">
    <w:pPr>
      <w:ind w:left="480" w:firstLine="0" w:firstLineChars="0"/>
    </w:pPr>
    <w:r>
      <w:rPr>
        <w:sz w:val="24"/>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3260DB">
                          <w:pPr>
                            <w:pStyle w:val="22"/>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FNC3g3gEAAMADAAAOAAAAAAAA&#10;AAEAIAAAAB4BAABkcnMvZTJvRG9jLnhtbFBLBQYAAAAABgAGAFkBAABuBQAAAAA=&#10;">
              <v:fill on="f" focussize="0,0"/>
              <v:stroke on="f"/>
              <v:imagedata o:title=""/>
              <o:lock v:ext="edit" aspectratio="f"/>
              <v:textbox inset="0mm,0mm,0mm,0mm" style="mso-fit-shape-to-text:t;">
                <w:txbxContent>
                  <w:p w14:paraId="553260DB">
                    <w:pPr>
                      <w:pStyle w:val="2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FDD290">
    <w:pPr>
      <w:pStyle w:val="22"/>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69302D">
                          <w:pPr>
                            <w:pStyle w:val="22"/>
                          </w:pPr>
                          <w:r>
                            <w:fldChar w:fldCharType="begin"/>
                          </w:r>
                          <w:r>
                            <w:instrText xml:space="preserve"> PAGE  \* MERGEFORMAT </w:instrText>
                          </w:r>
                          <w:r>
                            <w:fldChar w:fldCharType="separate"/>
                          </w:r>
                          <w:r>
                            <w:t>- 48 -</w:t>
                          </w:r>
                          <w:r>
                            <w:fldChar w:fldCharType="end"/>
                          </w:r>
                        </w:p>
                      </w:txbxContent>
                    </wps:txbx>
                    <wps:bodyPr vert="horz" wrap="none" lIns="0" tIns="0" rIns="0" bIns="0" anchor="t" anchorCtr="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F7HpKPdAQAAwQMAAA4AAAAAAAAA&#10;AQAgAAAAHgEAAGRycy9lMm9Eb2MueG1sUEsFBgAAAAAGAAYAWQEAAG0FAAAAAA==&#10;">
              <v:fill on="f" focussize="0,0"/>
              <v:stroke on="f"/>
              <v:imagedata o:title=""/>
              <o:lock v:ext="edit" aspectratio="f"/>
              <v:textbox inset="0mm,0mm,0mm,0mm" style="mso-fit-shape-to-text:t;">
                <w:txbxContent>
                  <w:p w14:paraId="5969302D">
                    <w:pPr>
                      <w:pStyle w:val="22"/>
                    </w:pPr>
                    <w:r>
                      <w:fldChar w:fldCharType="begin"/>
                    </w:r>
                    <w:r>
                      <w:instrText xml:space="preserve"> PAGE  \* MERGEFORMAT </w:instrText>
                    </w:r>
                    <w:r>
                      <w:fldChar w:fldCharType="separate"/>
                    </w:r>
                    <w:r>
                      <w:t>- 48 -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F1F5BB">
    <w:pPr>
      <w:pStyle w:val="22"/>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CF935C">
                          <w:pPr>
                            <w:pStyle w:val="22"/>
                          </w:pPr>
                          <w:r>
                            <w:fldChar w:fldCharType="begin"/>
                          </w:r>
                          <w:r>
                            <w:instrText xml:space="preserve"> PAGE  \* MERGEFORMAT </w:instrText>
                          </w:r>
                          <w:r>
                            <w:fldChar w:fldCharType="separate"/>
                          </w:r>
                          <w:r>
                            <w:t>6</w:t>
                          </w:r>
                          <w:r>
                            <w:fldChar w:fldCharType="end"/>
                          </w:r>
                        </w:p>
                      </w:txbxContent>
                    </wps:txbx>
                    <wps:bodyPr vert="horz" wrap="none" lIns="0" tIns="0" rIns="0" bIns="0" anchor="t" anchorCtr="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G8SA3gEAAMEDAAAOAAAAAAAA&#10;AAEAIAAAAB4BAABkcnMvZTJvRG9jLnhtbFBLBQYAAAAABgAGAFkBAABuBQAAAAA=&#10;">
              <v:fill on="f" focussize="0,0"/>
              <v:stroke on="f"/>
              <v:imagedata o:title=""/>
              <o:lock v:ext="edit" aspectratio="f"/>
              <v:textbox inset="0mm,0mm,0mm,0mm" style="mso-fit-shape-to-text:t;">
                <w:txbxContent>
                  <w:p w14:paraId="50CF935C">
                    <w:pPr>
                      <w:pStyle w:val="22"/>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2057B6">
    <w:pPr>
      <w:ind w:left="48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FFB1A">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AE729">
    <w:pPr>
      <w:pStyle w:val="23"/>
      <w:pBdr>
        <w:bottom w:val="none" w:color="auto" w:sz="0" w:space="1"/>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BEF61">
    <w:pPr>
      <w:pStyle w:val="23"/>
      <w:pBdr>
        <w:bottom w:val="none" w:color="auto" w:sz="0" w:space="1"/>
      </w:pBdr>
      <w:rPr>
        <w:lang w:val="en-US"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39F9A6">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1B0E98"/>
    <w:multiLevelType w:val="singleLevel"/>
    <w:tmpl w:val="9F1B0E98"/>
    <w:lvl w:ilvl="0" w:tentative="0">
      <w:start w:val="1"/>
      <w:numFmt w:val="decimal"/>
      <w:suff w:val="nothing"/>
      <w:lvlText w:val="%1、"/>
      <w:lvlJc w:val="left"/>
    </w:lvl>
  </w:abstractNum>
  <w:abstractNum w:abstractNumId="1">
    <w:nsid w:val="A168A039"/>
    <w:multiLevelType w:val="singleLevel"/>
    <w:tmpl w:val="A168A039"/>
    <w:lvl w:ilvl="0" w:tentative="0">
      <w:start w:val="1"/>
      <w:numFmt w:val="decimal"/>
      <w:suff w:val="nothing"/>
      <w:lvlText w:val="（%1）"/>
      <w:lvlJc w:val="left"/>
    </w:lvl>
  </w:abstractNum>
  <w:abstractNum w:abstractNumId="2">
    <w:nsid w:val="A785940A"/>
    <w:multiLevelType w:val="singleLevel"/>
    <w:tmpl w:val="A785940A"/>
    <w:lvl w:ilvl="0" w:tentative="0">
      <w:start w:val="1"/>
      <w:numFmt w:val="decimal"/>
      <w:suff w:val="nothing"/>
      <w:lvlText w:val="（%1）"/>
      <w:lvlJc w:val="left"/>
    </w:lvl>
  </w:abstractNum>
  <w:abstractNum w:abstractNumId="3">
    <w:nsid w:val="0000000A"/>
    <w:multiLevelType w:val="multilevel"/>
    <w:tmpl w:val="0000000A"/>
    <w:lvl w:ilvl="0" w:tentative="0">
      <w:start w:val="2"/>
      <w:numFmt w:val="lowerLetter"/>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4">
    <w:nsid w:val="149A5D34"/>
    <w:multiLevelType w:val="singleLevel"/>
    <w:tmpl w:val="149A5D34"/>
    <w:lvl w:ilvl="0" w:tentative="0">
      <w:start w:val="1"/>
      <w:numFmt w:val="chineseCounting"/>
      <w:suff w:val="nothing"/>
      <w:lvlText w:val="%1、"/>
      <w:lvlJc w:val="left"/>
      <w:rPr>
        <w:rFonts w:hint="eastAsia"/>
      </w:rPr>
    </w:lvl>
  </w:abstractNum>
  <w:abstractNum w:abstractNumId="5">
    <w:nsid w:val="22296795"/>
    <w:multiLevelType w:val="singleLevel"/>
    <w:tmpl w:val="22296795"/>
    <w:lvl w:ilvl="0" w:tentative="0">
      <w:start w:val="1"/>
      <w:numFmt w:val="decimal"/>
      <w:suff w:val="nothing"/>
      <w:lvlText w:val="（%1）"/>
      <w:lvlJc w:val="left"/>
    </w:lvl>
  </w:abstractNum>
  <w:abstractNum w:abstractNumId="6">
    <w:nsid w:val="6CAC601E"/>
    <w:multiLevelType w:val="multilevel"/>
    <w:tmpl w:val="6CAC601E"/>
    <w:lvl w:ilvl="0" w:tentative="0">
      <w:start w:val="1"/>
      <w:numFmt w:val="chineseCountingThousand"/>
      <w:suff w:val="space"/>
      <w:lvlText w:val="第 %1 章"/>
      <w:lvlJc w:val="left"/>
      <w:pPr>
        <w:ind w:left="1701" w:firstLine="0"/>
      </w:pPr>
    </w:lvl>
    <w:lvl w:ilvl="1" w:tentative="0">
      <w:start w:val="1"/>
      <w:numFmt w:val="decimal"/>
      <w:isLgl/>
      <w:suff w:val="space"/>
      <w:lvlText w:val="%1.%2"/>
      <w:lvlJc w:val="left"/>
      <w:pPr>
        <w:ind w:left="0" w:firstLine="0"/>
      </w:pPr>
      <w:rPr>
        <w:rFonts w:hint="eastAsia"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isLgl/>
      <w:suff w:val="space"/>
      <w:lvlText w:val="%1.%2.%3"/>
      <w:lvlJc w:val="left"/>
      <w:pPr>
        <w:ind w:left="0" w:firstLine="0"/>
      </w:pPr>
      <w:rPr>
        <w:rFonts w:hint="eastAsia"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90"/>
      <w:isLgl/>
      <w:suff w:val="space"/>
      <w:lvlText w:val="%1.%2.%3.%4"/>
      <w:lvlJc w:val="left"/>
      <w:pPr>
        <w:ind w:left="0" w:firstLine="0"/>
      </w:pPr>
      <w:rPr>
        <w:rFonts w:hint="eastAsia" w:ascii="Times New Roman" w:hAnsi="Times New Roman"/>
        <w:b w:val="0"/>
        <w:bCs w:val="0"/>
        <w:i w:val="0"/>
        <w:iCs w:val="0"/>
        <w:caps w:val="0"/>
        <w:smallCaps w:val="0"/>
        <w:strike w:val="0"/>
        <w:dstrike w:val="0"/>
        <w:vanish w:val="0"/>
        <w:color w:val="000000"/>
        <w:spacing w:val="0"/>
        <w:position w:val="0"/>
        <w:u w:val="none"/>
        <w:vertAlign w:val="baseline"/>
      </w:rPr>
    </w:lvl>
    <w:lvl w:ilvl="4" w:tentative="0">
      <w:start w:val="1"/>
      <w:numFmt w:val="decimal"/>
      <w:isLgl/>
      <w:suff w:val="space"/>
      <w:lvlText w:val="%1.%2.%3.%4.%5"/>
      <w:lvlJc w:val="left"/>
      <w:pPr>
        <w:ind w:left="0" w:firstLine="400"/>
      </w:p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6"/>
  </w:num>
  <w:num w:numId="2">
    <w:abstractNumId w:val="2"/>
  </w:num>
  <w:num w:numId="3">
    <w:abstractNumId w:val="4"/>
  </w:num>
  <w:num w:numId="4">
    <w:abstractNumId w:val="0"/>
  </w:num>
  <w:num w:numId="5">
    <w:abstractNumId w:val="5"/>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20"/>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4ZWY3ZWE4YmMyOTYyYmJiOTI1OGY4YzdiZTE2YmUifQ=="/>
  </w:docVars>
  <w:rsids>
    <w:rsidRoot w:val="00A14947"/>
    <w:rsid w:val="00001CED"/>
    <w:rsid w:val="00001E67"/>
    <w:rsid w:val="00003CD8"/>
    <w:rsid w:val="00014965"/>
    <w:rsid w:val="0001523A"/>
    <w:rsid w:val="00016ECB"/>
    <w:rsid w:val="000269F6"/>
    <w:rsid w:val="00031939"/>
    <w:rsid w:val="00032D25"/>
    <w:rsid w:val="00042148"/>
    <w:rsid w:val="0005219D"/>
    <w:rsid w:val="0005568F"/>
    <w:rsid w:val="0006153D"/>
    <w:rsid w:val="00061B1F"/>
    <w:rsid w:val="000664DB"/>
    <w:rsid w:val="0007127D"/>
    <w:rsid w:val="00071AE5"/>
    <w:rsid w:val="00074783"/>
    <w:rsid w:val="000801E0"/>
    <w:rsid w:val="00082A29"/>
    <w:rsid w:val="0008331D"/>
    <w:rsid w:val="00083C18"/>
    <w:rsid w:val="000875B0"/>
    <w:rsid w:val="00092899"/>
    <w:rsid w:val="000A178E"/>
    <w:rsid w:val="000A557E"/>
    <w:rsid w:val="000B058F"/>
    <w:rsid w:val="000B5007"/>
    <w:rsid w:val="000B502F"/>
    <w:rsid w:val="000B693F"/>
    <w:rsid w:val="000C09AC"/>
    <w:rsid w:val="000C0A63"/>
    <w:rsid w:val="000C437E"/>
    <w:rsid w:val="000E5F16"/>
    <w:rsid w:val="000F4452"/>
    <w:rsid w:val="000F6DA1"/>
    <w:rsid w:val="000F701B"/>
    <w:rsid w:val="001056A0"/>
    <w:rsid w:val="001078CA"/>
    <w:rsid w:val="00115279"/>
    <w:rsid w:val="00117459"/>
    <w:rsid w:val="0011749A"/>
    <w:rsid w:val="00127A68"/>
    <w:rsid w:val="00140B13"/>
    <w:rsid w:val="00141B68"/>
    <w:rsid w:val="00143E1E"/>
    <w:rsid w:val="001466DA"/>
    <w:rsid w:val="00154DE1"/>
    <w:rsid w:val="00155B40"/>
    <w:rsid w:val="00157435"/>
    <w:rsid w:val="00157C1B"/>
    <w:rsid w:val="00163EEA"/>
    <w:rsid w:val="00166CDC"/>
    <w:rsid w:val="00167A07"/>
    <w:rsid w:val="0017046A"/>
    <w:rsid w:val="001704A3"/>
    <w:rsid w:val="0017504D"/>
    <w:rsid w:val="00177422"/>
    <w:rsid w:val="00184F10"/>
    <w:rsid w:val="00185546"/>
    <w:rsid w:val="0019146B"/>
    <w:rsid w:val="00194398"/>
    <w:rsid w:val="001A7D2A"/>
    <w:rsid w:val="001B574C"/>
    <w:rsid w:val="001C091C"/>
    <w:rsid w:val="001C0AF9"/>
    <w:rsid w:val="001C155A"/>
    <w:rsid w:val="001C48C0"/>
    <w:rsid w:val="001D4242"/>
    <w:rsid w:val="001D6726"/>
    <w:rsid w:val="001F3347"/>
    <w:rsid w:val="001F4440"/>
    <w:rsid w:val="001F69E4"/>
    <w:rsid w:val="00206A65"/>
    <w:rsid w:val="0020754F"/>
    <w:rsid w:val="002077C8"/>
    <w:rsid w:val="00212D31"/>
    <w:rsid w:val="002130C7"/>
    <w:rsid w:val="002218A8"/>
    <w:rsid w:val="0022306D"/>
    <w:rsid w:val="00226574"/>
    <w:rsid w:val="002278EC"/>
    <w:rsid w:val="0023216B"/>
    <w:rsid w:val="002357C7"/>
    <w:rsid w:val="002367C4"/>
    <w:rsid w:val="00244DBC"/>
    <w:rsid w:val="0025679E"/>
    <w:rsid w:val="00260C68"/>
    <w:rsid w:val="002648B0"/>
    <w:rsid w:val="00275271"/>
    <w:rsid w:val="0027535E"/>
    <w:rsid w:val="00275AA6"/>
    <w:rsid w:val="002807D5"/>
    <w:rsid w:val="00282CCD"/>
    <w:rsid w:val="002A168C"/>
    <w:rsid w:val="002A2C48"/>
    <w:rsid w:val="002A3EED"/>
    <w:rsid w:val="002A4A39"/>
    <w:rsid w:val="002A4BE5"/>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A2520"/>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D158E"/>
    <w:rsid w:val="004E3108"/>
    <w:rsid w:val="004E5B30"/>
    <w:rsid w:val="004F0779"/>
    <w:rsid w:val="004F1230"/>
    <w:rsid w:val="004F173F"/>
    <w:rsid w:val="004F177C"/>
    <w:rsid w:val="004F2DCE"/>
    <w:rsid w:val="005039CB"/>
    <w:rsid w:val="005045D7"/>
    <w:rsid w:val="0050558F"/>
    <w:rsid w:val="005057E0"/>
    <w:rsid w:val="00506286"/>
    <w:rsid w:val="00510813"/>
    <w:rsid w:val="00511DE0"/>
    <w:rsid w:val="00517F02"/>
    <w:rsid w:val="00524547"/>
    <w:rsid w:val="005258A2"/>
    <w:rsid w:val="00530F7C"/>
    <w:rsid w:val="00533847"/>
    <w:rsid w:val="00534567"/>
    <w:rsid w:val="00534F43"/>
    <w:rsid w:val="00535A84"/>
    <w:rsid w:val="00536889"/>
    <w:rsid w:val="00542E07"/>
    <w:rsid w:val="00554A7B"/>
    <w:rsid w:val="0055572C"/>
    <w:rsid w:val="0056064F"/>
    <w:rsid w:val="00561B84"/>
    <w:rsid w:val="00566B6A"/>
    <w:rsid w:val="00571D98"/>
    <w:rsid w:val="005720AE"/>
    <w:rsid w:val="0058030D"/>
    <w:rsid w:val="00582045"/>
    <w:rsid w:val="00590AE3"/>
    <w:rsid w:val="005918F1"/>
    <w:rsid w:val="005A06B7"/>
    <w:rsid w:val="005A1759"/>
    <w:rsid w:val="005A7208"/>
    <w:rsid w:val="005D0369"/>
    <w:rsid w:val="005D53FE"/>
    <w:rsid w:val="005D7A0F"/>
    <w:rsid w:val="005E0438"/>
    <w:rsid w:val="005E1791"/>
    <w:rsid w:val="005E2CE6"/>
    <w:rsid w:val="005E6324"/>
    <w:rsid w:val="005F228B"/>
    <w:rsid w:val="005F29CD"/>
    <w:rsid w:val="005F4DFB"/>
    <w:rsid w:val="005F6CC0"/>
    <w:rsid w:val="00603E5B"/>
    <w:rsid w:val="00604BC8"/>
    <w:rsid w:val="00614FAF"/>
    <w:rsid w:val="00615B4C"/>
    <w:rsid w:val="00615B5D"/>
    <w:rsid w:val="0062146F"/>
    <w:rsid w:val="006343AF"/>
    <w:rsid w:val="0063634A"/>
    <w:rsid w:val="0064250D"/>
    <w:rsid w:val="006535EB"/>
    <w:rsid w:val="00663016"/>
    <w:rsid w:val="006676BA"/>
    <w:rsid w:val="00674605"/>
    <w:rsid w:val="006748B8"/>
    <w:rsid w:val="0068535B"/>
    <w:rsid w:val="0068736E"/>
    <w:rsid w:val="0069290A"/>
    <w:rsid w:val="00697032"/>
    <w:rsid w:val="006975AC"/>
    <w:rsid w:val="006A15FB"/>
    <w:rsid w:val="006A72BF"/>
    <w:rsid w:val="006B332A"/>
    <w:rsid w:val="006B33BD"/>
    <w:rsid w:val="006C3F75"/>
    <w:rsid w:val="006C43FA"/>
    <w:rsid w:val="006D170E"/>
    <w:rsid w:val="006E06AF"/>
    <w:rsid w:val="006F1789"/>
    <w:rsid w:val="00701BEC"/>
    <w:rsid w:val="00706C5D"/>
    <w:rsid w:val="007118E6"/>
    <w:rsid w:val="007225C9"/>
    <w:rsid w:val="00725469"/>
    <w:rsid w:val="00735CD7"/>
    <w:rsid w:val="00741B04"/>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97A6F"/>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C7772"/>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237A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350"/>
    <w:rsid w:val="00A12A32"/>
    <w:rsid w:val="00A14248"/>
    <w:rsid w:val="00A14947"/>
    <w:rsid w:val="00A23DC5"/>
    <w:rsid w:val="00A34028"/>
    <w:rsid w:val="00A35568"/>
    <w:rsid w:val="00A37056"/>
    <w:rsid w:val="00A4358F"/>
    <w:rsid w:val="00A46F67"/>
    <w:rsid w:val="00A54AA1"/>
    <w:rsid w:val="00A568FF"/>
    <w:rsid w:val="00A56F5C"/>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6EB"/>
    <w:rsid w:val="00AB7747"/>
    <w:rsid w:val="00AC2532"/>
    <w:rsid w:val="00AC3383"/>
    <w:rsid w:val="00AC4970"/>
    <w:rsid w:val="00AD1507"/>
    <w:rsid w:val="00AD5A70"/>
    <w:rsid w:val="00AD738B"/>
    <w:rsid w:val="00AE1BF4"/>
    <w:rsid w:val="00AE5D97"/>
    <w:rsid w:val="00AE6794"/>
    <w:rsid w:val="00B01110"/>
    <w:rsid w:val="00B02262"/>
    <w:rsid w:val="00B03CEC"/>
    <w:rsid w:val="00B1209F"/>
    <w:rsid w:val="00B12818"/>
    <w:rsid w:val="00B12AD0"/>
    <w:rsid w:val="00B17D60"/>
    <w:rsid w:val="00B24F30"/>
    <w:rsid w:val="00B31ABF"/>
    <w:rsid w:val="00B335AE"/>
    <w:rsid w:val="00B37CE1"/>
    <w:rsid w:val="00B40ACF"/>
    <w:rsid w:val="00B46BAA"/>
    <w:rsid w:val="00B50B5F"/>
    <w:rsid w:val="00B54128"/>
    <w:rsid w:val="00B55826"/>
    <w:rsid w:val="00B60426"/>
    <w:rsid w:val="00B622DD"/>
    <w:rsid w:val="00B63522"/>
    <w:rsid w:val="00B76F1D"/>
    <w:rsid w:val="00B90C5D"/>
    <w:rsid w:val="00B92A19"/>
    <w:rsid w:val="00B9544C"/>
    <w:rsid w:val="00BA0F0E"/>
    <w:rsid w:val="00BA29E9"/>
    <w:rsid w:val="00BB3618"/>
    <w:rsid w:val="00BC0C9E"/>
    <w:rsid w:val="00BC32DC"/>
    <w:rsid w:val="00BC3FF7"/>
    <w:rsid w:val="00BC6963"/>
    <w:rsid w:val="00BD1B51"/>
    <w:rsid w:val="00BD3FF4"/>
    <w:rsid w:val="00BD47F6"/>
    <w:rsid w:val="00BD5C02"/>
    <w:rsid w:val="00BE312D"/>
    <w:rsid w:val="00BE3FCA"/>
    <w:rsid w:val="00C05719"/>
    <w:rsid w:val="00C0764C"/>
    <w:rsid w:val="00C10578"/>
    <w:rsid w:val="00C17873"/>
    <w:rsid w:val="00C17D62"/>
    <w:rsid w:val="00C21FDC"/>
    <w:rsid w:val="00C24EE7"/>
    <w:rsid w:val="00C2596A"/>
    <w:rsid w:val="00C271BE"/>
    <w:rsid w:val="00C27425"/>
    <w:rsid w:val="00C328FE"/>
    <w:rsid w:val="00C33A05"/>
    <w:rsid w:val="00C34A14"/>
    <w:rsid w:val="00C41082"/>
    <w:rsid w:val="00C42500"/>
    <w:rsid w:val="00C4409D"/>
    <w:rsid w:val="00C455BE"/>
    <w:rsid w:val="00C51E5F"/>
    <w:rsid w:val="00C611B3"/>
    <w:rsid w:val="00C61E4B"/>
    <w:rsid w:val="00C62E3A"/>
    <w:rsid w:val="00C64503"/>
    <w:rsid w:val="00C64A1F"/>
    <w:rsid w:val="00C64BFF"/>
    <w:rsid w:val="00C763C9"/>
    <w:rsid w:val="00C80057"/>
    <w:rsid w:val="00C82C79"/>
    <w:rsid w:val="00C84753"/>
    <w:rsid w:val="00C87326"/>
    <w:rsid w:val="00C91611"/>
    <w:rsid w:val="00CA1B27"/>
    <w:rsid w:val="00CA3585"/>
    <w:rsid w:val="00CA3D5A"/>
    <w:rsid w:val="00CA4C7C"/>
    <w:rsid w:val="00CA5157"/>
    <w:rsid w:val="00CB0183"/>
    <w:rsid w:val="00CB1EA3"/>
    <w:rsid w:val="00CB552C"/>
    <w:rsid w:val="00CB6A9E"/>
    <w:rsid w:val="00CC6181"/>
    <w:rsid w:val="00CD2BCD"/>
    <w:rsid w:val="00CD36AA"/>
    <w:rsid w:val="00CD3791"/>
    <w:rsid w:val="00CD65B0"/>
    <w:rsid w:val="00CE02CD"/>
    <w:rsid w:val="00CE10E9"/>
    <w:rsid w:val="00CE22A7"/>
    <w:rsid w:val="00D0072E"/>
    <w:rsid w:val="00D15727"/>
    <w:rsid w:val="00D16332"/>
    <w:rsid w:val="00D164E8"/>
    <w:rsid w:val="00D24972"/>
    <w:rsid w:val="00D2515E"/>
    <w:rsid w:val="00D308ED"/>
    <w:rsid w:val="00D31679"/>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4407"/>
    <w:rsid w:val="00DB5579"/>
    <w:rsid w:val="00DB5838"/>
    <w:rsid w:val="00DB5CFE"/>
    <w:rsid w:val="00DC72A6"/>
    <w:rsid w:val="00DC7356"/>
    <w:rsid w:val="00DD2113"/>
    <w:rsid w:val="00DD265E"/>
    <w:rsid w:val="00DD7AD8"/>
    <w:rsid w:val="00DF1930"/>
    <w:rsid w:val="00DF20C5"/>
    <w:rsid w:val="00DF514A"/>
    <w:rsid w:val="00DF7DBB"/>
    <w:rsid w:val="00E0358D"/>
    <w:rsid w:val="00E06327"/>
    <w:rsid w:val="00E2064B"/>
    <w:rsid w:val="00E25239"/>
    <w:rsid w:val="00E265B1"/>
    <w:rsid w:val="00E275B0"/>
    <w:rsid w:val="00E412D0"/>
    <w:rsid w:val="00E47CDB"/>
    <w:rsid w:val="00E566BC"/>
    <w:rsid w:val="00E60982"/>
    <w:rsid w:val="00E60C8D"/>
    <w:rsid w:val="00E6162F"/>
    <w:rsid w:val="00E6311B"/>
    <w:rsid w:val="00E64B9D"/>
    <w:rsid w:val="00E65D97"/>
    <w:rsid w:val="00E67EFD"/>
    <w:rsid w:val="00E702DC"/>
    <w:rsid w:val="00E71FFB"/>
    <w:rsid w:val="00E76D1D"/>
    <w:rsid w:val="00E806F8"/>
    <w:rsid w:val="00E87752"/>
    <w:rsid w:val="00E8793B"/>
    <w:rsid w:val="00E90F81"/>
    <w:rsid w:val="00E91A6D"/>
    <w:rsid w:val="00E9242D"/>
    <w:rsid w:val="00EA1B70"/>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36EEA"/>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001A42"/>
    <w:rsid w:val="01443A28"/>
    <w:rsid w:val="01554221"/>
    <w:rsid w:val="016C25F4"/>
    <w:rsid w:val="017138E4"/>
    <w:rsid w:val="018C1643"/>
    <w:rsid w:val="01AC5842"/>
    <w:rsid w:val="02112AD9"/>
    <w:rsid w:val="02143DE4"/>
    <w:rsid w:val="021D673F"/>
    <w:rsid w:val="026C555F"/>
    <w:rsid w:val="0297046F"/>
    <w:rsid w:val="02B87FCA"/>
    <w:rsid w:val="02C05633"/>
    <w:rsid w:val="02FA2567"/>
    <w:rsid w:val="03495B56"/>
    <w:rsid w:val="036A2042"/>
    <w:rsid w:val="037C2268"/>
    <w:rsid w:val="03B21E2E"/>
    <w:rsid w:val="03CF1A2D"/>
    <w:rsid w:val="03D87186"/>
    <w:rsid w:val="0402799B"/>
    <w:rsid w:val="040A691C"/>
    <w:rsid w:val="0410167F"/>
    <w:rsid w:val="043D4F04"/>
    <w:rsid w:val="043F5C0F"/>
    <w:rsid w:val="044950BB"/>
    <w:rsid w:val="04C72F3D"/>
    <w:rsid w:val="05266B30"/>
    <w:rsid w:val="054B3D30"/>
    <w:rsid w:val="05742AC8"/>
    <w:rsid w:val="05761681"/>
    <w:rsid w:val="05BB6D27"/>
    <w:rsid w:val="05D80031"/>
    <w:rsid w:val="05EA242E"/>
    <w:rsid w:val="05F077B9"/>
    <w:rsid w:val="06332781"/>
    <w:rsid w:val="06352F05"/>
    <w:rsid w:val="063E7D85"/>
    <w:rsid w:val="067B6AED"/>
    <w:rsid w:val="068640ED"/>
    <w:rsid w:val="068E7472"/>
    <w:rsid w:val="069B64F0"/>
    <w:rsid w:val="06F243C6"/>
    <w:rsid w:val="070875E0"/>
    <w:rsid w:val="07293586"/>
    <w:rsid w:val="07295285"/>
    <w:rsid w:val="07770C56"/>
    <w:rsid w:val="07E66F84"/>
    <w:rsid w:val="08347E2B"/>
    <w:rsid w:val="08470072"/>
    <w:rsid w:val="08674270"/>
    <w:rsid w:val="08E41852"/>
    <w:rsid w:val="08E67838"/>
    <w:rsid w:val="091560ED"/>
    <w:rsid w:val="092217DD"/>
    <w:rsid w:val="093A7294"/>
    <w:rsid w:val="09747AEC"/>
    <w:rsid w:val="097840D3"/>
    <w:rsid w:val="0980440B"/>
    <w:rsid w:val="09E75CD3"/>
    <w:rsid w:val="0A723BFF"/>
    <w:rsid w:val="0AA41DDC"/>
    <w:rsid w:val="0AA45C38"/>
    <w:rsid w:val="0B1212CC"/>
    <w:rsid w:val="0B283CBE"/>
    <w:rsid w:val="0B6F4766"/>
    <w:rsid w:val="0BD2782B"/>
    <w:rsid w:val="0BD27BF6"/>
    <w:rsid w:val="0BE0762D"/>
    <w:rsid w:val="0C02799D"/>
    <w:rsid w:val="0C274EF0"/>
    <w:rsid w:val="0D4C1C87"/>
    <w:rsid w:val="0D5166D3"/>
    <w:rsid w:val="0D6365C2"/>
    <w:rsid w:val="0D823426"/>
    <w:rsid w:val="0D8E40B0"/>
    <w:rsid w:val="0DBE5759"/>
    <w:rsid w:val="0DD04666"/>
    <w:rsid w:val="0DD933B8"/>
    <w:rsid w:val="0E110D06"/>
    <w:rsid w:val="0E402EDC"/>
    <w:rsid w:val="0E9052E8"/>
    <w:rsid w:val="0EE6762D"/>
    <w:rsid w:val="0EFF2800"/>
    <w:rsid w:val="0F12692A"/>
    <w:rsid w:val="0F13775A"/>
    <w:rsid w:val="0F16254C"/>
    <w:rsid w:val="0F6402B5"/>
    <w:rsid w:val="0F9A112B"/>
    <w:rsid w:val="1015096E"/>
    <w:rsid w:val="101E0ED0"/>
    <w:rsid w:val="103C5FE2"/>
    <w:rsid w:val="103F1BE0"/>
    <w:rsid w:val="106D2F64"/>
    <w:rsid w:val="10B63710"/>
    <w:rsid w:val="10CD1330"/>
    <w:rsid w:val="10E03CA8"/>
    <w:rsid w:val="111C2F7A"/>
    <w:rsid w:val="112E64A8"/>
    <w:rsid w:val="113013DE"/>
    <w:rsid w:val="11817022"/>
    <w:rsid w:val="11CA6416"/>
    <w:rsid w:val="11FE6D03"/>
    <w:rsid w:val="12236D4D"/>
    <w:rsid w:val="122B06C2"/>
    <w:rsid w:val="126D3077"/>
    <w:rsid w:val="12F82F21"/>
    <w:rsid w:val="13211DEB"/>
    <w:rsid w:val="13305604"/>
    <w:rsid w:val="133B7491"/>
    <w:rsid w:val="13560A65"/>
    <w:rsid w:val="13951726"/>
    <w:rsid w:val="13F00B97"/>
    <w:rsid w:val="13FA46D2"/>
    <w:rsid w:val="142965BC"/>
    <w:rsid w:val="14396509"/>
    <w:rsid w:val="1447165C"/>
    <w:rsid w:val="14555E92"/>
    <w:rsid w:val="14751AC0"/>
    <w:rsid w:val="14F83168"/>
    <w:rsid w:val="15044724"/>
    <w:rsid w:val="15383A69"/>
    <w:rsid w:val="159944AC"/>
    <w:rsid w:val="15A050A1"/>
    <w:rsid w:val="15AC4FC3"/>
    <w:rsid w:val="15C02C51"/>
    <w:rsid w:val="15D73C43"/>
    <w:rsid w:val="15F638CC"/>
    <w:rsid w:val="16086A2E"/>
    <w:rsid w:val="16157A01"/>
    <w:rsid w:val="16337DE9"/>
    <w:rsid w:val="163D0001"/>
    <w:rsid w:val="164F784A"/>
    <w:rsid w:val="166F6275"/>
    <w:rsid w:val="16F07B27"/>
    <w:rsid w:val="170D2487"/>
    <w:rsid w:val="17735226"/>
    <w:rsid w:val="17C3523B"/>
    <w:rsid w:val="17C94B8B"/>
    <w:rsid w:val="18372965"/>
    <w:rsid w:val="1872441E"/>
    <w:rsid w:val="18CB4499"/>
    <w:rsid w:val="18CF240D"/>
    <w:rsid w:val="191F65AB"/>
    <w:rsid w:val="195E1484"/>
    <w:rsid w:val="198108E0"/>
    <w:rsid w:val="1A1C66C0"/>
    <w:rsid w:val="1A224E7D"/>
    <w:rsid w:val="1A3F6DFB"/>
    <w:rsid w:val="1A42393B"/>
    <w:rsid w:val="1A4A7CB8"/>
    <w:rsid w:val="1A56062E"/>
    <w:rsid w:val="1A7C008C"/>
    <w:rsid w:val="1ABC2A04"/>
    <w:rsid w:val="1AC85003"/>
    <w:rsid w:val="1AE26B40"/>
    <w:rsid w:val="1AEB6B71"/>
    <w:rsid w:val="1AFB04D9"/>
    <w:rsid w:val="1B003CF5"/>
    <w:rsid w:val="1B046F80"/>
    <w:rsid w:val="1B2129A5"/>
    <w:rsid w:val="1B3267B5"/>
    <w:rsid w:val="1B62270B"/>
    <w:rsid w:val="1B8065F0"/>
    <w:rsid w:val="1BB0405F"/>
    <w:rsid w:val="1BC13A92"/>
    <w:rsid w:val="1BC25DC8"/>
    <w:rsid w:val="1BED245D"/>
    <w:rsid w:val="1C292460"/>
    <w:rsid w:val="1C30118B"/>
    <w:rsid w:val="1C5E7925"/>
    <w:rsid w:val="1C887FC8"/>
    <w:rsid w:val="1CB00DE8"/>
    <w:rsid w:val="1CCE4466"/>
    <w:rsid w:val="1CDF1D67"/>
    <w:rsid w:val="1CF90B40"/>
    <w:rsid w:val="1CFC31F6"/>
    <w:rsid w:val="1D3307F7"/>
    <w:rsid w:val="1D5F6196"/>
    <w:rsid w:val="1D6132A5"/>
    <w:rsid w:val="1D8E56D5"/>
    <w:rsid w:val="1DF035A8"/>
    <w:rsid w:val="1DF50633"/>
    <w:rsid w:val="1DFE37F5"/>
    <w:rsid w:val="1E26244B"/>
    <w:rsid w:val="1E2F47B7"/>
    <w:rsid w:val="1E3B1FCF"/>
    <w:rsid w:val="1E4F1CCF"/>
    <w:rsid w:val="1E5C5002"/>
    <w:rsid w:val="1E7A43DA"/>
    <w:rsid w:val="1EB277FE"/>
    <w:rsid w:val="1EDC0703"/>
    <w:rsid w:val="1F2407FF"/>
    <w:rsid w:val="1F241C92"/>
    <w:rsid w:val="1F927030"/>
    <w:rsid w:val="1FBA33CD"/>
    <w:rsid w:val="1FBC6887"/>
    <w:rsid w:val="1FE7539E"/>
    <w:rsid w:val="1FE933AA"/>
    <w:rsid w:val="1FF62368"/>
    <w:rsid w:val="207B45A1"/>
    <w:rsid w:val="208512E0"/>
    <w:rsid w:val="20963CB8"/>
    <w:rsid w:val="20B07FB6"/>
    <w:rsid w:val="20E35576"/>
    <w:rsid w:val="20F46FE0"/>
    <w:rsid w:val="213B74B1"/>
    <w:rsid w:val="21466CC1"/>
    <w:rsid w:val="215A2310"/>
    <w:rsid w:val="215E32C9"/>
    <w:rsid w:val="21A12C78"/>
    <w:rsid w:val="21AF73AB"/>
    <w:rsid w:val="21D7200F"/>
    <w:rsid w:val="21DE318A"/>
    <w:rsid w:val="21E22474"/>
    <w:rsid w:val="21E55E74"/>
    <w:rsid w:val="21EF5B80"/>
    <w:rsid w:val="22576990"/>
    <w:rsid w:val="228D3CCC"/>
    <w:rsid w:val="229C4EAB"/>
    <w:rsid w:val="22E86365"/>
    <w:rsid w:val="22F10AF4"/>
    <w:rsid w:val="235651B5"/>
    <w:rsid w:val="23651406"/>
    <w:rsid w:val="23777184"/>
    <w:rsid w:val="23796F32"/>
    <w:rsid w:val="23A57C62"/>
    <w:rsid w:val="23E82C9E"/>
    <w:rsid w:val="24020111"/>
    <w:rsid w:val="245A5A04"/>
    <w:rsid w:val="247226BE"/>
    <w:rsid w:val="249B2DF8"/>
    <w:rsid w:val="252D53FE"/>
    <w:rsid w:val="254A4B92"/>
    <w:rsid w:val="255F5447"/>
    <w:rsid w:val="25691857"/>
    <w:rsid w:val="257124CC"/>
    <w:rsid w:val="25C603D0"/>
    <w:rsid w:val="25EC2D81"/>
    <w:rsid w:val="261750D0"/>
    <w:rsid w:val="26396717"/>
    <w:rsid w:val="264528BD"/>
    <w:rsid w:val="26753BA5"/>
    <w:rsid w:val="26760EF2"/>
    <w:rsid w:val="26B91CE3"/>
    <w:rsid w:val="26E8145D"/>
    <w:rsid w:val="27602AA7"/>
    <w:rsid w:val="277F19FB"/>
    <w:rsid w:val="279A3AEC"/>
    <w:rsid w:val="27D15DD1"/>
    <w:rsid w:val="27F90A64"/>
    <w:rsid w:val="28347CA0"/>
    <w:rsid w:val="28886F9B"/>
    <w:rsid w:val="28A76295"/>
    <w:rsid w:val="29053395"/>
    <w:rsid w:val="29206EB8"/>
    <w:rsid w:val="296D55FC"/>
    <w:rsid w:val="297453BB"/>
    <w:rsid w:val="298E2298"/>
    <w:rsid w:val="29E325E0"/>
    <w:rsid w:val="2A452503"/>
    <w:rsid w:val="2A6A305D"/>
    <w:rsid w:val="2A8D5AF4"/>
    <w:rsid w:val="2A9314C3"/>
    <w:rsid w:val="2ABB4D94"/>
    <w:rsid w:val="2ABE3D6C"/>
    <w:rsid w:val="2AD3398B"/>
    <w:rsid w:val="2AEA0D92"/>
    <w:rsid w:val="2AFF3521"/>
    <w:rsid w:val="2B2E4814"/>
    <w:rsid w:val="2BA936A8"/>
    <w:rsid w:val="2C037090"/>
    <w:rsid w:val="2C1E7AAC"/>
    <w:rsid w:val="2C315A5A"/>
    <w:rsid w:val="2C635AF3"/>
    <w:rsid w:val="2C6848AC"/>
    <w:rsid w:val="2C8C39F6"/>
    <w:rsid w:val="2CDC5D45"/>
    <w:rsid w:val="2D281D80"/>
    <w:rsid w:val="2D9B39F2"/>
    <w:rsid w:val="2D9E56F5"/>
    <w:rsid w:val="2DBD1EC4"/>
    <w:rsid w:val="2DEE57E6"/>
    <w:rsid w:val="2E667F96"/>
    <w:rsid w:val="2E6C2DE0"/>
    <w:rsid w:val="2E8226AB"/>
    <w:rsid w:val="2E963410"/>
    <w:rsid w:val="2EA636FE"/>
    <w:rsid w:val="2EC65E94"/>
    <w:rsid w:val="2EC7155D"/>
    <w:rsid w:val="2EC92CDF"/>
    <w:rsid w:val="2F215F41"/>
    <w:rsid w:val="2F257B1E"/>
    <w:rsid w:val="2F506B9E"/>
    <w:rsid w:val="2F55104D"/>
    <w:rsid w:val="2F765783"/>
    <w:rsid w:val="2F832C79"/>
    <w:rsid w:val="2F860BD0"/>
    <w:rsid w:val="2FEF2D58"/>
    <w:rsid w:val="3025488D"/>
    <w:rsid w:val="304B15BF"/>
    <w:rsid w:val="30580BC9"/>
    <w:rsid w:val="30583E0E"/>
    <w:rsid w:val="307B625B"/>
    <w:rsid w:val="3093605D"/>
    <w:rsid w:val="30B914AB"/>
    <w:rsid w:val="30E67B79"/>
    <w:rsid w:val="310A0A92"/>
    <w:rsid w:val="311A7D23"/>
    <w:rsid w:val="311E2ED7"/>
    <w:rsid w:val="315C449C"/>
    <w:rsid w:val="31890F93"/>
    <w:rsid w:val="31973569"/>
    <w:rsid w:val="31B82709"/>
    <w:rsid w:val="31CE197F"/>
    <w:rsid w:val="31DB3841"/>
    <w:rsid w:val="32400B34"/>
    <w:rsid w:val="3262241C"/>
    <w:rsid w:val="328000D6"/>
    <w:rsid w:val="329E6876"/>
    <w:rsid w:val="330F7BB3"/>
    <w:rsid w:val="33125DE8"/>
    <w:rsid w:val="33174794"/>
    <w:rsid w:val="33180FA8"/>
    <w:rsid w:val="331876BE"/>
    <w:rsid w:val="3341189C"/>
    <w:rsid w:val="3348536B"/>
    <w:rsid w:val="334F4DDF"/>
    <w:rsid w:val="338516D0"/>
    <w:rsid w:val="339E7474"/>
    <w:rsid w:val="33D934D4"/>
    <w:rsid w:val="33DC5263"/>
    <w:rsid w:val="33FE2F6A"/>
    <w:rsid w:val="3442504B"/>
    <w:rsid w:val="3455249D"/>
    <w:rsid w:val="34896F56"/>
    <w:rsid w:val="348D15AF"/>
    <w:rsid w:val="34A126BB"/>
    <w:rsid w:val="34EB1C02"/>
    <w:rsid w:val="34F443C5"/>
    <w:rsid w:val="3552700B"/>
    <w:rsid w:val="35553419"/>
    <w:rsid w:val="355754E9"/>
    <w:rsid w:val="359743F8"/>
    <w:rsid w:val="35A21C9B"/>
    <w:rsid w:val="35BD305A"/>
    <w:rsid w:val="35E00848"/>
    <w:rsid w:val="36074A7F"/>
    <w:rsid w:val="361164AF"/>
    <w:rsid w:val="3642109E"/>
    <w:rsid w:val="36837D8C"/>
    <w:rsid w:val="36923549"/>
    <w:rsid w:val="36B75FBF"/>
    <w:rsid w:val="36FB4891"/>
    <w:rsid w:val="37456AF6"/>
    <w:rsid w:val="3767285E"/>
    <w:rsid w:val="37867301"/>
    <w:rsid w:val="37F65002"/>
    <w:rsid w:val="384A5878"/>
    <w:rsid w:val="384E4555"/>
    <w:rsid w:val="38B642D4"/>
    <w:rsid w:val="38E433FD"/>
    <w:rsid w:val="38F12CD3"/>
    <w:rsid w:val="38F94775"/>
    <w:rsid w:val="392971ED"/>
    <w:rsid w:val="394863B0"/>
    <w:rsid w:val="39491523"/>
    <w:rsid w:val="39565AB7"/>
    <w:rsid w:val="39602492"/>
    <w:rsid w:val="39730F0D"/>
    <w:rsid w:val="39794B3A"/>
    <w:rsid w:val="398E317A"/>
    <w:rsid w:val="399971D6"/>
    <w:rsid w:val="39A14072"/>
    <w:rsid w:val="39B502A9"/>
    <w:rsid w:val="39DE4AE5"/>
    <w:rsid w:val="3A4A561C"/>
    <w:rsid w:val="3A9C1DBC"/>
    <w:rsid w:val="3ADF726D"/>
    <w:rsid w:val="3B3763D1"/>
    <w:rsid w:val="3BD553B9"/>
    <w:rsid w:val="3C1C5C7E"/>
    <w:rsid w:val="3C225536"/>
    <w:rsid w:val="3CCF3BDD"/>
    <w:rsid w:val="3CDA245A"/>
    <w:rsid w:val="3CEE0A37"/>
    <w:rsid w:val="3D067A65"/>
    <w:rsid w:val="3D184EF7"/>
    <w:rsid w:val="3D53578B"/>
    <w:rsid w:val="3D6161B4"/>
    <w:rsid w:val="3D8664E7"/>
    <w:rsid w:val="3DC75731"/>
    <w:rsid w:val="3E216694"/>
    <w:rsid w:val="3E221E1E"/>
    <w:rsid w:val="3E272A54"/>
    <w:rsid w:val="3E5F0923"/>
    <w:rsid w:val="3E614CE2"/>
    <w:rsid w:val="3EB7143B"/>
    <w:rsid w:val="3ED90DF7"/>
    <w:rsid w:val="3EF354DA"/>
    <w:rsid w:val="3EF53725"/>
    <w:rsid w:val="3EF63D41"/>
    <w:rsid w:val="3F154D8A"/>
    <w:rsid w:val="3F660E74"/>
    <w:rsid w:val="3F6F19D0"/>
    <w:rsid w:val="3F746C97"/>
    <w:rsid w:val="40672CC6"/>
    <w:rsid w:val="40676DE9"/>
    <w:rsid w:val="407A6407"/>
    <w:rsid w:val="408F5DFF"/>
    <w:rsid w:val="40F21D20"/>
    <w:rsid w:val="41080494"/>
    <w:rsid w:val="41483F38"/>
    <w:rsid w:val="417E3406"/>
    <w:rsid w:val="41D43083"/>
    <w:rsid w:val="423A3BCC"/>
    <w:rsid w:val="426B4C13"/>
    <w:rsid w:val="433A6FE6"/>
    <w:rsid w:val="4350713C"/>
    <w:rsid w:val="43641346"/>
    <w:rsid w:val="4364157E"/>
    <w:rsid w:val="436653E0"/>
    <w:rsid w:val="43963680"/>
    <w:rsid w:val="439D4A0F"/>
    <w:rsid w:val="43A52CF3"/>
    <w:rsid w:val="43BF1188"/>
    <w:rsid w:val="43D87657"/>
    <w:rsid w:val="441F16F3"/>
    <w:rsid w:val="44693755"/>
    <w:rsid w:val="44757692"/>
    <w:rsid w:val="448E7D42"/>
    <w:rsid w:val="44AE49FA"/>
    <w:rsid w:val="44CD14E0"/>
    <w:rsid w:val="44D35366"/>
    <w:rsid w:val="44E977E0"/>
    <w:rsid w:val="44FC2157"/>
    <w:rsid w:val="450A4798"/>
    <w:rsid w:val="451F3201"/>
    <w:rsid w:val="452D4818"/>
    <w:rsid w:val="454F3E67"/>
    <w:rsid w:val="45505F05"/>
    <w:rsid w:val="458946E9"/>
    <w:rsid w:val="46032B23"/>
    <w:rsid w:val="465C2AC8"/>
    <w:rsid w:val="46747F5F"/>
    <w:rsid w:val="4682285B"/>
    <w:rsid w:val="46A54AAA"/>
    <w:rsid w:val="46C867C3"/>
    <w:rsid w:val="46D804BD"/>
    <w:rsid w:val="46D955A7"/>
    <w:rsid w:val="46E7413E"/>
    <w:rsid w:val="47133957"/>
    <w:rsid w:val="475C226D"/>
    <w:rsid w:val="47640D4A"/>
    <w:rsid w:val="4779329E"/>
    <w:rsid w:val="479F3AFB"/>
    <w:rsid w:val="47A07E0C"/>
    <w:rsid w:val="47B210AE"/>
    <w:rsid w:val="47C91E58"/>
    <w:rsid w:val="4870272E"/>
    <w:rsid w:val="48904226"/>
    <w:rsid w:val="48961A2D"/>
    <w:rsid w:val="48DD3AFF"/>
    <w:rsid w:val="4942773C"/>
    <w:rsid w:val="49CE6A03"/>
    <w:rsid w:val="49DC7715"/>
    <w:rsid w:val="49E86BF2"/>
    <w:rsid w:val="49F2475F"/>
    <w:rsid w:val="4A023139"/>
    <w:rsid w:val="4A030B10"/>
    <w:rsid w:val="4A740444"/>
    <w:rsid w:val="4A7B576F"/>
    <w:rsid w:val="4A7E3BEB"/>
    <w:rsid w:val="4AD26F4D"/>
    <w:rsid w:val="4AEB4C2F"/>
    <w:rsid w:val="4B38360F"/>
    <w:rsid w:val="4B3C640A"/>
    <w:rsid w:val="4B9720C2"/>
    <w:rsid w:val="4BAD4584"/>
    <w:rsid w:val="4BBC2F6C"/>
    <w:rsid w:val="4BCC2544"/>
    <w:rsid w:val="4BCD0A8B"/>
    <w:rsid w:val="4C03665E"/>
    <w:rsid w:val="4C106146"/>
    <w:rsid w:val="4C123A18"/>
    <w:rsid w:val="4C4A0649"/>
    <w:rsid w:val="4C820C3A"/>
    <w:rsid w:val="4C9C23A6"/>
    <w:rsid w:val="4CCA54FF"/>
    <w:rsid w:val="4CE470D3"/>
    <w:rsid w:val="4D034B1D"/>
    <w:rsid w:val="4D9C4E90"/>
    <w:rsid w:val="4DB2589C"/>
    <w:rsid w:val="4DD13859"/>
    <w:rsid w:val="4DD5409E"/>
    <w:rsid w:val="4DD81448"/>
    <w:rsid w:val="4DD958F6"/>
    <w:rsid w:val="4DEC4FB0"/>
    <w:rsid w:val="4DF30707"/>
    <w:rsid w:val="4E075D8A"/>
    <w:rsid w:val="4E2F6E9B"/>
    <w:rsid w:val="4E37671A"/>
    <w:rsid w:val="4EE06BF2"/>
    <w:rsid w:val="4F797CCA"/>
    <w:rsid w:val="4F7F4255"/>
    <w:rsid w:val="4F9175D6"/>
    <w:rsid w:val="4FB612FE"/>
    <w:rsid w:val="4FC62A8C"/>
    <w:rsid w:val="4FE20F0D"/>
    <w:rsid w:val="50352723"/>
    <w:rsid w:val="50353410"/>
    <w:rsid w:val="50495D47"/>
    <w:rsid w:val="50504C4B"/>
    <w:rsid w:val="50581A43"/>
    <w:rsid w:val="50830A63"/>
    <w:rsid w:val="509C6E7C"/>
    <w:rsid w:val="50C27542"/>
    <w:rsid w:val="512B2D0D"/>
    <w:rsid w:val="512D02E0"/>
    <w:rsid w:val="51551C11"/>
    <w:rsid w:val="5162104E"/>
    <w:rsid w:val="51A21442"/>
    <w:rsid w:val="5222272E"/>
    <w:rsid w:val="52321218"/>
    <w:rsid w:val="525D7A40"/>
    <w:rsid w:val="526B217C"/>
    <w:rsid w:val="532C7440"/>
    <w:rsid w:val="533143D1"/>
    <w:rsid w:val="535278EB"/>
    <w:rsid w:val="5372226A"/>
    <w:rsid w:val="53A039CC"/>
    <w:rsid w:val="53A1505A"/>
    <w:rsid w:val="53C161BA"/>
    <w:rsid w:val="53C360A4"/>
    <w:rsid w:val="53F627EC"/>
    <w:rsid w:val="53FE47E6"/>
    <w:rsid w:val="54063E08"/>
    <w:rsid w:val="540832DD"/>
    <w:rsid w:val="543437E8"/>
    <w:rsid w:val="54602F88"/>
    <w:rsid w:val="549B7D93"/>
    <w:rsid w:val="54C6369A"/>
    <w:rsid w:val="555C29BA"/>
    <w:rsid w:val="55640735"/>
    <w:rsid w:val="559B174B"/>
    <w:rsid w:val="55CE0CF4"/>
    <w:rsid w:val="5640122A"/>
    <w:rsid w:val="56412310"/>
    <w:rsid w:val="567D63BB"/>
    <w:rsid w:val="56A96451"/>
    <w:rsid w:val="56B22A9C"/>
    <w:rsid w:val="56F016EE"/>
    <w:rsid w:val="57080F28"/>
    <w:rsid w:val="57081D47"/>
    <w:rsid w:val="570A3D11"/>
    <w:rsid w:val="572B220E"/>
    <w:rsid w:val="573A658A"/>
    <w:rsid w:val="5740639C"/>
    <w:rsid w:val="57947A7F"/>
    <w:rsid w:val="57980926"/>
    <w:rsid w:val="579F511B"/>
    <w:rsid w:val="57B13814"/>
    <w:rsid w:val="57B4186A"/>
    <w:rsid w:val="57B72A76"/>
    <w:rsid w:val="57BA2E6C"/>
    <w:rsid w:val="57EB4B27"/>
    <w:rsid w:val="580745AE"/>
    <w:rsid w:val="58546744"/>
    <w:rsid w:val="587324D9"/>
    <w:rsid w:val="58AB32D2"/>
    <w:rsid w:val="58FE46B8"/>
    <w:rsid w:val="595A3335"/>
    <w:rsid w:val="59BB12F3"/>
    <w:rsid w:val="59BC2536"/>
    <w:rsid w:val="59D02E49"/>
    <w:rsid w:val="5A0E58C7"/>
    <w:rsid w:val="5A1376EC"/>
    <w:rsid w:val="5A3C747D"/>
    <w:rsid w:val="5A541931"/>
    <w:rsid w:val="5ABE2233"/>
    <w:rsid w:val="5B233626"/>
    <w:rsid w:val="5B276D18"/>
    <w:rsid w:val="5B3441BB"/>
    <w:rsid w:val="5B396172"/>
    <w:rsid w:val="5B5C08B4"/>
    <w:rsid w:val="5B703480"/>
    <w:rsid w:val="5B9C4D0A"/>
    <w:rsid w:val="5BDF5D95"/>
    <w:rsid w:val="5BE16101"/>
    <w:rsid w:val="5C05719D"/>
    <w:rsid w:val="5C3E7B74"/>
    <w:rsid w:val="5C7C6026"/>
    <w:rsid w:val="5CBC4738"/>
    <w:rsid w:val="5CD53413"/>
    <w:rsid w:val="5D3E4715"/>
    <w:rsid w:val="5DB15814"/>
    <w:rsid w:val="5DBF512A"/>
    <w:rsid w:val="5DF87A0F"/>
    <w:rsid w:val="5E063ACE"/>
    <w:rsid w:val="5E2217BE"/>
    <w:rsid w:val="5E2D1938"/>
    <w:rsid w:val="5E632B71"/>
    <w:rsid w:val="5E895E80"/>
    <w:rsid w:val="5E936D09"/>
    <w:rsid w:val="5EA878FC"/>
    <w:rsid w:val="5EDC2265"/>
    <w:rsid w:val="5EEE59C1"/>
    <w:rsid w:val="5F1A2B43"/>
    <w:rsid w:val="5F6B0191"/>
    <w:rsid w:val="5F9B2280"/>
    <w:rsid w:val="5FB837BB"/>
    <w:rsid w:val="5FC66C44"/>
    <w:rsid w:val="60033D4B"/>
    <w:rsid w:val="601310A4"/>
    <w:rsid w:val="604B4FF7"/>
    <w:rsid w:val="605D4F96"/>
    <w:rsid w:val="60663E53"/>
    <w:rsid w:val="60D9182E"/>
    <w:rsid w:val="60EE0200"/>
    <w:rsid w:val="60F6201A"/>
    <w:rsid w:val="6162299C"/>
    <w:rsid w:val="617A67B4"/>
    <w:rsid w:val="617F2E84"/>
    <w:rsid w:val="6191570C"/>
    <w:rsid w:val="61BE5F4E"/>
    <w:rsid w:val="61CC3E1E"/>
    <w:rsid w:val="62364782"/>
    <w:rsid w:val="628B1C16"/>
    <w:rsid w:val="6299139C"/>
    <w:rsid w:val="62C60DBE"/>
    <w:rsid w:val="62EE28C5"/>
    <w:rsid w:val="62FE3395"/>
    <w:rsid w:val="630129F7"/>
    <w:rsid w:val="630F4B9E"/>
    <w:rsid w:val="63126EB5"/>
    <w:rsid w:val="63316ACA"/>
    <w:rsid w:val="634D66C7"/>
    <w:rsid w:val="63551068"/>
    <w:rsid w:val="635A3215"/>
    <w:rsid w:val="636557F4"/>
    <w:rsid w:val="63D40BE9"/>
    <w:rsid w:val="63E0211F"/>
    <w:rsid w:val="63F13DFC"/>
    <w:rsid w:val="6429687E"/>
    <w:rsid w:val="64845EA0"/>
    <w:rsid w:val="65373578"/>
    <w:rsid w:val="65432DEA"/>
    <w:rsid w:val="65BB6580"/>
    <w:rsid w:val="663232ED"/>
    <w:rsid w:val="66550E31"/>
    <w:rsid w:val="66811B16"/>
    <w:rsid w:val="66927583"/>
    <w:rsid w:val="66AE0754"/>
    <w:rsid w:val="670537A7"/>
    <w:rsid w:val="67140D89"/>
    <w:rsid w:val="671665E0"/>
    <w:rsid w:val="673F2C7A"/>
    <w:rsid w:val="67835FE1"/>
    <w:rsid w:val="681F6961"/>
    <w:rsid w:val="68610A2F"/>
    <w:rsid w:val="68805514"/>
    <w:rsid w:val="68FA279C"/>
    <w:rsid w:val="68FF3424"/>
    <w:rsid w:val="692B2B9D"/>
    <w:rsid w:val="693E4B06"/>
    <w:rsid w:val="694E2071"/>
    <w:rsid w:val="69645735"/>
    <w:rsid w:val="69651957"/>
    <w:rsid w:val="69737963"/>
    <w:rsid w:val="697A3B33"/>
    <w:rsid w:val="699E2456"/>
    <w:rsid w:val="69AB1D35"/>
    <w:rsid w:val="69B76E99"/>
    <w:rsid w:val="69C80949"/>
    <w:rsid w:val="69F50851"/>
    <w:rsid w:val="6A196E7E"/>
    <w:rsid w:val="6A1B0F80"/>
    <w:rsid w:val="6A6522A3"/>
    <w:rsid w:val="6B0E7241"/>
    <w:rsid w:val="6B322639"/>
    <w:rsid w:val="6B653E6F"/>
    <w:rsid w:val="6BA253E9"/>
    <w:rsid w:val="6C2947E2"/>
    <w:rsid w:val="6C486BCD"/>
    <w:rsid w:val="6C4C4744"/>
    <w:rsid w:val="6C5A04A4"/>
    <w:rsid w:val="6C636C38"/>
    <w:rsid w:val="6C7C7BAF"/>
    <w:rsid w:val="6CAE2A53"/>
    <w:rsid w:val="6CE51053"/>
    <w:rsid w:val="6CFA7341"/>
    <w:rsid w:val="6CFC5561"/>
    <w:rsid w:val="6D2B512B"/>
    <w:rsid w:val="6D4B0FFB"/>
    <w:rsid w:val="6D91366E"/>
    <w:rsid w:val="6D941F1A"/>
    <w:rsid w:val="6DB34098"/>
    <w:rsid w:val="6DB545B6"/>
    <w:rsid w:val="6DCF243D"/>
    <w:rsid w:val="6DD339A5"/>
    <w:rsid w:val="6DDD01D7"/>
    <w:rsid w:val="6DF9092D"/>
    <w:rsid w:val="6E171E8F"/>
    <w:rsid w:val="6E407BC1"/>
    <w:rsid w:val="6E4375A0"/>
    <w:rsid w:val="6E446369"/>
    <w:rsid w:val="6E514CED"/>
    <w:rsid w:val="6E5B7616"/>
    <w:rsid w:val="6E5F7B80"/>
    <w:rsid w:val="6E654F43"/>
    <w:rsid w:val="6E79491A"/>
    <w:rsid w:val="6EB42E05"/>
    <w:rsid w:val="6EB563D5"/>
    <w:rsid w:val="6EB91E08"/>
    <w:rsid w:val="6F0623CF"/>
    <w:rsid w:val="6F225983"/>
    <w:rsid w:val="6F3B0C73"/>
    <w:rsid w:val="6F4436E1"/>
    <w:rsid w:val="6F5E7F07"/>
    <w:rsid w:val="6FFC5590"/>
    <w:rsid w:val="70056C56"/>
    <w:rsid w:val="70301DA3"/>
    <w:rsid w:val="7043335C"/>
    <w:rsid w:val="706D1DD0"/>
    <w:rsid w:val="708102EB"/>
    <w:rsid w:val="708327CD"/>
    <w:rsid w:val="70856B87"/>
    <w:rsid w:val="70D527EE"/>
    <w:rsid w:val="712B04A0"/>
    <w:rsid w:val="715B5300"/>
    <w:rsid w:val="715D0F7B"/>
    <w:rsid w:val="715F4BD7"/>
    <w:rsid w:val="716C51BD"/>
    <w:rsid w:val="71761215"/>
    <w:rsid w:val="71901034"/>
    <w:rsid w:val="71D27F50"/>
    <w:rsid w:val="71D27F8A"/>
    <w:rsid w:val="71E371E1"/>
    <w:rsid w:val="71EE0B65"/>
    <w:rsid w:val="71EF55E3"/>
    <w:rsid w:val="71F03D90"/>
    <w:rsid w:val="71F744C6"/>
    <w:rsid w:val="71F960CF"/>
    <w:rsid w:val="72020C8F"/>
    <w:rsid w:val="7213642E"/>
    <w:rsid w:val="72801E01"/>
    <w:rsid w:val="72940925"/>
    <w:rsid w:val="7295531F"/>
    <w:rsid w:val="72F23A9C"/>
    <w:rsid w:val="731F5D5E"/>
    <w:rsid w:val="733E607F"/>
    <w:rsid w:val="73525704"/>
    <w:rsid w:val="73721C08"/>
    <w:rsid w:val="737A532B"/>
    <w:rsid w:val="738E0C48"/>
    <w:rsid w:val="738F6E86"/>
    <w:rsid w:val="739F79C9"/>
    <w:rsid w:val="73C22559"/>
    <w:rsid w:val="73C329D4"/>
    <w:rsid w:val="73F5596E"/>
    <w:rsid w:val="741E793C"/>
    <w:rsid w:val="748F4AB6"/>
    <w:rsid w:val="74F34855"/>
    <w:rsid w:val="751206F0"/>
    <w:rsid w:val="7552013B"/>
    <w:rsid w:val="75532894"/>
    <w:rsid w:val="75874BC8"/>
    <w:rsid w:val="758D75E2"/>
    <w:rsid w:val="75A46064"/>
    <w:rsid w:val="75A61970"/>
    <w:rsid w:val="75F419BD"/>
    <w:rsid w:val="765565DB"/>
    <w:rsid w:val="76E95106"/>
    <w:rsid w:val="772C3BD6"/>
    <w:rsid w:val="77343E9D"/>
    <w:rsid w:val="774812E5"/>
    <w:rsid w:val="77762421"/>
    <w:rsid w:val="777A1265"/>
    <w:rsid w:val="77AF345E"/>
    <w:rsid w:val="780F09F4"/>
    <w:rsid w:val="785108EC"/>
    <w:rsid w:val="78665510"/>
    <w:rsid w:val="789C4F47"/>
    <w:rsid w:val="78A05B5F"/>
    <w:rsid w:val="78A90480"/>
    <w:rsid w:val="79147A06"/>
    <w:rsid w:val="79811327"/>
    <w:rsid w:val="798F65C4"/>
    <w:rsid w:val="799B4454"/>
    <w:rsid w:val="799C2DFF"/>
    <w:rsid w:val="79C93160"/>
    <w:rsid w:val="7A1A2CC5"/>
    <w:rsid w:val="7A364017"/>
    <w:rsid w:val="7A6E5EBC"/>
    <w:rsid w:val="7A795EA9"/>
    <w:rsid w:val="7A7D67F0"/>
    <w:rsid w:val="7A8265E1"/>
    <w:rsid w:val="7A907EE3"/>
    <w:rsid w:val="7A991EC6"/>
    <w:rsid w:val="7AD1108D"/>
    <w:rsid w:val="7B165C2F"/>
    <w:rsid w:val="7B1B32C0"/>
    <w:rsid w:val="7B203325"/>
    <w:rsid w:val="7B686D42"/>
    <w:rsid w:val="7B7745FA"/>
    <w:rsid w:val="7B841746"/>
    <w:rsid w:val="7BAD71BC"/>
    <w:rsid w:val="7BEB39F1"/>
    <w:rsid w:val="7C02337D"/>
    <w:rsid w:val="7C217284"/>
    <w:rsid w:val="7C8F4001"/>
    <w:rsid w:val="7CDE37F6"/>
    <w:rsid w:val="7CE23A88"/>
    <w:rsid w:val="7D0239FF"/>
    <w:rsid w:val="7D387258"/>
    <w:rsid w:val="7D4850AD"/>
    <w:rsid w:val="7D5E40CD"/>
    <w:rsid w:val="7D69310E"/>
    <w:rsid w:val="7D693BED"/>
    <w:rsid w:val="7DCB0D9E"/>
    <w:rsid w:val="7DD03A79"/>
    <w:rsid w:val="7E177AA7"/>
    <w:rsid w:val="7E2C73C5"/>
    <w:rsid w:val="7E476C36"/>
    <w:rsid w:val="7E580EFB"/>
    <w:rsid w:val="7E753B0B"/>
    <w:rsid w:val="7EA4229B"/>
    <w:rsid w:val="7ED0317E"/>
    <w:rsid w:val="7F085109"/>
    <w:rsid w:val="7F0D7F93"/>
    <w:rsid w:val="7F3746E7"/>
    <w:rsid w:val="7F5C05D3"/>
    <w:rsid w:val="7F721C83"/>
    <w:rsid w:val="7FB73B91"/>
    <w:rsid w:val="7FD015BD"/>
    <w:rsid w:val="7FDA7A93"/>
    <w:rsid w:val="7FE47E50"/>
    <w:rsid w:val="7FE53D0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qFormat="1" w:unhideWhenUsed="0" w:uiPriority="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4">
    <w:name w:val="heading 1"/>
    <w:basedOn w:val="1"/>
    <w:next w:val="1"/>
    <w:qFormat/>
    <w:uiPriority w:val="0"/>
    <w:pPr>
      <w:spacing w:before="0" w:beforeAutospacing="0" w:after="0" w:afterAutospacing="0"/>
      <w:ind w:firstLine="0" w:firstLineChars="0"/>
      <w:jc w:val="center"/>
      <w:outlineLvl w:val="0"/>
    </w:pPr>
    <w:rPr>
      <w:rFonts w:ascii="黑体" w:hAnsi="黑体" w:eastAsia="黑体"/>
      <w:snapToGrid w:val="0"/>
      <w:sz w:val="30"/>
      <w:szCs w:val="30"/>
    </w:rPr>
  </w:style>
  <w:style w:type="paragraph" w:styleId="5">
    <w:name w:val="heading 2"/>
    <w:basedOn w:val="1"/>
    <w:next w:val="1"/>
    <w:link w:val="40"/>
    <w:unhideWhenUsed/>
    <w:qFormat/>
    <w:uiPriority w:val="0"/>
    <w:pPr>
      <w:keepNext/>
      <w:keepLines/>
      <w:spacing w:before="260" w:after="260" w:line="413" w:lineRule="auto"/>
      <w:outlineLvl w:val="1"/>
    </w:pPr>
    <w:rPr>
      <w:rFonts w:ascii="Arial" w:hAnsi="Arial" w:eastAsia="黑体"/>
      <w:b/>
      <w:sz w:val="32"/>
    </w:rPr>
  </w:style>
  <w:style w:type="paragraph" w:styleId="6">
    <w:name w:val="heading 3"/>
    <w:basedOn w:val="1"/>
    <w:next w:val="1"/>
    <w:link w:val="41"/>
    <w:unhideWhenUsed/>
    <w:qFormat/>
    <w:uiPriority w:val="0"/>
    <w:pPr>
      <w:keepLines/>
      <w:ind w:firstLine="512"/>
      <w:outlineLvl w:val="2"/>
    </w:pPr>
    <w:rPr>
      <w:rFonts w:ascii="宋体" w:hAnsi="宋体"/>
      <w:snapToGrid w:val="0"/>
      <w:color w:val="993300"/>
      <w:spacing w:val="8"/>
    </w:rPr>
  </w:style>
  <w:style w:type="paragraph" w:styleId="7">
    <w:name w:val="heading 4"/>
    <w:basedOn w:val="1"/>
    <w:next w:val="1"/>
    <w:link w:val="58"/>
    <w:unhideWhenUsed/>
    <w:qFormat/>
    <w:uiPriority w:val="0"/>
    <w:pPr>
      <w:keepNext/>
      <w:keepLines/>
      <w:spacing w:line="377" w:lineRule="auto"/>
      <w:outlineLvl w:val="3"/>
    </w:pPr>
    <w:rPr>
      <w:rFonts w:ascii="Arial" w:hAnsi="Arial"/>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styleId="8">
    <w:name w:val="table of authorities"/>
    <w:basedOn w:val="1"/>
    <w:next w:val="1"/>
    <w:qFormat/>
    <w:uiPriority w:val="0"/>
    <w:pPr>
      <w:ind w:left="420" w:leftChars="200"/>
    </w:pPr>
  </w:style>
  <w:style w:type="paragraph" w:styleId="9">
    <w:name w:val="Normal Indent"/>
    <w:basedOn w:val="1"/>
    <w:qFormat/>
    <w:uiPriority w:val="0"/>
    <w:rPr>
      <w:sz w:val="28"/>
      <w:szCs w:val="20"/>
    </w:rPr>
  </w:style>
  <w:style w:type="paragraph" w:styleId="10">
    <w:name w:val="caption"/>
    <w:basedOn w:val="1"/>
    <w:next w:val="1"/>
    <w:link w:val="44"/>
    <w:unhideWhenUsed/>
    <w:qFormat/>
    <w:uiPriority w:val="0"/>
    <w:rPr>
      <w:rFonts w:ascii="Arial" w:hAnsi="Arial" w:eastAsia="黑体"/>
      <w:sz w:val="20"/>
    </w:rPr>
  </w:style>
  <w:style w:type="paragraph" w:styleId="11">
    <w:name w:val="Document Map"/>
    <w:basedOn w:val="1"/>
    <w:link w:val="45"/>
    <w:qFormat/>
    <w:uiPriority w:val="0"/>
    <w:rPr>
      <w:rFonts w:ascii="宋体"/>
      <w:sz w:val="18"/>
      <w:szCs w:val="18"/>
    </w:rPr>
  </w:style>
  <w:style w:type="paragraph" w:styleId="12">
    <w:name w:val="toa heading"/>
    <w:basedOn w:val="1"/>
    <w:next w:val="1"/>
    <w:semiHidden/>
    <w:qFormat/>
    <w:uiPriority w:val="0"/>
    <w:pPr>
      <w:spacing w:before="120"/>
    </w:pPr>
    <w:rPr>
      <w:rFonts w:ascii="Arial" w:hAnsi="宋体" w:cs="宋体"/>
      <w:kern w:val="0"/>
      <w:sz w:val="24"/>
      <w:szCs w:val="20"/>
    </w:rPr>
  </w:style>
  <w:style w:type="paragraph" w:styleId="13">
    <w:name w:val="annotation text"/>
    <w:basedOn w:val="1"/>
    <w:link w:val="46"/>
    <w:qFormat/>
    <w:uiPriority w:val="0"/>
    <w:pPr>
      <w:jc w:val="left"/>
    </w:pPr>
    <w:rPr>
      <w:rFonts w:ascii="Times New Roman" w:hAnsi="Times New Roman"/>
      <w:kern w:val="0"/>
    </w:rPr>
  </w:style>
  <w:style w:type="paragraph" w:styleId="14">
    <w:name w:val="Body Text"/>
    <w:basedOn w:val="1"/>
    <w:next w:val="15"/>
    <w:link w:val="47"/>
    <w:qFormat/>
    <w:uiPriority w:val="0"/>
    <w:pPr>
      <w:widowControl/>
      <w:snapToGrid w:val="0"/>
      <w:spacing w:before="60" w:after="160" w:line="259" w:lineRule="auto"/>
      <w:ind w:right="113"/>
    </w:pPr>
    <w:rPr>
      <w:kern w:val="0"/>
      <w:sz w:val="18"/>
    </w:rPr>
  </w:style>
  <w:style w:type="paragraph" w:styleId="15">
    <w:name w:val="toc 1"/>
    <w:basedOn w:val="1"/>
    <w:next w:val="1"/>
    <w:qFormat/>
    <w:uiPriority w:val="0"/>
  </w:style>
  <w:style w:type="paragraph" w:styleId="16">
    <w:name w:val="Body Text Indent"/>
    <w:basedOn w:val="1"/>
    <w:next w:val="17"/>
    <w:link w:val="49"/>
    <w:qFormat/>
    <w:uiPriority w:val="0"/>
    <w:pPr>
      <w:spacing w:after="120"/>
      <w:ind w:left="420" w:leftChars="200"/>
    </w:pPr>
  </w:style>
  <w:style w:type="paragraph" w:customStyle="1" w:styleId="17">
    <w:name w:val="样式 正文文本缩进 + 行距: 1.5 倍行距"/>
    <w:basedOn w:val="16"/>
    <w:qFormat/>
    <w:uiPriority w:val="0"/>
    <w:pPr>
      <w:spacing w:after="120"/>
      <w:ind w:left="90" w:leftChars="32" w:firstLine="560"/>
    </w:pPr>
    <w:rPr>
      <w:rFonts w:cs="宋体"/>
    </w:rPr>
  </w:style>
  <w:style w:type="paragraph" w:styleId="18">
    <w:name w:val="Plain Text"/>
    <w:basedOn w:val="1"/>
    <w:qFormat/>
    <w:uiPriority w:val="0"/>
    <w:rPr>
      <w:rFonts w:ascii="宋体" w:hAnsi="Courier New" w:cs="Courier New"/>
      <w:szCs w:val="21"/>
    </w:rPr>
  </w:style>
  <w:style w:type="paragraph" w:styleId="19">
    <w:name w:val="Date"/>
    <w:basedOn w:val="1"/>
    <w:next w:val="1"/>
    <w:link w:val="48"/>
    <w:qFormat/>
    <w:uiPriority w:val="0"/>
    <w:pPr>
      <w:ind w:left="100" w:leftChars="2500"/>
    </w:pPr>
    <w:rPr>
      <w:rFonts w:ascii="Times New Roman" w:hAnsi="Times New Roman"/>
      <w:kern w:val="0"/>
    </w:rPr>
  </w:style>
  <w:style w:type="paragraph" w:styleId="20">
    <w:name w:val="Body Text Indent 2"/>
    <w:basedOn w:val="1"/>
    <w:next w:val="12"/>
    <w:qFormat/>
    <w:uiPriority w:val="0"/>
    <w:pPr>
      <w:spacing w:after="120" w:afterLines="0" w:line="480" w:lineRule="auto"/>
      <w:ind w:left="420" w:leftChars="200"/>
    </w:pPr>
    <w:rPr>
      <w:sz w:val="28"/>
      <w:szCs w:val="20"/>
    </w:rPr>
  </w:style>
  <w:style w:type="paragraph" w:styleId="21">
    <w:name w:val="Balloon Text"/>
    <w:basedOn w:val="1"/>
    <w:link w:val="50"/>
    <w:qFormat/>
    <w:uiPriority w:val="0"/>
    <w:rPr>
      <w:sz w:val="18"/>
      <w:szCs w:val="18"/>
    </w:rPr>
  </w:style>
  <w:style w:type="paragraph" w:styleId="22">
    <w:name w:val="footer"/>
    <w:basedOn w:val="1"/>
    <w:link w:val="51"/>
    <w:qFormat/>
    <w:uiPriority w:val="0"/>
    <w:pPr>
      <w:tabs>
        <w:tab w:val="center" w:pos="4153"/>
        <w:tab w:val="right" w:pos="8306"/>
      </w:tabs>
      <w:snapToGrid w:val="0"/>
      <w:jc w:val="left"/>
    </w:pPr>
    <w:rPr>
      <w:sz w:val="18"/>
      <w:szCs w:val="18"/>
    </w:rPr>
  </w:style>
  <w:style w:type="paragraph" w:styleId="23">
    <w:name w:val="header"/>
    <w:basedOn w:val="1"/>
    <w:link w:val="52"/>
    <w:qFormat/>
    <w:uiPriority w:val="0"/>
    <w:pPr>
      <w:pBdr>
        <w:bottom w:val="single" w:color="auto" w:sz="6" w:space="1"/>
      </w:pBdr>
      <w:tabs>
        <w:tab w:val="center" w:pos="4153"/>
        <w:tab w:val="right" w:pos="8306"/>
      </w:tabs>
      <w:snapToGrid w:val="0"/>
      <w:jc w:val="center"/>
    </w:pPr>
    <w:rPr>
      <w:sz w:val="18"/>
      <w:szCs w:val="18"/>
    </w:rPr>
  </w:style>
  <w:style w:type="paragraph" w:styleId="24">
    <w:name w:val="List"/>
    <w:basedOn w:val="1"/>
    <w:qFormat/>
    <w:uiPriority w:val="0"/>
    <w:pPr>
      <w:ind w:left="200" w:hanging="200" w:hangingChars="200"/>
    </w:pPr>
    <w:rPr>
      <w:sz w:val="28"/>
      <w:szCs w:val="20"/>
    </w:rPr>
  </w:style>
  <w:style w:type="paragraph" w:styleId="25">
    <w:name w:val="toc 2"/>
    <w:basedOn w:val="1"/>
    <w:next w:val="1"/>
    <w:qFormat/>
    <w:uiPriority w:val="0"/>
    <w:pPr>
      <w:ind w:left="210"/>
      <w:jc w:val="left"/>
    </w:pPr>
    <w:rPr>
      <w:smallCaps/>
      <w:sz w:val="20"/>
      <w:szCs w:val="20"/>
    </w:rPr>
  </w:style>
  <w:style w:type="paragraph" w:styleId="26">
    <w:name w:val="Body Text 2"/>
    <w:basedOn w:val="1"/>
    <w:qFormat/>
    <w:uiPriority w:val="0"/>
    <w:pPr>
      <w:ind w:right="291"/>
    </w:pPr>
    <w:rPr>
      <w:sz w:val="28"/>
    </w:rPr>
  </w:style>
  <w:style w:type="paragraph" w:styleId="27">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adjustRightInd/>
      <w:snapToGrid/>
      <w:spacing w:line="240" w:lineRule="auto"/>
      <w:ind w:left="1080" w:leftChars="500" w:hanging="1080" w:hangingChars="500"/>
    </w:pPr>
    <w:rPr>
      <w:rFonts w:ascii="Cambria" w:hAnsi="Cambria"/>
      <w:szCs w:val="24"/>
    </w:rPr>
  </w:style>
  <w:style w:type="paragraph" w:styleId="28">
    <w:name w:val="Normal (Web)"/>
    <w:basedOn w:val="1"/>
    <w:link w:val="53"/>
    <w:qFormat/>
    <w:uiPriority w:val="0"/>
    <w:pPr>
      <w:widowControl/>
      <w:spacing w:before="100" w:beforeAutospacing="1" w:after="100" w:afterAutospacing="1"/>
      <w:jc w:val="left"/>
    </w:pPr>
    <w:rPr>
      <w:rFonts w:ascii="宋体" w:hAnsi="宋体"/>
      <w:kern w:val="0"/>
    </w:rPr>
  </w:style>
  <w:style w:type="paragraph" w:styleId="29">
    <w:name w:val="annotation subject"/>
    <w:basedOn w:val="13"/>
    <w:next w:val="13"/>
    <w:link w:val="54"/>
    <w:qFormat/>
    <w:uiPriority w:val="0"/>
    <w:rPr>
      <w:b/>
      <w:bCs/>
    </w:rPr>
  </w:style>
  <w:style w:type="paragraph" w:styleId="30">
    <w:name w:val="Body Text First Indent"/>
    <w:basedOn w:val="14"/>
    <w:next w:val="31"/>
    <w:link w:val="55"/>
    <w:qFormat/>
    <w:uiPriority w:val="0"/>
    <w:pPr>
      <w:widowControl w:val="0"/>
      <w:snapToGrid/>
      <w:spacing w:before="0" w:after="120" w:line="360" w:lineRule="auto"/>
      <w:ind w:right="0" w:firstLine="420" w:firstLineChars="100"/>
    </w:pPr>
    <w:rPr>
      <w:kern w:val="2"/>
      <w:sz w:val="24"/>
      <w:lang w:val="en-US" w:eastAsia="zh-CN"/>
    </w:rPr>
  </w:style>
  <w:style w:type="paragraph" w:customStyle="1" w:styleId="31">
    <w:name w:val="样式 正文首行缩进 + 首行缩进:  2 字符1"/>
    <w:basedOn w:val="1"/>
    <w:next w:val="15"/>
    <w:qFormat/>
    <w:uiPriority w:val="0"/>
  </w:style>
  <w:style w:type="paragraph" w:styleId="32">
    <w:name w:val="Body Text First Indent 2"/>
    <w:basedOn w:val="16"/>
    <w:qFormat/>
    <w:uiPriority w:val="0"/>
    <w:pPr>
      <w:spacing w:before="0" w:after="120" w:line="240" w:lineRule="auto"/>
      <w:ind w:left="420" w:leftChars="200" w:firstLine="420"/>
    </w:pPr>
    <w:rPr>
      <w:rFonts w:eastAsia="宋体"/>
    </w:rPr>
  </w:style>
  <w:style w:type="table" w:styleId="34">
    <w:name w:val="Table Grid"/>
    <w:basedOn w:val="3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uiPriority w:val="0"/>
    <w:rPr>
      <w:b/>
    </w:rPr>
  </w:style>
  <w:style w:type="character" w:styleId="37">
    <w:name w:val="page number"/>
    <w:basedOn w:val="35"/>
    <w:qFormat/>
    <w:uiPriority w:val="0"/>
  </w:style>
  <w:style w:type="character" w:styleId="38">
    <w:name w:val="Hyperlink"/>
    <w:basedOn w:val="35"/>
    <w:qFormat/>
    <w:uiPriority w:val="0"/>
    <w:rPr>
      <w:color w:val="0000FF"/>
      <w:u w:val="single"/>
    </w:rPr>
  </w:style>
  <w:style w:type="character" w:styleId="39">
    <w:name w:val="annotation reference"/>
    <w:basedOn w:val="35"/>
    <w:qFormat/>
    <w:uiPriority w:val="0"/>
    <w:rPr>
      <w:sz w:val="21"/>
    </w:rPr>
  </w:style>
  <w:style w:type="character" w:customStyle="1" w:styleId="40">
    <w:name w:val="标题 2 Char"/>
    <w:basedOn w:val="35"/>
    <w:link w:val="5"/>
    <w:qFormat/>
    <w:uiPriority w:val="0"/>
    <w:rPr>
      <w:rFonts w:ascii="Arial" w:hAnsi="Arial" w:eastAsia="黑体"/>
      <w:b/>
      <w:kern w:val="2"/>
      <w:sz w:val="32"/>
      <w:lang w:val="en-US" w:eastAsia="zh-CN"/>
    </w:rPr>
  </w:style>
  <w:style w:type="character" w:customStyle="1" w:styleId="41">
    <w:name w:val="标题 3 Char"/>
    <w:basedOn w:val="35"/>
    <w:link w:val="6"/>
    <w:qFormat/>
    <w:uiPriority w:val="0"/>
    <w:rPr>
      <w:rFonts w:ascii="宋体" w:hAnsi="宋体"/>
      <w:snapToGrid w:val="0"/>
      <w:color w:val="993300"/>
      <w:spacing w:val="8"/>
      <w:kern w:val="2"/>
      <w:sz w:val="24"/>
    </w:rPr>
  </w:style>
  <w:style w:type="paragraph" w:styleId="42">
    <w:name w:val="Quote"/>
    <w:basedOn w:val="1"/>
    <w:next w:val="1"/>
    <w:qFormat/>
    <w:uiPriority w:val="0"/>
    <w:pPr>
      <w:widowControl/>
      <w:adjustRightInd/>
      <w:spacing w:after="200" w:line="252" w:lineRule="auto"/>
      <w:textAlignment w:val="auto"/>
    </w:pPr>
    <w:rPr>
      <w:rFonts w:ascii="Cambria" w:hAnsi="Cambria" w:eastAsia="华文中宋"/>
      <w:i/>
      <w:iCs/>
      <w:sz w:val="20"/>
    </w:rPr>
  </w:style>
  <w:style w:type="character" w:customStyle="1" w:styleId="43">
    <w:name w:val="标题 4 Char"/>
    <w:basedOn w:val="35"/>
    <w:link w:val="7"/>
    <w:qFormat/>
    <w:uiPriority w:val="0"/>
    <w:rPr>
      <w:rFonts w:ascii="Arial" w:hAnsi="Arial"/>
      <w:kern w:val="2"/>
      <w:sz w:val="24"/>
    </w:rPr>
  </w:style>
  <w:style w:type="character" w:customStyle="1" w:styleId="44">
    <w:name w:val="题注 Char"/>
    <w:basedOn w:val="35"/>
    <w:link w:val="10"/>
    <w:qFormat/>
    <w:uiPriority w:val="0"/>
    <w:rPr>
      <w:rFonts w:ascii="Arial" w:hAnsi="Arial" w:eastAsia="黑体"/>
      <w:kern w:val="2"/>
    </w:rPr>
  </w:style>
  <w:style w:type="character" w:customStyle="1" w:styleId="45">
    <w:name w:val="文档结构图 Char"/>
    <w:basedOn w:val="35"/>
    <w:link w:val="11"/>
    <w:qFormat/>
    <w:uiPriority w:val="0"/>
    <w:rPr>
      <w:rFonts w:ascii="宋体"/>
      <w:kern w:val="2"/>
      <w:sz w:val="18"/>
      <w:szCs w:val="18"/>
    </w:rPr>
  </w:style>
  <w:style w:type="character" w:customStyle="1" w:styleId="46">
    <w:name w:val="批注文字 Char"/>
    <w:link w:val="13"/>
    <w:qFormat/>
    <w:uiPriority w:val="0"/>
    <w:rPr>
      <w:rFonts w:ascii="Times New Roman" w:hAnsi="Times New Roman" w:eastAsia="宋体"/>
      <w:sz w:val="24"/>
    </w:rPr>
  </w:style>
  <w:style w:type="character" w:customStyle="1" w:styleId="47">
    <w:name w:val="正文文本 Char"/>
    <w:link w:val="14"/>
    <w:qFormat/>
    <w:uiPriority w:val="0"/>
    <w:rPr>
      <w:sz w:val="18"/>
    </w:rPr>
  </w:style>
  <w:style w:type="character" w:customStyle="1" w:styleId="48">
    <w:name w:val="日期 Char"/>
    <w:link w:val="19"/>
    <w:qFormat/>
    <w:uiPriority w:val="0"/>
    <w:rPr>
      <w:rFonts w:ascii="Times New Roman" w:hAnsi="Times New Roman" w:eastAsia="宋体"/>
      <w:sz w:val="24"/>
    </w:rPr>
  </w:style>
  <w:style w:type="character" w:customStyle="1" w:styleId="49">
    <w:name w:val="正文文本缩进 Char"/>
    <w:basedOn w:val="35"/>
    <w:link w:val="16"/>
    <w:semiHidden/>
    <w:qFormat/>
    <w:uiPriority w:val="0"/>
    <w:rPr>
      <w:rFonts w:ascii="Times New Roman" w:hAnsi="Times New Roman" w:eastAsia="宋体" w:cs="Times New Roman"/>
      <w:sz w:val="24"/>
      <w:szCs w:val="24"/>
    </w:rPr>
  </w:style>
  <w:style w:type="character" w:customStyle="1" w:styleId="50">
    <w:name w:val="批注框文本 Char"/>
    <w:basedOn w:val="35"/>
    <w:link w:val="21"/>
    <w:semiHidden/>
    <w:qFormat/>
    <w:uiPriority w:val="0"/>
    <w:rPr>
      <w:rFonts w:ascii="Times New Roman" w:hAnsi="Times New Roman" w:eastAsia="宋体" w:cs="Times New Roman"/>
      <w:sz w:val="18"/>
      <w:szCs w:val="18"/>
    </w:rPr>
  </w:style>
  <w:style w:type="character" w:customStyle="1" w:styleId="51">
    <w:name w:val="页脚 Char"/>
    <w:basedOn w:val="35"/>
    <w:link w:val="22"/>
    <w:qFormat/>
    <w:uiPriority w:val="99"/>
    <w:rPr>
      <w:rFonts w:cs="Times New Roman"/>
      <w:sz w:val="18"/>
      <w:szCs w:val="18"/>
    </w:rPr>
  </w:style>
  <w:style w:type="character" w:customStyle="1" w:styleId="52">
    <w:name w:val="页眉 Char"/>
    <w:basedOn w:val="35"/>
    <w:link w:val="23"/>
    <w:qFormat/>
    <w:uiPriority w:val="0"/>
    <w:rPr>
      <w:rFonts w:cs="Times New Roman"/>
      <w:sz w:val="18"/>
      <w:szCs w:val="18"/>
    </w:rPr>
  </w:style>
  <w:style w:type="character" w:customStyle="1" w:styleId="53">
    <w:name w:val="普通(网站) Char1"/>
    <w:link w:val="28"/>
    <w:qFormat/>
    <w:uiPriority w:val="0"/>
    <w:rPr>
      <w:rFonts w:ascii="宋体" w:hAnsi="宋体" w:eastAsia="宋体"/>
      <w:sz w:val="24"/>
    </w:rPr>
  </w:style>
  <w:style w:type="character" w:customStyle="1" w:styleId="54">
    <w:name w:val="批注主题 Char"/>
    <w:basedOn w:val="46"/>
    <w:link w:val="29"/>
    <w:semiHidden/>
    <w:qFormat/>
    <w:uiPriority w:val="0"/>
    <w:rPr>
      <w:rFonts w:cs="Times New Roman"/>
      <w:b/>
      <w:bCs/>
      <w:kern w:val="2"/>
      <w:szCs w:val="24"/>
    </w:rPr>
  </w:style>
  <w:style w:type="character" w:customStyle="1" w:styleId="55">
    <w:name w:val="正文首行缩进 Char"/>
    <w:basedOn w:val="47"/>
    <w:link w:val="30"/>
    <w:qFormat/>
    <w:uiPriority w:val="0"/>
    <w:rPr>
      <w:kern w:val="2"/>
      <w:sz w:val="24"/>
    </w:rPr>
  </w:style>
  <w:style w:type="paragraph" w:customStyle="1" w:styleId="56">
    <w:name w:val="Normal (Web)1"/>
    <w:basedOn w:val="1"/>
    <w:next w:val="57"/>
    <w:qFormat/>
    <w:uiPriority w:val="0"/>
    <w:pPr>
      <w:widowControl/>
      <w:jc w:val="left"/>
    </w:pPr>
    <w:rPr>
      <w:rFonts w:ascii="宋体" w:cs="Times New Roman"/>
      <w:kern w:val="0"/>
      <w:sz w:val="24"/>
      <w:szCs w:val="21"/>
    </w:rPr>
  </w:style>
  <w:style w:type="paragraph" w:customStyle="1" w:styleId="57">
    <w:name w:val="Date1"/>
    <w:basedOn w:val="1"/>
    <w:next w:val="1"/>
    <w:qFormat/>
    <w:uiPriority w:val="0"/>
    <w:pPr>
      <w:ind w:left="2500" w:leftChars="2500"/>
    </w:pPr>
  </w:style>
  <w:style w:type="character" w:customStyle="1" w:styleId="58">
    <w:name w:val="标题 4 字符"/>
    <w:link w:val="7"/>
    <w:qFormat/>
    <w:uiPriority w:val="0"/>
    <w:rPr>
      <w:rFonts w:eastAsia="黑体"/>
      <w:bCs/>
      <w:sz w:val="28"/>
      <w:szCs w:val="28"/>
    </w:rPr>
  </w:style>
  <w:style w:type="character" w:customStyle="1" w:styleId="59">
    <w:name w:val="普通(网站) Char"/>
    <w:qFormat/>
    <w:uiPriority w:val="0"/>
    <w:rPr>
      <w:rFonts w:ascii="宋体" w:hAnsi="宋体" w:eastAsia="宋体"/>
      <w:sz w:val="24"/>
    </w:rPr>
  </w:style>
  <w:style w:type="character" w:customStyle="1" w:styleId="60">
    <w:name w:val="表格 Char"/>
    <w:link w:val="61"/>
    <w:qFormat/>
    <w:uiPriority w:val="0"/>
    <w:rPr>
      <w:rFonts w:ascii="宋体"/>
      <w:sz w:val="21"/>
    </w:rPr>
  </w:style>
  <w:style w:type="paragraph" w:customStyle="1" w:styleId="61">
    <w:name w:val="表格"/>
    <w:basedOn w:val="24"/>
    <w:next w:val="1"/>
    <w:link w:val="60"/>
    <w:qFormat/>
    <w:uiPriority w:val="0"/>
    <w:pPr>
      <w:adjustRightInd w:val="0"/>
      <w:snapToGrid w:val="0"/>
      <w:spacing w:beforeLines="10" w:afterLines="10" w:line="259" w:lineRule="auto"/>
      <w:jc w:val="center"/>
    </w:pPr>
    <w:rPr>
      <w:rFonts w:ascii="宋体"/>
      <w:kern w:val="0"/>
      <w:sz w:val="21"/>
    </w:rPr>
  </w:style>
  <w:style w:type="character" w:customStyle="1" w:styleId="62">
    <w:name w:val="封皮 Char"/>
    <w:basedOn w:val="35"/>
    <w:link w:val="63"/>
    <w:qFormat/>
    <w:uiPriority w:val="0"/>
    <w:rPr>
      <w:rFonts w:eastAsia="黑体"/>
      <w:kern w:val="2"/>
      <w:sz w:val="72"/>
      <w:szCs w:val="72"/>
    </w:rPr>
  </w:style>
  <w:style w:type="paragraph" w:customStyle="1" w:styleId="63">
    <w:name w:val="封皮"/>
    <w:basedOn w:val="1"/>
    <w:link w:val="62"/>
    <w:qFormat/>
    <w:uiPriority w:val="0"/>
    <w:pPr>
      <w:ind w:firstLine="0" w:firstLineChars="0"/>
      <w:jc w:val="center"/>
    </w:pPr>
    <w:rPr>
      <w:rFonts w:eastAsia="黑体"/>
      <w:sz w:val="72"/>
      <w:szCs w:val="72"/>
    </w:rPr>
  </w:style>
  <w:style w:type="character" w:customStyle="1" w:styleId="64">
    <w:name w:val="标题 3 Char2"/>
    <w:basedOn w:val="35"/>
    <w:qFormat/>
    <w:uiPriority w:val="0"/>
    <w:rPr>
      <w:rFonts w:ascii="宋体" w:hAnsi="宋体" w:eastAsia="宋体"/>
      <w:snapToGrid w:val="0"/>
      <w:color w:val="993300"/>
      <w:spacing w:val="8"/>
      <w:kern w:val="2"/>
      <w:sz w:val="24"/>
      <w:lang w:val="en-US" w:eastAsia="zh-CN" w:bidi="ar-SA"/>
    </w:rPr>
  </w:style>
  <w:style w:type="character" w:customStyle="1" w:styleId="65">
    <w:name w:val="表头1 Char"/>
    <w:basedOn w:val="35"/>
    <w:link w:val="66"/>
    <w:qFormat/>
    <w:uiPriority w:val="0"/>
    <w:rPr>
      <w:rFonts w:eastAsia="黑体"/>
      <w:kern w:val="2"/>
      <w:sz w:val="24"/>
    </w:rPr>
  </w:style>
  <w:style w:type="paragraph" w:customStyle="1" w:styleId="66">
    <w:name w:val="表头1"/>
    <w:basedOn w:val="1"/>
    <w:link w:val="65"/>
    <w:qFormat/>
    <w:uiPriority w:val="0"/>
    <w:pPr>
      <w:adjustRightInd w:val="0"/>
      <w:snapToGrid w:val="0"/>
      <w:spacing w:line="240" w:lineRule="auto"/>
      <w:ind w:firstLine="0" w:firstLineChars="0"/>
      <w:jc w:val="center"/>
    </w:pPr>
    <w:rPr>
      <w:rFonts w:eastAsia="黑体"/>
    </w:rPr>
  </w:style>
  <w:style w:type="character" w:customStyle="1" w:styleId="67">
    <w:name w:val="表中文字 Char"/>
    <w:link w:val="68"/>
    <w:qFormat/>
    <w:uiPriority w:val="0"/>
    <w:rPr>
      <w:sz w:val="21"/>
    </w:rPr>
  </w:style>
  <w:style w:type="paragraph" w:customStyle="1" w:styleId="68">
    <w:name w:val="表中文字"/>
    <w:basedOn w:val="1"/>
    <w:link w:val="67"/>
    <w:qFormat/>
    <w:uiPriority w:val="0"/>
    <w:pPr>
      <w:adjustRightInd w:val="0"/>
      <w:snapToGrid w:val="0"/>
      <w:spacing w:line="240" w:lineRule="auto"/>
      <w:ind w:firstLine="0" w:firstLineChars="0"/>
      <w:jc w:val="center"/>
    </w:pPr>
    <w:rPr>
      <w:kern w:val="0"/>
      <w:sz w:val="21"/>
    </w:rPr>
  </w:style>
  <w:style w:type="character" w:customStyle="1" w:styleId="69">
    <w:name w:val="正文文本 字符1"/>
    <w:basedOn w:val="35"/>
    <w:semiHidden/>
    <w:qFormat/>
    <w:uiPriority w:val="0"/>
    <w:rPr>
      <w:rFonts w:ascii="Times New Roman" w:hAnsi="Times New Roman" w:eastAsia="宋体" w:cs="Times New Roman"/>
      <w:sz w:val="24"/>
      <w:szCs w:val="24"/>
    </w:rPr>
  </w:style>
  <w:style w:type="character" w:customStyle="1" w:styleId="70">
    <w:name w:val="批注文字 字符1"/>
    <w:basedOn w:val="35"/>
    <w:semiHidden/>
    <w:qFormat/>
    <w:uiPriority w:val="0"/>
    <w:rPr>
      <w:rFonts w:ascii="Times New Roman" w:hAnsi="Times New Roman" w:eastAsia="宋体" w:cs="Times New Roman"/>
      <w:sz w:val="24"/>
      <w:szCs w:val="24"/>
    </w:rPr>
  </w:style>
  <w:style w:type="character" w:customStyle="1" w:styleId="71">
    <w:name w:val="日期 字符"/>
    <w:basedOn w:val="35"/>
    <w:semiHidden/>
    <w:qFormat/>
    <w:uiPriority w:val="0"/>
    <w:rPr>
      <w:rFonts w:ascii="Times New Roman" w:hAnsi="Times New Roman" w:eastAsia="宋体" w:cs="Times New Roman"/>
      <w:sz w:val="24"/>
      <w:szCs w:val="24"/>
    </w:rPr>
  </w:style>
  <w:style w:type="character" w:customStyle="1" w:styleId="72">
    <w:name w:val="表中字 Char"/>
    <w:basedOn w:val="35"/>
    <w:link w:val="73"/>
    <w:qFormat/>
    <w:uiPriority w:val="0"/>
    <w:rPr>
      <w:kern w:val="2"/>
      <w:sz w:val="21"/>
      <w:szCs w:val="22"/>
      <w:lang w:val="zh-CN" w:eastAsia="zh-CN" w:bidi="ar-SA"/>
    </w:rPr>
  </w:style>
  <w:style w:type="paragraph" w:customStyle="1" w:styleId="73">
    <w:name w:val="表中字"/>
    <w:link w:val="72"/>
    <w:qFormat/>
    <w:uiPriority w:val="0"/>
    <w:pPr>
      <w:jc w:val="center"/>
    </w:pPr>
    <w:rPr>
      <w:rFonts w:ascii="Times New Roman" w:hAnsi="Times New Roman" w:eastAsia="宋体" w:cs="Times New Roman"/>
      <w:kern w:val="2"/>
      <w:sz w:val="21"/>
      <w:szCs w:val="22"/>
      <w:lang w:val="zh-CN" w:eastAsia="zh-CN" w:bidi="ar-SA"/>
    </w:rPr>
  </w:style>
  <w:style w:type="paragraph" w:customStyle="1" w:styleId="74">
    <w:name w:val="-报告正文"/>
    <w:basedOn w:val="1"/>
    <w:qFormat/>
    <w:uiPriority w:val="0"/>
    <w:pPr>
      <w:keepNext w:val="0"/>
      <w:keepLines w:val="0"/>
      <w:widowControl w:val="0"/>
      <w:suppressLineNumbers w:val="0"/>
      <w:adjustRightInd w:val="0"/>
      <w:spacing w:before="0" w:beforeAutospacing="0" w:after="0" w:afterAutospacing="0" w:line="360" w:lineRule="auto"/>
      <w:ind w:left="0" w:right="0" w:firstLine="480" w:firstLineChars="200"/>
      <w:jc w:val="both"/>
    </w:pPr>
    <w:rPr>
      <w:rFonts w:ascii="Times New Roman" w:hAnsi="Times New Roman"/>
      <w:szCs w:val="28"/>
    </w:rPr>
  </w:style>
  <w:style w:type="paragraph" w:customStyle="1" w:styleId="75">
    <w:name w:val="表格内容"/>
    <w:basedOn w:val="76"/>
    <w:next w:val="1"/>
    <w:qFormat/>
    <w:uiPriority w:val="0"/>
    <w:pPr>
      <w:adjustRightInd/>
      <w:snapToGrid/>
      <w:ind w:firstLine="0" w:firstLineChars="0"/>
      <w:outlineLvl w:val="0"/>
    </w:pPr>
    <w:rPr>
      <w:rFonts w:ascii="黑体" w:hAnsi="宋体"/>
      <w:w w:val="90"/>
      <w:kern w:val="0"/>
      <w:szCs w:val="20"/>
    </w:rPr>
  </w:style>
  <w:style w:type="paragraph" w:customStyle="1" w:styleId="76">
    <w:name w:val="封皮-证书编号"/>
    <w:basedOn w:val="1"/>
    <w:qFormat/>
    <w:uiPriority w:val="0"/>
    <w:pPr>
      <w:jc w:val="center"/>
    </w:pPr>
    <w:rPr>
      <w:rFonts w:eastAsia="黑体"/>
      <w:sz w:val="28"/>
    </w:rPr>
  </w:style>
  <w:style w:type="paragraph" w:customStyle="1" w:styleId="77">
    <w:name w:val="Table Paragraph"/>
    <w:basedOn w:val="1"/>
    <w:qFormat/>
    <w:uiPriority w:val="0"/>
    <w:pPr>
      <w:keepNext w:val="0"/>
      <w:keepLines w:val="0"/>
      <w:widowControl w:val="0"/>
      <w:suppressLineNumbers w:val="0"/>
      <w:autoSpaceDE w:val="0"/>
      <w:autoSpaceDN w:val="0"/>
      <w:spacing w:before="0" w:beforeAutospacing="0" w:after="0" w:afterAutospacing="0" w:line="240" w:lineRule="auto"/>
      <w:ind w:left="0" w:right="0"/>
      <w:jc w:val="center"/>
    </w:pPr>
    <w:rPr>
      <w:rFonts w:hint="eastAsia" w:ascii="仿宋" w:hAnsi="仿宋" w:eastAsia="仿宋" w:cs="仿宋"/>
      <w:kern w:val="0"/>
      <w:sz w:val="22"/>
      <w:szCs w:val="22"/>
      <w:lang w:val="en-US" w:eastAsia="zh-CN" w:bidi="ar"/>
    </w:rPr>
  </w:style>
  <w:style w:type="paragraph" w:customStyle="1" w:styleId="78">
    <w:name w:val="表文"/>
    <w:basedOn w:val="14"/>
    <w:next w:val="9"/>
    <w:qFormat/>
    <w:uiPriority w:val="0"/>
    <w:pPr>
      <w:spacing w:after="0" w:afterLines="0" w:line="360" w:lineRule="auto"/>
      <w:jc w:val="center"/>
    </w:pPr>
    <w:rPr>
      <w:rFonts w:eastAsia="仿宋_GB2312"/>
      <w:sz w:val="24"/>
    </w:rPr>
  </w:style>
  <w:style w:type="paragraph" w:customStyle="1" w:styleId="79">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80">
    <w:name w:val="11111"/>
    <w:basedOn w:val="1"/>
    <w:next w:val="1"/>
    <w:qFormat/>
    <w:uiPriority w:val="0"/>
    <w:pPr>
      <w:spacing w:line="360" w:lineRule="auto"/>
      <w:ind w:firstLine="200" w:firstLineChars="200"/>
    </w:pPr>
    <w:rPr>
      <w:rFonts w:ascii="Times New Roman" w:cs="宋体"/>
      <w:sz w:val="21"/>
      <w:szCs w:val="24"/>
    </w:rPr>
  </w:style>
  <w:style w:type="paragraph" w:customStyle="1" w:styleId="81">
    <w:name w:val="【表头】"/>
    <w:basedOn w:val="1"/>
    <w:semiHidden/>
    <w:qFormat/>
    <w:uiPriority w:val="0"/>
    <w:pPr>
      <w:spacing w:line="460" w:lineRule="exact"/>
      <w:jc w:val="center"/>
    </w:pPr>
    <w:rPr>
      <w:rFonts w:eastAsia="黑体"/>
      <w:kern w:val="0"/>
    </w:rPr>
  </w:style>
  <w:style w:type="paragraph" w:customStyle="1" w:styleId="82">
    <w:name w:val="表头"/>
    <w:basedOn w:val="83"/>
    <w:next w:val="18"/>
    <w:qFormat/>
    <w:uiPriority w:val="0"/>
    <w:pPr>
      <w:spacing w:line="360" w:lineRule="auto"/>
      <w:jc w:val="center"/>
    </w:pPr>
    <w:rPr>
      <w:rFonts w:ascii="黑体" w:hAnsi="Arial" w:eastAsia="黑体"/>
      <w:kern w:val="0"/>
      <w:sz w:val="24"/>
      <w:szCs w:val="20"/>
    </w:rPr>
  </w:style>
  <w:style w:type="paragraph" w:customStyle="1" w:styleId="83">
    <w:name w:val="表后"/>
    <w:qFormat/>
    <w:uiPriority w:val="0"/>
    <w:pPr>
      <w:jc w:val="center"/>
    </w:pPr>
    <w:rPr>
      <w:rFonts w:ascii="黑体" w:hAnsi="黑体" w:eastAsia="黑体" w:cs="Times New Roman"/>
      <w:bCs/>
      <w:kern w:val="2"/>
      <w:sz w:val="24"/>
      <w:szCs w:val="24"/>
      <w:lang w:val="en-US" w:eastAsia="zh-CN" w:bidi="ar-SA"/>
    </w:rPr>
  </w:style>
  <w:style w:type="paragraph" w:customStyle="1" w:styleId="84">
    <w:name w:val="正文00"/>
    <w:basedOn w:val="1"/>
    <w:next w:val="85"/>
    <w:qFormat/>
    <w:uiPriority w:val="0"/>
    <w:pPr>
      <w:spacing w:line="360" w:lineRule="auto"/>
      <w:ind w:firstLine="480" w:firstLineChars="200"/>
      <w:jc w:val="left"/>
    </w:pPr>
    <w:rPr>
      <w:rFonts w:ascii="Times New Roman" w:cs="宋体"/>
      <w:kern w:val="2"/>
      <w:szCs w:val="24"/>
    </w:rPr>
  </w:style>
  <w:style w:type="paragraph" w:customStyle="1" w:styleId="85">
    <w:name w:val="样式 Times New Roman 五号 居中1"/>
    <w:basedOn w:val="1"/>
    <w:next w:val="82"/>
    <w:qFormat/>
    <w:uiPriority w:val="0"/>
    <w:pPr>
      <w:jc w:val="center"/>
    </w:pPr>
    <w:rPr>
      <w:rFonts w:ascii="Times New Roman" w:cs="宋体"/>
      <w:kern w:val="2"/>
      <w:sz w:val="21"/>
    </w:rPr>
  </w:style>
  <w:style w:type="paragraph" w:customStyle="1" w:styleId="86">
    <w:name w:val="_Style 85"/>
    <w:basedOn w:val="4"/>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87">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88">
    <w:name w:val="ZC标题2"/>
    <w:basedOn w:val="1"/>
    <w:next w:val="1"/>
    <w:qFormat/>
    <w:uiPriority w:val="0"/>
    <w:pPr>
      <w:adjustRightInd w:val="0"/>
      <w:snapToGrid w:val="0"/>
      <w:jc w:val="left"/>
      <w:outlineLvl w:val="1"/>
    </w:pPr>
    <w:rPr>
      <w:rFonts w:eastAsia="黑体"/>
      <w:kern w:val="0"/>
      <w:sz w:val="24"/>
      <w:szCs w:val="20"/>
    </w:rPr>
  </w:style>
  <w:style w:type="paragraph" w:customStyle="1" w:styleId="89">
    <w:name w:val="WPSOffice手动目录 1"/>
    <w:qFormat/>
    <w:uiPriority w:val="0"/>
    <w:pPr>
      <w:ind w:leftChars="0"/>
    </w:pPr>
    <w:rPr>
      <w:rFonts w:ascii="Times New Roman" w:hAnsi="Times New Roman" w:eastAsia="宋体" w:cs="Times New Roman"/>
      <w:sz w:val="20"/>
      <w:szCs w:val="20"/>
    </w:rPr>
  </w:style>
  <w:style w:type="paragraph" w:customStyle="1" w:styleId="90">
    <w:name w:val="标题1.1.1.1"/>
    <w:basedOn w:val="1"/>
    <w:qFormat/>
    <w:uiPriority w:val="99"/>
    <w:pPr>
      <w:numPr>
        <w:ilvl w:val="3"/>
        <w:numId w:val="1"/>
      </w:numPr>
      <w:ind w:firstLineChars="0"/>
      <w:jc w:val="left"/>
      <w:outlineLvl w:val="3"/>
    </w:pPr>
    <w:rPr>
      <w:rFonts w:ascii="黑体" w:hAnsi="黑体" w:eastAsia="黑体"/>
      <w:color w:val="000000"/>
      <w:sz w:val="32"/>
      <w:szCs w:val="21"/>
    </w:rPr>
  </w:style>
  <w:style w:type="paragraph" w:customStyle="1" w:styleId="9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2">
    <w:name w:val="Char Char Char Char Char Char Char2"/>
    <w:basedOn w:val="1"/>
    <w:qFormat/>
    <w:uiPriority w:val="0"/>
    <w:pPr>
      <w:snapToGrid w:val="0"/>
      <w:spacing w:line="360" w:lineRule="auto"/>
      <w:ind w:firstLine="529" w:firstLineChars="200"/>
    </w:pPr>
    <w:rPr>
      <w:rFonts w:ascii="Times New Roman" w:hAnsi="Times New Roman" w:eastAsia="宋体" w:cs="Times New Roman"/>
      <w:szCs w:val="24"/>
    </w:rPr>
  </w:style>
  <w:style w:type="paragraph" w:customStyle="1" w:styleId="93">
    <w:name w:val="正文格式"/>
    <w:basedOn w:val="1"/>
    <w:qFormat/>
    <w:uiPriority w:val="0"/>
    <w:pPr>
      <w:spacing w:line="360" w:lineRule="auto"/>
      <w:ind w:firstLine="482"/>
    </w:pPr>
    <w:rPr>
      <w:sz w:val="24"/>
      <w:szCs w:val="24"/>
    </w:rPr>
  </w:style>
  <w:style w:type="paragraph" w:customStyle="1" w:styleId="94">
    <w:name w:val="C【表中文字】-"/>
    <w:basedOn w:val="1"/>
    <w:qFormat/>
    <w:uiPriority w:val="0"/>
    <w:pPr>
      <w:adjustRightInd w:val="0"/>
      <w:snapToGrid w:val="0"/>
      <w:jc w:val="center"/>
    </w:pPr>
    <w:rPr>
      <w:kern w:val="0"/>
      <w:szCs w:val="20"/>
    </w:rPr>
  </w:style>
  <w:style w:type="paragraph" w:customStyle="1" w:styleId="95">
    <w:name w:val="表格内"/>
    <w:basedOn w:val="83"/>
    <w:qFormat/>
    <w:uiPriority w:val="0"/>
    <w:rPr>
      <w:rFonts w:ascii="Times New Roman" w:hAnsi="Times New Roman" w:eastAsia="宋体"/>
      <w:sz w:val="21"/>
    </w:rPr>
  </w:style>
  <w:style w:type="paragraph" w:customStyle="1" w:styleId="96">
    <w:name w:val="列出段落1"/>
    <w:basedOn w:val="1"/>
    <w:qFormat/>
    <w:uiPriority w:val="99"/>
    <w:pPr>
      <w:adjustRightInd/>
      <w:snapToGrid/>
      <w:spacing w:line="240" w:lineRule="auto"/>
      <w:ind w:firstLine="420"/>
    </w:pPr>
    <w:rPr>
      <w:sz w:val="21"/>
    </w:rPr>
  </w:style>
  <w:style w:type="paragraph" w:customStyle="1" w:styleId="97">
    <w:name w:val="【正文】"/>
    <w:basedOn w:val="1"/>
    <w:next w:val="27"/>
    <w:qFormat/>
    <w:uiPriority w:val="0"/>
    <w:pPr>
      <w:adjustRightInd/>
      <w:snapToGrid/>
      <w:spacing w:line="500" w:lineRule="exact"/>
    </w:pPr>
    <w:rPr>
      <w:rFonts w:ascii="Times New Roman" w:hAnsi="Times New Roman"/>
    </w:rPr>
  </w:style>
  <w:style w:type="paragraph" w:customStyle="1" w:styleId="98">
    <w:name w:val="C首行缩进正文"/>
    <w:basedOn w:val="1"/>
    <w:qFormat/>
    <w:uiPriority w:val="0"/>
    <w:pPr>
      <w:spacing w:line="360" w:lineRule="auto"/>
      <w:ind w:firstLine="200" w:firstLineChars="200"/>
    </w:pPr>
    <w:rPr>
      <w:rFonts w:cs="宋体"/>
      <w:color w:val="000000"/>
      <w:kern w:val="0"/>
      <w:sz w:val="24"/>
    </w:rPr>
  </w:style>
  <w:style w:type="table" w:customStyle="1" w:styleId="99">
    <w:name w:val="样式1"/>
    <w:basedOn w:val="33"/>
    <w:qFormat/>
    <w:uiPriority w:val="0"/>
    <w:pPr>
      <w:jc w:val="center"/>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100">
    <w:name w:val="font11"/>
    <w:basedOn w:val="35"/>
    <w:qFormat/>
    <w:uiPriority w:val="0"/>
    <w:rPr>
      <w:rFonts w:ascii="宋体" w:hAnsi="宋体" w:eastAsia="宋体" w:cs="宋体"/>
      <w:b/>
      <w:bCs/>
      <w:color w:val="000000"/>
      <w:sz w:val="36"/>
      <w:szCs w:val="36"/>
      <w:u w:val="none"/>
    </w:rPr>
  </w:style>
  <w:style w:type="character" w:customStyle="1" w:styleId="101">
    <w:name w:val="font21"/>
    <w:basedOn w:val="35"/>
    <w:qFormat/>
    <w:uiPriority w:val="0"/>
    <w:rPr>
      <w:rFonts w:ascii="宋体" w:hAnsi="宋体" w:eastAsia="宋体" w:cs="宋体"/>
      <w:color w:val="000000"/>
      <w:sz w:val="36"/>
      <w:szCs w:val="36"/>
      <w:u w:val="none"/>
    </w:rPr>
  </w:style>
  <w:style w:type="paragraph" w:styleId="102">
    <w:name w:val="List Paragraph"/>
    <w:basedOn w:val="1"/>
    <w:qFormat/>
    <w:uiPriority w:val="34"/>
    <w:pPr>
      <w:ind w:firstLine="420" w:firstLineChars="200"/>
    </w:pPr>
  </w:style>
  <w:style w:type="paragraph" w:customStyle="1" w:styleId="103">
    <w:name w:val="表1"/>
    <w:next w:val="1"/>
    <w:qFormat/>
    <w:uiPriority w:val="0"/>
    <w:pPr>
      <w:adjustRightInd w:val="0"/>
      <w:snapToGrid w:val="0"/>
      <w:jc w:val="center"/>
    </w:pPr>
    <w:rPr>
      <w:rFonts w:ascii="Times New Roman" w:hAnsi="Times New Roman" w:eastAsia="Times New Roman" w:cs="Times New Roman"/>
      <w:lang w:val="en-US" w:eastAsia="zh-CN" w:bidi="ar-SA"/>
    </w:rPr>
  </w:style>
  <w:style w:type="paragraph" w:customStyle="1" w:styleId="104">
    <w:name w:val=".表1-1-1内容"/>
    <w:basedOn w:val="1"/>
    <w:qFormat/>
    <w:uiPriority w:val="0"/>
    <w:pPr>
      <w:adjustRightInd w:val="0"/>
      <w:snapToGrid w:val="0"/>
      <w:jc w:val="center"/>
    </w:pPr>
    <w:rPr>
      <w:kern w:val="0"/>
      <w:szCs w:val="21"/>
    </w:rPr>
  </w:style>
  <w:style w:type="character" w:customStyle="1" w:styleId="105">
    <w:name w:val="font31"/>
    <w:basedOn w:val="35"/>
    <w:qFormat/>
    <w:uiPriority w:val="0"/>
    <w:rPr>
      <w:rFonts w:ascii="宋体" w:hAnsi="宋体" w:eastAsia="宋体" w:cs="宋体"/>
      <w:color w:val="000000"/>
      <w:sz w:val="22"/>
      <w:szCs w:val="22"/>
      <w:u w:val="none"/>
    </w:rPr>
  </w:style>
  <w:style w:type="character" w:customStyle="1" w:styleId="106">
    <w:name w:val="font41"/>
    <w:basedOn w:val="35"/>
    <w:qFormat/>
    <w:uiPriority w:val="0"/>
    <w:rPr>
      <w:rFonts w:ascii="宋体" w:hAnsi="宋体" w:eastAsia="宋体" w:cs="宋体"/>
      <w:b/>
      <w:bCs/>
      <w:color w:val="000000"/>
      <w:sz w:val="22"/>
      <w:szCs w:val="22"/>
      <w:u w:val="none"/>
    </w:rPr>
  </w:style>
  <w:style w:type="table" w:customStyle="1" w:styleId="107">
    <w:name w:val="网格型1"/>
    <w:basedOn w:val="3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8">
    <w:name w:val="Z正文"/>
    <w:qFormat/>
    <w:uiPriority w:val="0"/>
    <w:pPr>
      <w:spacing w:line="360" w:lineRule="auto"/>
      <w:ind w:firstLine="480" w:firstLineChars="200"/>
      <w:jc w:val="both"/>
    </w:pPr>
    <w:rPr>
      <w:rFonts w:ascii="宋体" w:hAnsi="宋体" w:eastAsia="宋体" w:cs="Times New Roman"/>
      <w:color w:val="FF0000"/>
      <w:kern w:val="2"/>
      <w:sz w:val="24"/>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0.jpeg"/><Relationship Id="rId98" Type="http://schemas.openxmlformats.org/officeDocument/2006/relationships/image" Target="media/image69.jpeg"/><Relationship Id="rId97" Type="http://schemas.openxmlformats.org/officeDocument/2006/relationships/image" Target="media/image68.png"/><Relationship Id="rId96" Type="http://schemas.openxmlformats.org/officeDocument/2006/relationships/image" Target="media/image67.png"/><Relationship Id="rId95" Type="http://schemas.openxmlformats.org/officeDocument/2006/relationships/image" Target="media/image66.png"/><Relationship Id="rId94" Type="http://schemas.openxmlformats.org/officeDocument/2006/relationships/image" Target="media/image65.emf"/><Relationship Id="rId93" Type="http://schemas.openxmlformats.org/officeDocument/2006/relationships/oleObject" Target="embeddings/oleObject9.bin"/><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emf"/><Relationship Id="rId9" Type="http://schemas.openxmlformats.org/officeDocument/2006/relationships/footer" Target="footer2.xml"/><Relationship Id="rId89" Type="http://schemas.openxmlformats.org/officeDocument/2006/relationships/oleObject" Target="embeddings/oleObject8.bin"/><Relationship Id="rId88" Type="http://schemas.openxmlformats.org/officeDocument/2006/relationships/image" Target="media/image61.png"/><Relationship Id="rId87" Type="http://schemas.openxmlformats.org/officeDocument/2006/relationships/image" Target="media/image60.emf"/><Relationship Id="rId86" Type="http://schemas.openxmlformats.org/officeDocument/2006/relationships/oleObject" Target="embeddings/oleObject7.bin"/><Relationship Id="rId85" Type="http://schemas.openxmlformats.org/officeDocument/2006/relationships/image" Target="media/image59.jpeg"/><Relationship Id="rId84" Type="http://schemas.openxmlformats.org/officeDocument/2006/relationships/image" Target="media/image58.jpeg"/><Relationship Id="rId83" Type="http://schemas.openxmlformats.org/officeDocument/2006/relationships/image" Target="media/image57.jpeg"/><Relationship Id="rId82" Type="http://schemas.openxmlformats.org/officeDocument/2006/relationships/image" Target="media/image56.jpeg"/><Relationship Id="rId81" Type="http://schemas.openxmlformats.org/officeDocument/2006/relationships/image" Target="media/image55.jpeg"/><Relationship Id="rId80" Type="http://schemas.openxmlformats.org/officeDocument/2006/relationships/image" Target="media/image54.jpeg"/><Relationship Id="rId8" Type="http://schemas.openxmlformats.org/officeDocument/2006/relationships/footer" Target="footer1.xml"/><Relationship Id="rId79" Type="http://schemas.openxmlformats.org/officeDocument/2006/relationships/image" Target="media/image53.jpeg"/><Relationship Id="rId78" Type="http://schemas.openxmlformats.org/officeDocument/2006/relationships/image" Target="media/image52.jpeg"/><Relationship Id="rId77" Type="http://schemas.openxmlformats.org/officeDocument/2006/relationships/image" Target="media/image51.jpeg"/><Relationship Id="rId76" Type="http://schemas.openxmlformats.org/officeDocument/2006/relationships/image" Target="media/image50.jpeg"/><Relationship Id="rId75" Type="http://schemas.openxmlformats.org/officeDocument/2006/relationships/image" Target="media/image49.jpeg"/><Relationship Id="rId74" Type="http://schemas.openxmlformats.org/officeDocument/2006/relationships/image" Target="media/image48.jpeg"/><Relationship Id="rId73" Type="http://schemas.openxmlformats.org/officeDocument/2006/relationships/image" Target="media/image47.jpeg"/><Relationship Id="rId72" Type="http://schemas.openxmlformats.org/officeDocument/2006/relationships/image" Target="media/image46.jpeg"/><Relationship Id="rId71" Type="http://schemas.openxmlformats.org/officeDocument/2006/relationships/image" Target="media/image45.jpeg"/><Relationship Id="rId70" Type="http://schemas.openxmlformats.org/officeDocument/2006/relationships/image" Target="media/image44.jpeg"/><Relationship Id="rId7" Type="http://schemas.openxmlformats.org/officeDocument/2006/relationships/header" Target="header3.xml"/><Relationship Id="rId69" Type="http://schemas.openxmlformats.org/officeDocument/2006/relationships/image" Target="media/image43.jpeg"/><Relationship Id="rId68" Type="http://schemas.openxmlformats.org/officeDocument/2006/relationships/image" Target="media/image42.jpe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png"/><Relationship Id="rId6" Type="http://schemas.openxmlformats.org/officeDocument/2006/relationships/header" Target="header2.xml"/><Relationship Id="rId59" Type="http://schemas.openxmlformats.org/officeDocument/2006/relationships/image" Target="media/image33.jpe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oleObject" Target="embeddings/oleObject6.bin"/><Relationship Id="rId52" Type="http://schemas.openxmlformats.org/officeDocument/2006/relationships/image" Target="media/image27.emf"/><Relationship Id="rId51" Type="http://schemas.openxmlformats.org/officeDocument/2006/relationships/oleObject" Target="embeddings/oleObject5.bin"/><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emf"/><Relationship Id="rId48" Type="http://schemas.openxmlformats.org/officeDocument/2006/relationships/oleObject" Target="embeddings/oleObject4.bin"/><Relationship Id="rId47" Type="http://schemas.openxmlformats.org/officeDocument/2006/relationships/image" Target="media/image24.emf"/><Relationship Id="rId46" Type="http://schemas.openxmlformats.org/officeDocument/2006/relationships/oleObject" Target="embeddings/oleObject3.bin"/><Relationship Id="rId45" Type="http://schemas.openxmlformats.org/officeDocument/2006/relationships/image" Target="media/image23.jpeg"/><Relationship Id="rId44" Type="http://schemas.openxmlformats.org/officeDocument/2006/relationships/image" Target="media/image22.png"/><Relationship Id="rId43" Type="http://schemas.openxmlformats.org/officeDocument/2006/relationships/image" Target="media/image21.emf"/><Relationship Id="rId42" Type="http://schemas.openxmlformats.org/officeDocument/2006/relationships/oleObject" Target="embeddings/oleObject2.bin"/><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emf"/><Relationship Id="rId26" Type="http://schemas.openxmlformats.org/officeDocument/2006/relationships/oleObject" Target="embeddings/oleObject1.bin"/><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5" Type="http://schemas.openxmlformats.org/officeDocument/2006/relationships/fontTable" Target="fontTable.xml"/><Relationship Id="rId194" Type="http://schemas.openxmlformats.org/officeDocument/2006/relationships/numbering" Target="numbering.xml"/><Relationship Id="rId193" Type="http://schemas.openxmlformats.org/officeDocument/2006/relationships/customXml" Target="../customXml/item1.xml"/><Relationship Id="rId192" Type="http://schemas.openxmlformats.org/officeDocument/2006/relationships/image" Target="media/image122.png"/><Relationship Id="rId191" Type="http://schemas.openxmlformats.org/officeDocument/2006/relationships/image" Target="media/image121.png"/><Relationship Id="rId190" Type="http://schemas.openxmlformats.org/officeDocument/2006/relationships/image" Target="media/image120.png"/><Relationship Id="rId19" Type="http://schemas.openxmlformats.org/officeDocument/2006/relationships/footer" Target="footer10.xml"/><Relationship Id="rId189" Type="http://schemas.openxmlformats.org/officeDocument/2006/relationships/image" Target="media/image119.png"/><Relationship Id="rId188" Type="http://schemas.openxmlformats.org/officeDocument/2006/relationships/image" Target="media/image118.png"/><Relationship Id="rId187" Type="http://schemas.openxmlformats.org/officeDocument/2006/relationships/image" Target="media/image117.png"/><Relationship Id="rId186" Type="http://schemas.openxmlformats.org/officeDocument/2006/relationships/image" Target="media/image116.png"/><Relationship Id="rId185" Type="http://schemas.openxmlformats.org/officeDocument/2006/relationships/image" Target="media/image115.png"/><Relationship Id="rId184" Type="http://schemas.openxmlformats.org/officeDocument/2006/relationships/image" Target="media/image114.png"/><Relationship Id="rId183" Type="http://schemas.openxmlformats.org/officeDocument/2006/relationships/image" Target="media/image113.wmf"/><Relationship Id="rId182" Type="http://schemas.openxmlformats.org/officeDocument/2006/relationships/oleObject" Target="embeddings/oleObject50.bin"/><Relationship Id="rId181" Type="http://schemas.openxmlformats.org/officeDocument/2006/relationships/image" Target="media/image112.wmf"/><Relationship Id="rId180" Type="http://schemas.openxmlformats.org/officeDocument/2006/relationships/oleObject" Target="embeddings/oleObject49.bin"/><Relationship Id="rId18" Type="http://schemas.openxmlformats.org/officeDocument/2006/relationships/header" Target="header5.xml"/><Relationship Id="rId179" Type="http://schemas.openxmlformats.org/officeDocument/2006/relationships/image" Target="media/image111.wmf"/><Relationship Id="rId178" Type="http://schemas.openxmlformats.org/officeDocument/2006/relationships/oleObject" Target="embeddings/oleObject48.bin"/><Relationship Id="rId177" Type="http://schemas.openxmlformats.org/officeDocument/2006/relationships/image" Target="media/image110.wmf"/><Relationship Id="rId176" Type="http://schemas.openxmlformats.org/officeDocument/2006/relationships/oleObject" Target="embeddings/oleObject47.bin"/><Relationship Id="rId175" Type="http://schemas.openxmlformats.org/officeDocument/2006/relationships/image" Target="media/image109.wmf"/><Relationship Id="rId174" Type="http://schemas.openxmlformats.org/officeDocument/2006/relationships/oleObject" Target="embeddings/oleObject46.bin"/><Relationship Id="rId173" Type="http://schemas.openxmlformats.org/officeDocument/2006/relationships/image" Target="media/image108.wmf"/><Relationship Id="rId172" Type="http://schemas.openxmlformats.org/officeDocument/2006/relationships/oleObject" Target="embeddings/oleObject45.bin"/><Relationship Id="rId171" Type="http://schemas.openxmlformats.org/officeDocument/2006/relationships/image" Target="media/image107.wmf"/><Relationship Id="rId170" Type="http://schemas.openxmlformats.org/officeDocument/2006/relationships/oleObject" Target="embeddings/oleObject44.bin"/><Relationship Id="rId17" Type="http://schemas.openxmlformats.org/officeDocument/2006/relationships/header" Target="header4.xml"/><Relationship Id="rId169" Type="http://schemas.openxmlformats.org/officeDocument/2006/relationships/image" Target="media/image106.wmf"/><Relationship Id="rId168" Type="http://schemas.openxmlformats.org/officeDocument/2006/relationships/oleObject" Target="embeddings/oleObject43.bin"/><Relationship Id="rId167" Type="http://schemas.openxmlformats.org/officeDocument/2006/relationships/image" Target="media/image105.wmf"/><Relationship Id="rId166" Type="http://schemas.openxmlformats.org/officeDocument/2006/relationships/oleObject" Target="embeddings/oleObject42.bin"/><Relationship Id="rId165" Type="http://schemas.openxmlformats.org/officeDocument/2006/relationships/image" Target="media/image104.wmf"/><Relationship Id="rId164" Type="http://schemas.openxmlformats.org/officeDocument/2006/relationships/oleObject" Target="embeddings/oleObject41.bin"/><Relationship Id="rId163" Type="http://schemas.openxmlformats.org/officeDocument/2006/relationships/image" Target="media/image103.wmf"/><Relationship Id="rId162" Type="http://schemas.openxmlformats.org/officeDocument/2006/relationships/oleObject" Target="embeddings/oleObject40.bin"/><Relationship Id="rId161" Type="http://schemas.openxmlformats.org/officeDocument/2006/relationships/image" Target="media/image102.wmf"/><Relationship Id="rId160" Type="http://schemas.openxmlformats.org/officeDocument/2006/relationships/oleObject" Target="embeddings/oleObject39.bin"/><Relationship Id="rId16" Type="http://schemas.openxmlformats.org/officeDocument/2006/relationships/footer" Target="footer9.xml"/><Relationship Id="rId159" Type="http://schemas.openxmlformats.org/officeDocument/2006/relationships/image" Target="media/image101.wmf"/><Relationship Id="rId158" Type="http://schemas.openxmlformats.org/officeDocument/2006/relationships/oleObject" Target="embeddings/oleObject38.bin"/><Relationship Id="rId157" Type="http://schemas.openxmlformats.org/officeDocument/2006/relationships/image" Target="media/image100.wmf"/><Relationship Id="rId156" Type="http://schemas.openxmlformats.org/officeDocument/2006/relationships/oleObject" Target="embeddings/oleObject37.bin"/><Relationship Id="rId155" Type="http://schemas.openxmlformats.org/officeDocument/2006/relationships/image" Target="media/image99.wmf"/><Relationship Id="rId154" Type="http://schemas.openxmlformats.org/officeDocument/2006/relationships/oleObject" Target="embeddings/oleObject36.bin"/><Relationship Id="rId153" Type="http://schemas.openxmlformats.org/officeDocument/2006/relationships/image" Target="media/image98.wmf"/><Relationship Id="rId152" Type="http://schemas.openxmlformats.org/officeDocument/2006/relationships/image" Target="media/image97.wmf"/><Relationship Id="rId151" Type="http://schemas.openxmlformats.org/officeDocument/2006/relationships/image" Target="media/image96.wmf"/><Relationship Id="rId150" Type="http://schemas.openxmlformats.org/officeDocument/2006/relationships/oleObject" Target="embeddings/oleObject35.bin"/><Relationship Id="rId15" Type="http://schemas.openxmlformats.org/officeDocument/2006/relationships/footer" Target="footer8.xml"/><Relationship Id="rId149" Type="http://schemas.openxmlformats.org/officeDocument/2006/relationships/image" Target="media/image95.wmf"/><Relationship Id="rId148" Type="http://schemas.openxmlformats.org/officeDocument/2006/relationships/oleObject" Target="embeddings/oleObject34.bin"/><Relationship Id="rId147" Type="http://schemas.openxmlformats.org/officeDocument/2006/relationships/image" Target="media/image94.wmf"/><Relationship Id="rId146" Type="http://schemas.openxmlformats.org/officeDocument/2006/relationships/oleObject" Target="embeddings/oleObject33.bin"/><Relationship Id="rId145" Type="http://schemas.openxmlformats.org/officeDocument/2006/relationships/image" Target="media/image93.wmf"/><Relationship Id="rId144" Type="http://schemas.openxmlformats.org/officeDocument/2006/relationships/oleObject" Target="embeddings/oleObject32.bin"/><Relationship Id="rId143" Type="http://schemas.openxmlformats.org/officeDocument/2006/relationships/image" Target="media/image92.wmf"/><Relationship Id="rId142" Type="http://schemas.openxmlformats.org/officeDocument/2006/relationships/oleObject" Target="embeddings/oleObject31.bin"/><Relationship Id="rId141" Type="http://schemas.openxmlformats.org/officeDocument/2006/relationships/image" Target="media/image91.wmf"/><Relationship Id="rId140" Type="http://schemas.openxmlformats.org/officeDocument/2006/relationships/oleObject" Target="embeddings/oleObject30.bin"/><Relationship Id="rId14" Type="http://schemas.openxmlformats.org/officeDocument/2006/relationships/footer" Target="footer7.xml"/><Relationship Id="rId139" Type="http://schemas.openxmlformats.org/officeDocument/2006/relationships/image" Target="media/image90.wmf"/><Relationship Id="rId138" Type="http://schemas.openxmlformats.org/officeDocument/2006/relationships/oleObject" Target="embeddings/oleObject29.bin"/><Relationship Id="rId137" Type="http://schemas.openxmlformats.org/officeDocument/2006/relationships/image" Target="media/image89.wmf"/><Relationship Id="rId136" Type="http://schemas.openxmlformats.org/officeDocument/2006/relationships/oleObject" Target="embeddings/oleObject28.bin"/><Relationship Id="rId135" Type="http://schemas.openxmlformats.org/officeDocument/2006/relationships/image" Target="media/image88.wmf"/><Relationship Id="rId134" Type="http://schemas.openxmlformats.org/officeDocument/2006/relationships/oleObject" Target="embeddings/oleObject27.bin"/><Relationship Id="rId133" Type="http://schemas.openxmlformats.org/officeDocument/2006/relationships/image" Target="media/image87.wmf"/><Relationship Id="rId132" Type="http://schemas.openxmlformats.org/officeDocument/2006/relationships/oleObject" Target="embeddings/oleObject26.bin"/><Relationship Id="rId131" Type="http://schemas.openxmlformats.org/officeDocument/2006/relationships/image" Target="media/image86.wmf"/><Relationship Id="rId130" Type="http://schemas.openxmlformats.org/officeDocument/2006/relationships/oleObject" Target="embeddings/oleObject25.bin"/><Relationship Id="rId13" Type="http://schemas.openxmlformats.org/officeDocument/2006/relationships/footer" Target="footer6.xml"/><Relationship Id="rId129" Type="http://schemas.openxmlformats.org/officeDocument/2006/relationships/image" Target="media/image85.wmf"/><Relationship Id="rId128" Type="http://schemas.openxmlformats.org/officeDocument/2006/relationships/oleObject" Target="embeddings/oleObject24.bin"/><Relationship Id="rId127" Type="http://schemas.openxmlformats.org/officeDocument/2006/relationships/oleObject" Target="embeddings/oleObject23.bin"/><Relationship Id="rId126" Type="http://schemas.openxmlformats.org/officeDocument/2006/relationships/image" Target="media/image84.wmf"/><Relationship Id="rId125" Type="http://schemas.openxmlformats.org/officeDocument/2006/relationships/oleObject" Target="embeddings/oleObject22.bin"/><Relationship Id="rId124" Type="http://schemas.openxmlformats.org/officeDocument/2006/relationships/image" Target="media/image83.wmf"/><Relationship Id="rId123" Type="http://schemas.openxmlformats.org/officeDocument/2006/relationships/oleObject" Target="embeddings/oleObject21.bin"/><Relationship Id="rId122" Type="http://schemas.openxmlformats.org/officeDocument/2006/relationships/image" Target="media/image82.wmf"/><Relationship Id="rId121" Type="http://schemas.openxmlformats.org/officeDocument/2006/relationships/oleObject" Target="embeddings/oleObject20.bin"/><Relationship Id="rId120" Type="http://schemas.openxmlformats.org/officeDocument/2006/relationships/image" Target="media/image81.wmf"/><Relationship Id="rId12" Type="http://schemas.openxmlformats.org/officeDocument/2006/relationships/footer" Target="footer5.xml"/><Relationship Id="rId119" Type="http://schemas.openxmlformats.org/officeDocument/2006/relationships/oleObject" Target="embeddings/oleObject19.bin"/><Relationship Id="rId118" Type="http://schemas.openxmlformats.org/officeDocument/2006/relationships/image" Target="media/image80.wmf"/><Relationship Id="rId117" Type="http://schemas.openxmlformats.org/officeDocument/2006/relationships/oleObject" Target="embeddings/oleObject18.bin"/><Relationship Id="rId116" Type="http://schemas.openxmlformats.org/officeDocument/2006/relationships/image" Target="media/image79.wmf"/><Relationship Id="rId115" Type="http://schemas.openxmlformats.org/officeDocument/2006/relationships/oleObject" Target="embeddings/oleObject17.bin"/><Relationship Id="rId114" Type="http://schemas.openxmlformats.org/officeDocument/2006/relationships/image" Target="media/image78.wmf"/><Relationship Id="rId113" Type="http://schemas.openxmlformats.org/officeDocument/2006/relationships/oleObject" Target="embeddings/oleObject16.bin"/><Relationship Id="rId112" Type="http://schemas.openxmlformats.org/officeDocument/2006/relationships/image" Target="media/image77.wmf"/><Relationship Id="rId111" Type="http://schemas.openxmlformats.org/officeDocument/2006/relationships/oleObject" Target="embeddings/oleObject15.bin"/><Relationship Id="rId110" Type="http://schemas.openxmlformats.org/officeDocument/2006/relationships/image" Target="media/image76.wmf"/><Relationship Id="rId11" Type="http://schemas.openxmlformats.org/officeDocument/2006/relationships/footer" Target="footer4.xml"/><Relationship Id="rId109" Type="http://schemas.openxmlformats.org/officeDocument/2006/relationships/oleObject" Target="embeddings/oleObject14.bin"/><Relationship Id="rId108" Type="http://schemas.openxmlformats.org/officeDocument/2006/relationships/image" Target="media/image75.wmf"/><Relationship Id="rId107" Type="http://schemas.openxmlformats.org/officeDocument/2006/relationships/oleObject" Target="embeddings/oleObject13.bin"/><Relationship Id="rId106" Type="http://schemas.openxmlformats.org/officeDocument/2006/relationships/image" Target="media/image74.wmf"/><Relationship Id="rId105" Type="http://schemas.openxmlformats.org/officeDocument/2006/relationships/oleObject" Target="embeddings/oleObject12.bin"/><Relationship Id="rId104" Type="http://schemas.openxmlformats.org/officeDocument/2006/relationships/image" Target="media/image73.wmf"/><Relationship Id="rId103" Type="http://schemas.openxmlformats.org/officeDocument/2006/relationships/oleObject" Target="embeddings/oleObject11.bin"/><Relationship Id="rId102" Type="http://schemas.openxmlformats.org/officeDocument/2006/relationships/image" Target="media/image72.wmf"/><Relationship Id="rId101" Type="http://schemas.openxmlformats.org/officeDocument/2006/relationships/oleObject" Target="embeddings/oleObject10.bin"/><Relationship Id="rId100" Type="http://schemas.openxmlformats.org/officeDocument/2006/relationships/image" Target="media/image71.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235"/>
    <customShpInfo spid="_x0000_s2270"/>
    <customShpInfo spid="_x0000_s2269"/>
    <customShpInfo spid="_x0000_s2268"/>
    <customShpInfo spid="_x0000_s2271"/>
    <customShpInfo spid="_x0000_s2267"/>
    <customShpInfo spid="_x0000_s224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154</Pages>
  <Words>58847</Words>
  <Characters>65321</Characters>
  <Lines>0</Lines>
  <Paragraphs>0</Paragraphs>
  <TotalTime>377</TotalTime>
  <ScaleCrop>false</ScaleCrop>
  <LinksUpToDate>false</LinksUpToDate>
  <CharactersWithSpaces>65694</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2022-07-12T01:17:00Z</dcterms:created>
  <dc:creator>梦觉人间</dc:creator>
  <cp:lastModifiedBy>梦觉人间</cp:lastModifiedBy>
  <cp:lastPrinted>2024-10-29T08:25:00Z</cp:lastPrinted>
  <dcterms:modified xsi:type="dcterms:W3CDTF">2025-03-21T01:49:53Z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2534C7D46133416E819C525CB8ACFB62_13</vt:lpwstr>
  </property>
  <property fmtid="{D5CDD505-2E9C-101B-9397-08002B2CF9AE}" pid="4" name="KSOTemplateDocerSaveRecord">
    <vt:lpwstr>eyJoZGlkIjoiZTk4ZWY3ZWE4YmMyOTYyYmJiOTI1OGY4YzdiZTE2YmUiLCJ1c2VySWQiOiIyNjU2Nzg2MDcifQ==</vt:lpwstr>
  </property>
</Properties>
</file>