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D07EBAD">
      <w:pPr>
        <w:rPr>
          <w:rFonts w:eastAsia="仿宋_GB2312"/>
          <w:sz w:val="36"/>
          <w:szCs w:val="36"/>
        </w:rPr>
      </w:pPr>
      <w:bookmarkStart w:id="0" w:name="_Hlk57883707"/>
    </w:p>
    <w:p w14:paraId="63E934AC">
      <w:pPr>
        <w:rPr>
          <w:rFonts w:eastAsia="仿宋_GB2312"/>
          <w:sz w:val="36"/>
          <w:szCs w:val="36"/>
        </w:rPr>
      </w:pPr>
    </w:p>
    <w:p w14:paraId="049688D3">
      <w:pPr>
        <w:rPr>
          <w:rFonts w:eastAsia="仿宋_GB2312"/>
          <w:sz w:val="36"/>
          <w:szCs w:val="36"/>
        </w:rPr>
      </w:pPr>
    </w:p>
    <w:p w14:paraId="1E0BAE11">
      <w:pPr>
        <w:rPr>
          <w:rFonts w:eastAsia="仿宋_GB2312"/>
          <w:sz w:val="36"/>
          <w:szCs w:val="36"/>
        </w:rPr>
      </w:pPr>
    </w:p>
    <w:bookmarkEnd w:id="0"/>
    <w:p w14:paraId="41218A7B">
      <w:pPr>
        <w:adjustRightInd w:val="0"/>
        <w:snapToGrid w:val="0"/>
        <w:ind w:firstLine="0" w:firstLineChars="0"/>
        <w:jc w:val="center"/>
        <w:rPr>
          <w:rFonts w:eastAsia="方正小标宋_GBK"/>
          <w:bCs/>
          <w:sz w:val="72"/>
          <w:szCs w:val="72"/>
        </w:rPr>
      </w:pPr>
      <w:bookmarkStart w:id="1" w:name="_Toc26645"/>
      <w:bookmarkStart w:id="2" w:name="_Toc26937"/>
      <w:bookmarkStart w:id="3" w:name="_Toc15790"/>
      <w:r>
        <w:rPr>
          <w:rFonts w:eastAsia="方正小标宋_GBK"/>
          <w:bCs/>
          <w:sz w:val="72"/>
          <w:szCs w:val="72"/>
        </w:rPr>
        <w:t>建设项目环境影响报告表</w:t>
      </w:r>
      <w:bookmarkEnd w:id="1"/>
      <w:bookmarkEnd w:id="2"/>
      <w:bookmarkEnd w:id="3"/>
    </w:p>
    <w:p w14:paraId="3ECA7563">
      <w:pPr>
        <w:adjustRightInd w:val="0"/>
        <w:snapToGrid w:val="0"/>
        <w:spacing w:before="192" w:beforeLines="80"/>
        <w:ind w:firstLine="0" w:firstLineChars="0"/>
        <w:jc w:val="center"/>
        <w:rPr>
          <w:rFonts w:eastAsia="楷体_GB2312"/>
          <w:bCs/>
          <w:sz w:val="48"/>
          <w:szCs w:val="48"/>
        </w:rPr>
      </w:pPr>
      <w:r>
        <w:rPr>
          <w:rFonts w:eastAsia="楷体_GB2312"/>
          <w:bCs/>
          <w:sz w:val="48"/>
          <w:szCs w:val="48"/>
        </w:rPr>
        <w:t>（生态影响类）</w:t>
      </w:r>
    </w:p>
    <w:p w14:paraId="78063599">
      <w:pPr>
        <w:adjustRightInd w:val="0"/>
        <w:snapToGrid w:val="0"/>
        <w:spacing w:line="288" w:lineRule="auto"/>
        <w:ind w:firstLine="880"/>
        <w:jc w:val="center"/>
        <w:rPr>
          <w:rFonts w:eastAsia="华文仿宋"/>
          <w:color w:val="000000"/>
          <w:kern w:val="44"/>
          <w:sz w:val="44"/>
          <w:szCs w:val="44"/>
        </w:rPr>
      </w:pPr>
      <w:bookmarkStart w:id="4" w:name="_Hlk57883728"/>
    </w:p>
    <w:p w14:paraId="2143183C">
      <w:pPr>
        <w:ind w:firstLine="1040"/>
        <w:jc w:val="center"/>
        <w:rPr>
          <w:rFonts w:eastAsia="仿宋"/>
          <w:sz w:val="52"/>
          <w:szCs w:val="52"/>
        </w:rPr>
      </w:pPr>
    </w:p>
    <w:p w14:paraId="26056DC5">
      <w:pPr>
        <w:ind w:firstLine="880"/>
        <w:rPr>
          <w:rFonts w:eastAsia="仿宋"/>
          <w:sz w:val="44"/>
          <w:szCs w:val="44"/>
        </w:rPr>
      </w:pPr>
    </w:p>
    <w:p w14:paraId="3950EC58">
      <w:pPr>
        <w:ind w:firstLine="880"/>
        <w:rPr>
          <w:rFonts w:eastAsia="仿宋"/>
          <w:sz w:val="44"/>
          <w:szCs w:val="44"/>
        </w:rPr>
      </w:pPr>
    </w:p>
    <w:bookmarkEnd w:id="4"/>
    <w:p w14:paraId="7087B446">
      <w:pPr>
        <w:adjustRightInd w:val="0"/>
        <w:snapToGrid w:val="0"/>
        <w:spacing w:line="288" w:lineRule="auto"/>
        <w:ind w:left="1800" w:hanging="1800" w:hangingChars="500"/>
        <w:rPr>
          <w:rFonts w:eastAsia="仿宋_GB2312"/>
          <w:sz w:val="36"/>
          <w:szCs w:val="36"/>
          <w:u w:val="single"/>
        </w:rPr>
      </w:pPr>
      <w:r>
        <w:rPr>
          <w:rFonts w:eastAsia="仿宋_GB2312"/>
          <w:sz w:val="36"/>
          <w:szCs w:val="36"/>
        </w:rPr>
        <w:t>项目名称：</w:t>
      </w:r>
      <w:r>
        <w:rPr>
          <w:rFonts w:eastAsia="仿宋_GB2312"/>
          <w:sz w:val="36"/>
          <w:szCs w:val="36"/>
          <w:u w:val="single"/>
        </w:rPr>
        <w:t>黑龙江省中国石油福利屯油库铁路专用线</w:t>
      </w:r>
    </w:p>
    <w:p w14:paraId="211BC623">
      <w:pPr>
        <w:adjustRightInd w:val="0"/>
        <w:snapToGrid w:val="0"/>
        <w:spacing w:line="288" w:lineRule="auto"/>
        <w:ind w:left="1800" w:leftChars="750" w:firstLine="0" w:firstLineChars="0"/>
        <w:rPr>
          <w:rFonts w:eastAsia="仿宋_GB2312"/>
          <w:sz w:val="36"/>
          <w:szCs w:val="36"/>
          <w:u w:val="single"/>
        </w:rPr>
      </w:pPr>
      <w:r>
        <w:rPr>
          <w:rFonts w:eastAsia="仿宋_GB2312"/>
          <w:sz w:val="36"/>
          <w:szCs w:val="36"/>
          <w:u w:val="single"/>
        </w:rPr>
        <w:t>大修工程</w:t>
      </w:r>
    </w:p>
    <w:p w14:paraId="418CE4FC">
      <w:pPr>
        <w:adjustRightInd w:val="0"/>
        <w:snapToGrid w:val="0"/>
        <w:ind w:firstLine="0" w:firstLineChars="0"/>
        <w:rPr>
          <w:rFonts w:eastAsia="仿宋_GB2312"/>
          <w:sz w:val="36"/>
          <w:szCs w:val="36"/>
          <w:u w:val="single"/>
        </w:rPr>
      </w:pPr>
      <w:r>
        <w:rPr>
          <w:rFonts w:eastAsia="仿宋_GB2312"/>
          <w:sz w:val="36"/>
          <w:szCs w:val="36"/>
        </w:rPr>
        <w:t>建设单位（盖章）：</w:t>
      </w:r>
      <w:r>
        <w:rPr>
          <w:rFonts w:eastAsia="仿宋_GB2312"/>
          <w:sz w:val="36"/>
          <w:szCs w:val="36"/>
          <w:u w:val="single"/>
        </w:rPr>
        <w:t>双鸭山远东创投国际物流有限公司</w:t>
      </w:r>
    </w:p>
    <w:p w14:paraId="55398132">
      <w:pPr>
        <w:adjustRightInd w:val="0"/>
        <w:snapToGrid w:val="0"/>
        <w:spacing w:line="288" w:lineRule="auto"/>
        <w:ind w:firstLine="0" w:firstLineChars="0"/>
        <w:rPr>
          <w:rFonts w:eastAsia="仿宋_GB2312"/>
          <w:sz w:val="36"/>
          <w:szCs w:val="36"/>
          <w:u w:val="single"/>
        </w:rPr>
      </w:pPr>
      <w:r>
        <w:rPr>
          <w:rFonts w:eastAsia="仿宋_GB2312"/>
          <w:sz w:val="36"/>
          <w:szCs w:val="36"/>
        </w:rPr>
        <w:t>编制日期：</w:t>
      </w:r>
      <w:r>
        <w:rPr>
          <w:rFonts w:eastAsia="仿宋_GB2312"/>
          <w:sz w:val="36"/>
          <w:szCs w:val="36"/>
          <w:u w:val="single"/>
        </w:rPr>
        <w:t>202</w:t>
      </w:r>
      <w:r>
        <w:rPr>
          <w:rFonts w:hint="eastAsia" w:eastAsia="仿宋_GB2312"/>
          <w:sz w:val="36"/>
          <w:szCs w:val="36"/>
          <w:u w:val="single"/>
        </w:rPr>
        <w:t>5</w:t>
      </w:r>
      <w:r>
        <w:rPr>
          <w:rFonts w:eastAsia="仿宋_GB2312"/>
          <w:sz w:val="36"/>
          <w:szCs w:val="36"/>
          <w:u w:val="single"/>
        </w:rPr>
        <w:t>年</w:t>
      </w:r>
      <w:r>
        <w:rPr>
          <w:rFonts w:hint="eastAsia" w:eastAsia="仿宋_GB2312"/>
          <w:sz w:val="36"/>
          <w:szCs w:val="36"/>
          <w:u w:val="single"/>
        </w:rPr>
        <w:t>4</w:t>
      </w:r>
      <w:r>
        <w:rPr>
          <w:rFonts w:eastAsia="仿宋_GB2312"/>
          <w:sz w:val="36"/>
          <w:szCs w:val="36"/>
          <w:u w:val="single"/>
        </w:rPr>
        <w:t>月</w:t>
      </w:r>
    </w:p>
    <w:p w14:paraId="1A1E395A">
      <w:pPr>
        <w:adjustRightInd w:val="0"/>
        <w:snapToGrid w:val="0"/>
        <w:spacing w:line="288" w:lineRule="auto"/>
        <w:rPr>
          <w:rFonts w:eastAsia="仿宋_GB2312"/>
          <w:sz w:val="36"/>
          <w:szCs w:val="36"/>
          <w:u w:val="single"/>
        </w:rPr>
      </w:pPr>
    </w:p>
    <w:p w14:paraId="148AF18A">
      <w:pPr>
        <w:adjustRightInd w:val="0"/>
        <w:snapToGrid w:val="0"/>
        <w:spacing w:line="288" w:lineRule="auto"/>
        <w:rPr>
          <w:rFonts w:eastAsia="仿宋_GB2312"/>
          <w:sz w:val="36"/>
          <w:szCs w:val="36"/>
          <w:u w:val="single"/>
        </w:rPr>
      </w:pPr>
    </w:p>
    <w:p w14:paraId="3160E552">
      <w:pPr>
        <w:adjustRightInd w:val="0"/>
        <w:snapToGrid w:val="0"/>
        <w:spacing w:line="288" w:lineRule="auto"/>
        <w:rPr>
          <w:rFonts w:eastAsia="仿宋_GB2312"/>
          <w:sz w:val="36"/>
          <w:szCs w:val="36"/>
          <w:u w:val="single"/>
        </w:rPr>
      </w:pPr>
    </w:p>
    <w:p w14:paraId="6D4A3861">
      <w:pPr>
        <w:adjustRightInd w:val="0"/>
        <w:snapToGrid w:val="0"/>
        <w:spacing w:line="288" w:lineRule="auto"/>
        <w:ind w:firstLine="0" w:firstLineChars="0"/>
        <w:jc w:val="center"/>
        <w:rPr>
          <w:rFonts w:eastAsia="楷体_GB2312"/>
          <w:sz w:val="36"/>
          <w:szCs w:val="36"/>
        </w:rPr>
        <w:sectPr>
          <w:footerReference r:id="rId5" w:type="default"/>
          <w:footerReference r:id="rId6"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bookmarkStart w:id="5" w:name="_Toc12374"/>
      <w:bookmarkStart w:id="6" w:name="_Toc25219"/>
      <w:bookmarkStart w:id="7" w:name="_Toc19811"/>
      <w:r>
        <w:rPr>
          <w:rFonts w:eastAsia="楷体_GB2312"/>
          <w:sz w:val="36"/>
          <w:szCs w:val="36"/>
        </w:rPr>
        <w:t>中华人民共和国生态环境部制</w:t>
      </w:r>
      <w:bookmarkEnd w:id="5"/>
      <w:bookmarkEnd w:id="6"/>
      <w:bookmarkEnd w:id="7"/>
    </w:p>
    <w:p w14:paraId="5361C6EA">
      <w:pPr>
        <w:adjustRightInd w:val="0"/>
        <w:snapToGrid w:val="0"/>
        <w:spacing w:line="288" w:lineRule="auto"/>
        <w:ind w:firstLine="0" w:firstLineChars="0"/>
        <w:jc w:val="center"/>
        <w:rPr>
          <w:rFonts w:eastAsia="楷体_GB2312"/>
          <w:sz w:val="36"/>
          <w:szCs w:val="36"/>
        </w:rPr>
        <w:sectPr>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r>
        <w:drawing>
          <wp:inline distT="0" distB="0" distL="114300" distR="114300">
            <wp:extent cx="5400040" cy="7611110"/>
            <wp:effectExtent l="0" t="0" r="10160" b="8890"/>
            <wp:docPr id="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
                    <pic:cNvPicPr>
                      <a:picLocks noChangeAspect="1"/>
                    </pic:cNvPicPr>
                  </pic:nvPicPr>
                  <pic:blipFill>
                    <a:blip r:embed="rId10"/>
                    <a:stretch>
                      <a:fillRect/>
                    </a:stretch>
                  </pic:blipFill>
                  <pic:spPr>
                    <a:xfrm>
                      <a:off x="0" y="0"/>
                      <a:ext cx="5400040" cy="7611110"/>
                    </a:xfrm>
                    <a:prstGeom prst="rect">
                      <a:avLst/>
                    </a:prstGeom>
                    <a:noFill/>
                    <a:ln>
                      <a:noFill/>
                    </a:ln>
                  </pic:spPr>
                </pic:pic>
              </a:graphicData>
            </a:graphic>
          </wp:inline>
        </w:drawing>
      </w:r>
    </w:p>
    <w:sdt>
      <w:sdtPr>
        <w:rPr>
          <w:rFonts w:ascii="宋体" w:hAnsi="宋体"/>
          <w:kern w:val="0"/>
          <w:sz w:val="21"/>
        </w:rPr>
        <w:id w:val="147477828"/>
        <w:docPartObj>
          <w:docPartGallery w:val="Table of Contents"/>
          <w:docPartUnique/>
        </w:docPartObj>
      </w:sdtPr>
      <w:sdtEndPr>
        <w:rPr>
          <w:rFonts w:ascii="宋体" w:hAnsi="宋体"/>
          <w:b/>
          <w:kern w:val="0"/>
          <w:sz w:val="24"/>
        </w:rPr>
      </w:sdtEndPr>
      <w:sdtContent>
        <w:p w14:paraId="6918EB94">
          <w:pPr>
            <w:spacing w:line="240" w:lineRule="auto"/>
            <w:ind w:firstLine="0" w:firstLineChars="0"/>
            <w:jc w:val="center"/>
            <w:rPr>
              <w:sz w:val="44"/>
              <w:szCs w:val="52"/>
            </w:rPr>
          </w:pPr>
          <w:r>
            <w:rPr>
              <w:sz w:val="44"/>
              <w:szCs w:val="44"/>
            </w:rPr>
            <w:t>目</w:t>
          </w:r>
          <w:r>
            <w:rPr>
              <w:rFonts w:hint="eastAsia"/>
              <w:sz w:val="44"/>
              <w:szCs w:val="44"/>
            </w:rPr>
            <w:t xml:space="preserve">  </w:t>
          </w:r>
          <w:r>
            <w:rPr>
              <w:sz w:val="44"/>
              <w:szCs w:val="44"/>
            </w:rPr>
            <w:t>录</w:t>
          </w:r>
        </w:p>
        <w:p w14:paraId="26ACD37E">
          <w:pPr>
            <w:pStyle w:val="17"/>
            <w:tabs>
              <w:tab w:val="right" w:leader="dot" w:pos="8844"/>
            </w:tabs>
          </w:pPr>
          <w:bookmarkStart w:id="32" w:name="_GoBack"/>
          <w:bookmarkEnd w:id="32"/>
          <w:r>
            <w:rPr>
              <w:szCs w:val="32"/>
            </w:rPr>
            <w:fldChar w:fldCharType="begin"/>
          </w:r>
          <w:r>
            <w:rPr>
              <w:szCs w:val="32"/>
            </w:rPr>
            <w:instrText xml:space="preserve">TOC \o "1-2" \h \u </w:instrText>
          </w:r>
          <w:r>
            <w:rPr>
              <w:szCs w:val="32"/>
            </w:rPr>
            <w:fldChar w:fldCharType="separate"/>
          </w:r>
          <w:r>
            <w:rPr>
              <w:szCs w:val="32"/>
            </w:rPr>
            <w:fldChar w:fldCharType="begin"/>
          </w:r>
          <w:r>
            <w:rPr>
              <w:szCs w:val="32"/>
            </w:rPr>
            <w:instrText xml:space="preserve"> HYPERLINK \l _Toc22368 </w:instrText>
          </w:r>
          <w:r>
            <w:rPr>
              <w:szCs w:val="32"/>
            </w:rPr>
            <w:fldChar w:fldCharType="separate"/>
          </w:r>
          <w:r>
            <w:rPr>
              <w:rFonts w:ascii="Times New Roman" w:hAnsi="Times New Roman" w:eastAsia="黑体"/>
              <w:snapToGrid w:val="0"/>
              <w:szCs w:val="30"/>
            </w:rPr>
            <w:t>一、建设项目基本情况</w:t>
          </w:r>
          <w:r>
            <w:tab/>
          </w:r>
          <w:r>
            <w:fldChar w:fldCharType="begin"/>
          </w:r>
          <w:r>
            <w:instrText xml:space="preserve"> PAGEREF _Toc22368 \h </w:instrText>
          </w:r>
          <w:r>
            <w:fldChar w:fldCharType="separate"/>
          </w:r>
          <w:r>
            <w:t>1</w:t>
          </w:r>
          <w:r>
            <w:fldChar w:fldCharType="end"/>
          </w:r>
          <w:r>
            <w:rPr>
              <w:szCs w:val="32"/>
            </w:rPr>
            <w:fldChar w:fldCharType="end"/>
          </w:r>
        </w:p>
        <w:p w14:paraId="78D4C052">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_Toc30767 </w:instrText>
          </w:r>
          <w:r>
            <w:rPr>
              <w:rFonts w:ascii="Times New Roman" w:hAnsi="Times New Roman"/>
              <w:szCs w:val="32"/>
            </w:rPr>
            <w:fldChar w:fldCharType="separate"/>
          </w:r>
          <w:r>
            <w:rPr>
              <w:rFonts w:ascii="Times New Roman" w:hAnsi="Times New Roman" w:eastAsia="黑体"/>
              <w:snapToGrid w:val="0"/>
              <w:szCs w:val="30"/>
            </w:rPr>
            <w:t>二、建设内容</w:t>
          </w:r>
          <w:r>
            <w:tab/>
          </w:r>
          <w:r>
            <w:fldChar w:fldCharType="begin"/>
          </w:r>
          <w:r>
            <w:instrText xml:space="preserve"> PAGEREF _Toc30767 \h </w:instrText>
          </w:r>
          <w:r>
            <w:fldChar w:fldCharType="separate"/>
          </w:r>
          <w:r>
            <w:t>17</w:t>
          </w:r>
          <w:r>
            <w:fldChar w:fldCharType="end"/>
          </w:r>
          <w:r>
            <w:rPr>
              <w:rFonts w:ascii="Times New Roman" w:hAnsi="Times New Roman"/>
              <w:szCs w:val="32"/>
            </w:rPr>
            <w:fldChar w:fldCharType="end"/>
          </w:r>
        </w:p>
        <w:p w14:paraId="23521BE6">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_Toc14770 </w:instrText>
          </w:r>
          <w:r>
            <w:rPr>
              <w:rFonts w:ascii="Times New Roman" w:hAnsi="Times New Roman"/>
              <w:szCs w:val="32"/>
            </w:rPr>
            <w:fldChar w:fldCharType="separate"/>
          </w:r>
          <w:r>
            <w:rPr>
              <w:rFonts w:ascii="Times New Roman" w:hAnsi="Times New Roman" w:eastAsia="黑体"/>
              <w:snapToGrid w:val="0"/>
              <w:szCs w:val="30"/>
            </w:rPr>
            <w:t>三、生态环境现状、保护目标及评价标准</w:t>
          </w:r>
          <w:r>
            <w:tab/>
          </w:r>
          <w:r>
            <w:fldChar w:fldCharType="begin"/>
          </w:r>
          <w:r>
            <w:instrText xml:space="preserve"> PAGEREF _Toc14770 \h </w:instrText>
          </w:r>
          <w:r>
            <w:fldChar w:fldCharType="separate"/>
          </w:r>
          <w:r>
            <w:t>35</w:t>
          </w:r>
          <w:r>
            <w:fldChar w:fldCharType="end"/>
          </w:r>
          <w:r>
            <w:rPr>
              <w:rFonts w:ascii="Times New Roman" w:hAnsi="Times New Roman"/>
              <w:szCs w:val="32"/>
            </w:rPr>
            <w:fldChar w:fldCharType="end"/>
          </w:r>
        </w:p>
        <w:p w14:paraId="2B225292">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_Toc31494 </w:instrText>
          </w:r>
          <w:r>
            <w:rPr>
              <w:rFonts w:ascii="Times New Roman" w:hAnsi="Times New Roman"/>
              <w:szCs w:val="32"/>
            </w:rPr>
            <w:fldChar w:fldCharType="separate"/>
          </w:r>
          <w:r>
            <w:rPr>
              <w:rFonts w:ascii="Times New Roman" w:hAnsi="Times New Roman" w:eastAsia="黑体"/>
              <w:snapToGrid w:val="0"/>
              <w:szCs w:val="30"/>
            </w:rPr>
            <w:t>四、生态环境影响分析</w:t>
          </w:r>
          <w:r>
            <w:tab/>
          </w:r>
          <w:r>
            <w:fldChar w:fldCharType="begin"/>
          </w:r>
          <w:r>
            <w:instrText xml:space="preserve"> PAGEREF _Toc31494 \h </w:instrText>
          </w:r>
          <w:r>
            <w:fldChar w:fldCharType="separate"/>
          </w:r>
          <w:r>
            <w:t>49</w:t>
          </w:r>
          <w:r>
            <w:fldChar w:fldCharType="end"/>
          </w:r>
          <w:r>
            <w:rPr>
              <w:rFonts w:ascii="Times New Roman" w:hAnsi="Times New Roman"/>
              <w:szCs w:val="32"/>
            </w:rPr>
            <w:fldChar w:fldCharType="end"/>
          </w:r>
        </w:p>
        <w:p w14:paraId="7C5564B0">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_Toc4193 </w:instrText>
          </w:r>
          <w:r>
            <w:rPr>
              <w:rFonts w:ascii="Times New Roman" w:hAnsi="Times New Roman"/>
              <w:szCs w:val="32"/>
            </w:rPr>
            <w:fldChar w:fldCharType="separate"/>
          </w:r>
          <w:r>
            <w:rPr>
              <w:rFonts w:ascii="Times New Roman" w:hAnsi="Times New Roman" w:eastAsia="黑体"/>
              <w:snapToGrid w:val="0"/>
              <w:szCs w:val="30"/>
            </w:rPr>
            <w:t>五、主要生态环境保护措施</w:t>
          </w:r>
          <w:r>
            <w:tab/>
          </w:r>
          <w:r>
            <w:fldChar w:fldCharType="begin"/>
          </w:r>
          <w:r>
            <w:instrText xml:space="preserve"> PAGEREF _Toc4193 \h </w:instrText>
          </w:r>
          <w:r>
            <w:fldChar w:fldCharType="separate"/>
          </w:r>
          <w:r>
            <w:t>72</w:t>
          </w:r>
          <w:r>
            <w:fldChar w:fldCharType="end"/>
          </w:r>
          <w:r>
            <w:rPr>
              <w:rFonts w:ascii="Times New Roman" w:hAnsi="Times New Roman"/>
              <w:szCs w:val="32"/>
            </w:rPr>
            <w:fldChar w:fldCharType="end"/>
          </w:r>
        </w:p>
        <w:p w14:paraId="7438D1E1">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_Toc17276 </w:instrText>
          </w:r>
          <w:r>
            <w:rPr>
              <w:rFonts w:ascii="Times New Roman" w:hAnsi="Times New Roman"/>
              <w:szCs w:val="32"/>
            </w:rPr>
            <w:fldChar w:fldCharType="separate"/>
          </w:r>
          <w:r>
            <w:rPr>
              <w:rFonts w:ascii="Times New Roman" w:hAnsi="Times New Roman" w:eastAsia="黑体"/>
              <w:snapToGrid w:val="0"/>
              <w:szCs w:val="30"/>
            </w:rPr>
            <w:t>六、生态环境保护措施监督检查清单</w:t>
          </w:r>
          <w:r>
            <w:tab/>
          </w:r>
          <w:r>
            <w:fldChar w:fldCharType="begin"/>
          </w:r>
          <w:r>
            <w:instrText xml:space="preserve"> PAGEREF _Toc17276 \h </w:instrText>
          </w:r>
          <w:r>
            <w:fldChar w:fldCharType="separate"/>
          </w:r>
          <w:r>
            <w:t>83</w:t>
          </w:r>
          <w:r>
            <w:fldChar w:fldCharType="end"/>
          </w:r>
          <w:r>
            <w:rPr>
              <w:rFonts w:ascii="Times New Roman" w:hAnsi="Times New Roman"/>
              <w:szCs w:val="32"/>
            </w:rPr>
            <w:fldChar w:fldCharType="end"/>
          </w:r>
        </w:p>
        <w:p w14:paraId="3834026E">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_Toc4883 </w:instrText>
          </w:r>
          <w:r>
            <w:rPr>
              <w:rFonts w:ascii="Times New Roman" w:hAnsi="Times New Roman"/>
              <w:szCs w:val="32"/>
            </w:rPr>
            <w:fldChar w:fldCharType="separate"/>
          </w:r>
          <w:r>
            <w:rPr>
              <w:rFonts w:ascii="Times New Roman" w:hAnsi="Times New Roman" w:eastAsia="黑体"/>
              <w:snapToGrid w:val="0"/>
              <w:szCs w:val="30"/>
            </w:rPr>
            <w:t>七、结论</w:t>
          </w:r>
          <w:r>
            <w:tab/>
          </w:r>
          <w:r>
            <w:fldChar w:fldCharType="begin"/>
          </w:r>
          <w:r>
            <w:instrText xml:space="preserve"> PAGEREF _Toc4883 \h </w:instrText>
          </w:r>
          <w:r>
            <w:fldChar w:fldCharType="separate"/>
          </w:r>
          <w:r>
            <w:t>85</w:t>
          </w:r>
          <w:r>
            <w:fldChar w:fldCharType="end"/>
          </w:r>
          <w:r>
            <w:rPr>
              <w:rFonts w:ascii="Times New Roman" w:hAnsi="Times New Roman"/>
              <w:szCs w:val="32"/>
            </w:rPr>
            <w:fldChar w:fldCharType="end"/>
          </w:r>
        </w:p>
        <w:p w14:paraId="081DCE3F">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_Toc25162 </w:instrText>
          </w:r>
          <w:r>
            <w:rPr>
              <w:rFonts w:ascii="Times New Roman" w:hAnsi="Times New Roman"/>
              <w:szCs w:val="32"/>
            </w:rPr>
            <w:fldChar w:fldCharType="separate"/>
          </w:r>
          <w:r>
            <w:rPr>
              <w:rFonts w:hint="eastAsia"/>
              <w:bCs w:val="0"/>
            </w:rPr>
            <w:t>附图1 地理位置图</w:t>
          </w:r>
          <w:r>
            <w:tab/>
          </w:r>
          <w:r>
            <w:fldChar w:fldCharType="begin"/>
          </w:r>
          <w:r>
            <w:instrText xml:space="preserve"> PAGEREF _Toc25162 \h </w:instrText>
          </w:r>
          <w:r>
            <w:fldChar w:fldCharType="separate"/>
          </w:r>
          <w:r>
            <w:t>86</w:t>
          </w:r>
          <w:r>
            <w:fldChar w:fldCharType="end"/>
          </w:r>
          <w:r>
            <w:rPr>
              <w:rFonts w:ascii="Times New Roman" w:hAnsi="Times New Roman"/>
              <w:szCs w:val="32"/>
            </w:rPr>
            <w:fldChar w:fldCharType="end"/>
          </w:r>
        </w:p>
        <w:p w14:paraId="7193D510">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_Toc4257 </w:instrText>
          </w:r>
          <w:r>
            <w:rPr>
              <w:rFonts w:ascii="Times New Roman" w:hAnsi="Times New Roman"/>
              <w:szCs w:val="32"/>
            </w:rPr>
            <w:fldChar w:fldCharType="separate"/>
          </w:r>
          <w:r>
            <w:rPr>
              <w:rFonts w:hint="eastAsia"/>
              <w:bCs w:val="0"/>
            </w:rPr>
            <w:t>附图2 福利屯站场示意图</w:t>
          </w:r>
          <w:r>
            <w:tab/>
          </w:r>
          <w:r>
            <w:fldChar w:fldCharType="begin"/>
          </w:r>
          <w:r>
            <w:instrText xml:space="preserve"> PAGEREF _Toc4257 \h </w:instrText>
          </w:r>
          <w:r>
            <w:fldChar w:fldCharType="separate"/>
          </w:r>
          <w:r>
            <w:t>87</w:t>
          </w:r>
          <w:r>
            <w:fldChar w:fldCharType="end"/>
          </w:r>
          <w:r>
            <w:rPr>
              <w:rFonts w:ascii="Times New Roman" w:hAnsi="Times New Roman"/>
              <w:szCs w:val="32"/>
            </w:rPr>
            <w:fldChar w:fldCharType="end"/>
          </w:r>
        </w:p>
        <w:p w14:paraId="0F997694">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_Toc28638 </w:instrText>
          </w:r>
          <w:r>
            <w:rPr>
              <w:rFonts w:ascii="Times New Roman" w:hAnsi="Times New Roman"/>
              <w:szCs w:val="32"/>
            </w:rPr>
            <w:fldChar w:fldCharType="separate"/>
          </w:r>
          <w:r>
            <w:rPr>
              <w:rFonts w:hint="eastAsia"/>
              <w:bCs w:val="0"/>
            </w:rPr>
            <w:t>附图3 项目方案示意图</w:t>
          </w:r>
          <w:r>
            <w:tab/>
          </w:r>
          <w:r>
            <w:fldChar w:fldCharType="begin"/>
          </w:r>
          <w:r>
            <w:instrText xml:space="preserve"> PAGEREF _Toc28638 \h </w:instrText>
          </w:r>
          <w:r>
            <w:fldChar w:fldCharType="separate"/>
          </w:r>
          <w:r>
            <w:t>88</w:t>
          </w:r>
          <w:r>
            <w:fldChar w:fldCharType="end"/>
          </w:r>
          <w:r>
            <w:rPr>
              <w:rFonts w:ascii="Times New Roman" w:hAnsi="Times New Roman"/>
              <w:szCs w:val="32"/>
            </w:rPr>
            <w:fldChar w:fldCharType="end"/>
          </w:r>
        </w:p>
        <w:p w14:paraId="5BEF8739">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_Toc6350 </w:instrText>
          </w:r>
          <w:r>
            <w:rPr>
              <w:rFonts w:ascii="Times New Roman" w:hAnsi="Times New Roman"/>
              <w:szCs w:val="32"/>
            </w:rPr>
            <w:fldChar w:fldCharType="separate"/>
          </w:r>
          <w:r>
            <w:rPr>
              <w:rFonts w:hint="eastAsia"/>
              <w:bCs w:val="0"/>
            </w:rPr>
            <w:t>附图4 项目总平面布置图</w:t>
          </w:r>
          <w:r>
            <w:tab/>
          </w:r>
          <w:r>
            <w:fldChar w:fldCharType="begin"/>
          </w:r>
          <w:r>
            <w:instrText xml:space="preserve"> PAGEREF _Toc6350 \h </w:instrText>
          </w:r>
          <w:r>
            <w:fldChar w:fldCharType="separate"/>
          </w:r>
          <w:r>
            <w:t>89</w:t>
          </w:r>
          <w:r>
            <w:fldChar w:fldCharType="end"/>
          </w:r>
          <w:r>
            <w:rPr>
              <w:rFonts w:ascii="Times New Roman" w:hAnsi="Times New Roman"/>
              <w:szCs w:val="32"/>
            </w:rPr>
            <w:fldChar w:fldCharType="end"/>
          </w:r>
        </w:p>
        <w:p w14:paraId="6D1BDBFB">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_Toc31157 </w:instrText>
          </w:r>
          <w:r>
            <w:rPr>
              <w:rFonts w:ascii="Times New Roman" w:hAnsi="Times New Roman"/>
              <w:szCs w:val="32"/>
            </w:rPr>
            <w:fldChar w:fldCharType="separate"/>
          </w:r>
          <w:r>
            <w:rPr>
              <w:rFonts w:hint="eastAsia"/>
              <w:bCs w:val="0"/>
            </w:rPr>
            <w:t>附图5 土地利用现状图</w:t>
          </w:r>
          <w:r>
            <w:tab/>
          </w:r>
          <w:r>
            <w:fldChar w:fldCharType="begin"/>
          </w:r>
          <w:r>
            <w:instrText xml:space="preserve"> PAGEREF _Toc31157 \h </w:instrText>
          </w:r>
          <w:r>
            <w:fldChar w:fldCharType="separate"/>
          </w:r>
          <w:r>
            <w:t>90</w:t>
          </w:r>
          <w:r>
            <w:fldChar w:fldCharType="end"/>
          </w:r>
          <w:r>
            <w:rPr>
              <w:rFonts w:ascii="Times New Roman" w:hAnsi="Times New Roman"/>
              <w:szCs w:val="32"/>
            </w:rPr>
            <w:fldChar w:fldCharType="end"/>
          </w:r>
        </w:p>
        <w:p w14:paraId="40861042">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_Toc29898 </w:instrText>
          </w:r>
          <w:r>
            <w:rPr>
              <w:rFonts w:ascii="Times New Roman" w:hAnsi="Times New Roman"/>
              <w:szCs w:val="32"/>
            </w:rPr>
            <w:fldChar w:fldCharType="separate"/>
          </w:r>
          <w:r>
            <w:rPr>
              <w:rFonts w:hint="eastAsia"/>
              <w:bCs w:val="0"/>
            </w:rPr>
            <w:t>附图6 既有油库专用线走行线</w:t>
          </w:r>
          <w:r>
            <w:tab/>
          </w:r>
          <w:r>
            <w:fldChar w:fldCharType="begin"/>
          </w:r>
          <w:r>
            <w:instrText xml:space="preserve"> PAGEREF _Toc29898 \h </w:instrText>
          </w:r>
          <w:r>
            <w:fldChar w:fldCharType="separate"/>
          </w:r>
          <w:r>
            <w:t>91</w:t>
          </w:r>
          <w:r>
            <w:fldChar w:fldCharType="end"/>
          </w:r>
          <w:r>
            <w:rPr>
              <w:rFonts w:ascii="Times New Roman" w:hAnsi="Times New Roman"/>
              <w:szCs w:val="32"/>
            </w:rPr>
            <w:fldChar w:fldCharType="end"/>
          </w:r>
        </w:p>
        <w:p w14:paraId="67320911">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_Toc22367 </w:instrText>
          </w:r>
          <w:r>
            <w:rPr>
              <w:rFonts w:ascii="Times New Roman" w:hAnsi="Times New Roman"/>
              <w:szCs w:val="32"/>
            </w:rPr>
            <w:fldChar w:fldCharType="separate"/>
          </w:r>
          <w:r>
            <w:rPr>
              <w:rFonts w:hint="eastAsia"/>
              <w:bCs w:val="0"/>
            </w:rPr>
            <w:t>附图7 既有3道、4道线路</w:t>
          </w:r>
          <w:r>
            <w:tab/>
          </w:r>
          <w:r>
            <w:fldChar w:fldCharType="begin"/>
          </w:r>
          <w:r>
            <w:instrText xml:space="preserve"> PAGEREF _Toc22367 \h </w:instrText>
          </w:r>
          <w:r>
            <w:fldChar w:fldCharType="separate"/>
          </w:r>
          <w:r>
            <w:t>92</w:t>
          </w:r>
          <w:r>
            <w:fldChar w:fldCharType="end"/>
          </w:r>
          <w:r>
            <w:rPr>
              <w:rFonts w:ascii="Times New Roman" w:hAnsi="Times New Roman"/>
              <w:szCs w:val="32"/>
            </w:rPr>
            <w:fldChar w:fldCharType="end"/>
          </w:r>
        </w:p>
        <w:p w14:paraId="3EB5A816">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_Toc27798 </w:instrText>
          </w:r>
          <w:r>
            <w:rPr>
              <w:rFonts w:ascii="Times New Roman" w:hAnsi="Times New Roman"/>
              <w:szCs w:val="32"/>
            </w:rPr>
            <w:fldChar w:fldCharType="separate"/>
          </w:r>
          <w:r>
            <w:rPr>
              <w:rFonts w:hint="eastAsia"/>
              <w:bCs w:val="0"/>
            </w:rPr>
            <w:t>附图8 施工总布置图</w:t>
          </w:r>
          <w:r>
            <w:tab/>
          </w:r>
          <w:r>
            <w:fldChar w:fldCharType="begin"/>
          </w:r>
          <w:r>
            <w:instrText xml:space="preserve"> PAGEREF _Toc27798 \h </w:instrText>
          </w:r>
          <w:r>
            <w:fldChar w:fldCharType="separate"/>
          </w:r>
          <w:r>
            <w:t>93</w:t>
          </w:r>
          <w:r>
            <w:fldChar w:fldCharType="end"/>
          </w:r>
          <w:r>
            <w:rPr>
              <w:rFonts w:ascii="Times New Roman" w:hAnsi="Times New Roman"/>
              <w:szCs w:val="32"/>
            </w:rPr>
            <w:fldChar w:fldCharType="end"/>
          </w:r>
        </w:p>
        <w:p w14:paraId="6E39C731">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_Toc3264 </w:instrText>
          </w:r>
          <w:r>
            <w:rPr>
              <w:rFonts w:ascii="Times New Roman" w:hAnsi="Times New Roman"/>
              <w:szCs w:val="32"/>
            </w:rPr>
            <w:fldChar w:fldCharType="separate"/>
          </w:r>
          <w:r>
            <w:rPr>
              <w:rFonts w:hint="eastAsia"/>
              <w:bCs w:val="0"/>
            </w:rPr>
            <w:t xml:space="preserve">附图9 </w:t>
          </w:r>
          <w:r>
            <w:rPr>
              <w:bCs w:val="0"/>
            </w:rPr>
            <w:t>生态保护措施平面布置图</w:t>
          </w:r>
          <w:r>
            <w:tab/>
          </w:r>
          <w:r>
            <w:fldChar w:fldCharType="begin"/>
          </w:r>
          <w:r>
            <w:instrText xml:space="preserve"> PAGEREF _Toc3264 \h </w:instrText>
          </w:r>
          <w:r>
            <w:fldChar w:fldCharType="separate"/>
          </w:r>
          <w:r>
            <w:t>94</w:t>
          </w:r>
          <w:r>
            <w:fldChar w:fldCharType="end"/>
          </w:r>
          <w:r>
            <w:rPr>
              <w:rFonts w:ascii="Times New Roman" w:hAnsi="Times New Roman"/>
              <w:szCs w:val="32"/>
            </w:rPr>
            <w:fldChar w:fldCharType="end"/>
          </w:r>
        </w:p>
        <w:p w14:paraId="7C678D16">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_Toc2247 </w:instrText>
          </w:r>
          <w:r>
            <w:rPr>
              <w:rFonts w:ascii="Times New Roman" w:hAnsi="Times New Roman"/>
              <w:szCs w:val="32"/>
            </w:rPr>
            <w:fldChar w:fldCharType="separate"/>
          </w:r>
          <w:r>
            <w:rPr>
              <w:bCs w:val="0"/>
            </w:rPr>
            <w:t>附件1 营业执照</w:t>
          </w:r>
          <w:r>
            <w:tab/>
          </w:r>
          <w:r>
            <w:fldChar w:fldCharType="begin"/>
          </w:r>
          <w:r>
            <w:instrText xml:space="preserve"> PAGEREF _Toc2247 \h </w:instrText>
          </w:r>
          <w:r>
            <w:fldChar w:fldCharType="separate"/>
          </w:r>
          <w:r>
            <w:t>95</w:t>
          </w:r>
          <w:r>
            <w:fldChar w:fldCharType="end"/>
          </w:r>
          <w:r>
            <w:rPr>
              <w:rFonts w:ascii="Times New Roman" w:hAnsi="Times New Roman"/>
              <w:szCs w:val="32"/>
            </w:rPr>
            <w:fldChar w:fldCharType="end"/>
          </w:r>
        </w:p>
        <w:p w14:paraId="33693114">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_Toc19281 </w:instrText>
          </w:r>
          <w:r>
            <w:rPr>
              <w:rFonts w:ascii="Times New Roman" w:hAnsi="Times New Roman"/>
              <w:szCs w:val="32"/>
            </w:rPr>
            <w:fldChar w:fldCharType="separate"/>
          </w:r>
          <w:r>
            <w:rPr>
              <w:rFonts w:hint="eastAsia"/>
              <w:bCs w:val="0"/>
            </w:rPr>
            <w:t>附件2 监测报告</w:t>
          </w:r>
          <w:r>
            <w:tab/>
          </w:r>
          <w:r>
            <w:fldChar w:fldCharType="begin"/>
          </w:r>
          <w:r>
            <w:instrText xml:space="preserve"> PAGEREF _Toc19281 \h </w:instrText>
          </w:r>
          <w:r>
            <w:fldChar w:fldCharType="separate"/>
          </w:r>
          <w:r>
            <w:t>96</w:t>
          </w:r>
          <w:r>
            <w:fldChar w:fldCharType="end"/>
          </w:r>
          <w:r>
            <w:rPr>
              <w:rFonts w:ascii="Times New Roman" w:hAnsi="Times New Roman"/>
              <w:szCs w:val="32"/>
            </w:rPr>
            <w:fldChar w:fldCharType="end"/>
          </w:r>
        </w:p>
        <w:p w14:paraId="1B3AF581">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_Toc15172 </w:instrText>
          </w:r>
          <w:r>
            <w:rPr>
              <w:rFonts w:ascii="Times New Roman" w:hAnsi="Times New Roman"/>
              <w:szCs w:val="32"/>
            </w:rPr>
            <w:fldChar w:fldCharType="separate"/>
          </w:r>
          <w:r>
            <w:rPr>
              <w:rFonts w:hint="eastAsia"/>
              <w:bCs w:val="0"/>
            </w:rPr>
            <w:t>附件3 生态环境分区管控分析报告</w:t>
          </w:r>
          <w:r>
            <w:tab/>
          </w:r>
          <w:r>
            <w:fldChar w:fldCharType="begin"/>
          </w:r>
          <w:r>
            <w:instrText xml:space="preserve"> PAGEREF _Toc15172 \h </w:instrText>
          </w:r>
          <w:r>
            <w:fldChar w:fldCharType="separate"/>
          </w:r>
          <w:r>
            <w:t>101</w:t>
          </w:r>
          <w:r>
            <w:fldChar w:fldCharType="end"/>
          </w:r>
          <w:r>
            <w:rPr>
              <w:rFonts w:ascii="Times New Roman" w:hAnsi="Times New Roman"/>
              <w:szCs w:val="32"/>
            </w:rPr>
            <w:fldChar w:fldCharType="end"/>
          </w:r>
        </w:p>
        <w:p w14:paraId="7CB2C164">
          <w:pPr>
            <w:pStyle w:val="17"/>
            <w:tabs>
              <w:tab w:val="right" w:leader="dot" w:pos="8844"/>
            </w:tabs>
          </w:pPr>
          <w:r>
            <w:rPr>
              <w:rFonts w:ascii="Times New Roman" w:hAnsi="Times New Roman"/>
              <w:szCs w:val="32"/>
            </w:rPr>
            <w:fldChar w:fldCharType="begin"/>
          </w:r>
          <w:r>
            <w:rPr>
              <w:rFonts w:ascii="Times New Roman" w:hAnsi="Times New Roman"/>
              <w:szCs w:val="32"/>
            </w:rPr>
            <w:instrText xml:space="preserve"> HYPERLINK \l _Toc29291 </w:instrText>
          </w:r>
          <w:r>
            <w:rPr>
              <w:rFonts w:ascii="Times New Roman" w:hAnsi="Times New Roman"/>
              <w:szCs w:val="32"/>
            </w:rPr>
            <w:fldChar w:fldCharType="separate"/>
          </w:r>
          <w:r>
            <w:rPr>
              <w:rFonts w:hint="eastAsia"/>
              <w:bCs w:val="0"/>
            </w:rPr>
            <w:t>附件4 转让合同</w:t>
          </w:r>
          <w:r>
            <w:tab/>
          </w:r>
          <w:r>
            <w:fldChar w:fldCharType="begin"/>
          </w:r>
          <w:r>
            <w:instrText xml:space="preserve"> PAGEREF _Toc29291 \h </w:instrText>
          </w:r>
          <w:r>
            <w:fldChar w:fldCharType="separate"/>
          </w:r>
          <w:r>
            <w:t>107</w:t>
          </w:r>
          <w:r>
            <w:fldChar w:fldCharType="end"/>
          </w:r>
          <w:r>
            <w:rPr>
              <w:rFonts w:ascii="Times New Roman" w:hAnsi="Times New Roman"/>
              <w:szCs w:val="32"/>
            </w:rPr>
            <w:fldChar w:fldCharType="end"/>
          </w:r>
        </w:p>
        <w:p w14:paraId="2E7BCC8C">
          <w:pPr>
            <w:pStyle w:val="21"/>
            <w:ind w:firstLine="480"/>
            <w:jc w:val="center"/>
            <w:rPr>
              <w:rFonts w:ascii="Times New Roman" w:hAnsi="Times New Roman"/>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r>
            <w:rPr>
              <w:rFonts w:ascii="Times New Roman" w:hAnsi="Times New Roman"/>
              <w:szCs w:val="32"/>
            </w:rPr>
            <w:fldChar w:fldCharType="end"/>
          </w:r>
        </w:p>
      </w:sdtContent>
    </w:sdt>
    <w:p w14:paraId="5E62F185">
      <w:pPr>
        <w:pStyle w:val="21"/>
        <w:ind w:firstLine="0" w:firstLineChars="0"/>
        <w:jc w:val="center"/>
        <w:outlineLvl w:val="0"/>
        <w:rPr>
          <w:rFonts w:ascii="Times New Roman" w:hAnsi="Times New Roman" w:eastAsia="黑体"/>
          <w:snapToGrid w:val="0"/>
          <w:sz w:val="30"/>
          <w:szCs w:val="30"/>
        </w:rPr>
      </w:pPr>
      <w:bookmarkStart w:id="8" w:name="_Toc22368"/>
      <w:r>
        <w:rPr>
          <w:rFonts w:ascii="Times New Roman" w:hAnsi="Times New Roman" w:eastAsia="黑体"/>
          <w:snapToGrid w:val="0"/>
          <w:sz w:val="30"/>
          <w:szCs w:val="30"/>
        </w:rPr>
        <w:t>一、建设项目基本情况</w:t>
      </w:r>
      <w:bookmarkEnd w:id="8"/>
    </w:p>
    <w:tbl>
      <w:tblPr>
        <w:tblStyle w:val="25"/>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51"/>
        <w:gridCol w:w="2618"/>
        <w:gridCol w:w="2218"/>
        <w:gridCol w:w="10"/>
        <w:gridCol w:w="2542"/>
      </w:tblGrid>
      <w:tr w14:paraId="65F839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651" w:type="dxa"/>
            <w:tcMar>
              <w:top w:w="16" w:type="dxa"/>
              <w:left w:w="16" w:type="dxa"/>
              <w:right w:w="16" w:type="dxa"/>
            </w:tcMar>
            <w:vAlign w:val="center"/>
          </w:tcPr>
          <w:p w14:paraId="14D87348">
            <w:pPr>
              <w:adjustRightInd w:val="0"/>
              <w:snapToGrid w:val="0"/>
              <w:ind w:firstLine="0" w:firstLineChars="0"/>
              <w:jc w:val="center"/>
            </w:pPr>
            <w:r>
              <w:t>建设项目名称</w:t>
            </w:r>
          </w:p>
        </w:tc>
        <w:tc>
          <w:tcPr>
            <w:tcW w:w="7388" w:type="dxa"/>
            <w:gridSpan w:val="4"/>
            <w:vAlign w:val="center"/>
          </w:tcPr>
          <w:p w14:paraId="4ECB3D37">
            <w:pPr>
              <w:adjustRightInd w:val="0"/>
              <w:snapToGrid w:val="0"/>
              <w:ind w:firstLine="0" w:firstLineChars="0"/>
              <w:jc w:val="center"/>
            </w:pPr>
            <w:r>
              <w:t>黑龙江省中国石油福利屯油库铁路专用线大修工程</w:t>
            </w:r>
          </w:p>
        </w:tc>
      </w:tr>
      <w:tr w14:paraId="41F13B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51" w:type="dxa"/>
            <w:tcMar>
              <w:top w:w="16" w:type="dxa"/>
              <w:left w:w="16" w:type="dxa"/>
              <w:right w:w="16" w:type="dxa"/>
            </w:tcMar>
            <w:vAlign w:val="center"/>
          </w:tcPr>
          <w:p w14:paraId="7EBC16E4">
            <w:pPr>
              <w:adjustRightInd w:val="0"/>
              <w:snapToGrid w:val="0"/>
              <w:ind w:firstLine="0" w:firstLineChars="0"/>
              <w:jc w:val="center"/>
            </w:pPr>
            <w:r>
              <w:t>项目代码</w:t>
            </w:r>
          </w:p>
        </w:tc>
        <w:tc>
          <w:tcPr>
            <w:tcW w:w="7388" w:type="dxa"/>
            <w:gridSpan w:val="4"/>
            <w:vAlign w:val="center"/>
          </w:tcPr>
          <w:p w14:paraId="10C71EB2">
            <w:pPr>
              <w:adjustRightInd w:val="0"/>
              <w:snapToGrid w:val="0"/>
              <w:ind w:firstLine="0" w:firstLineChars="0"/>
              <w:jc w:val="center"/>
            </w:pPr>
            <w:r>
              <w:t>无</w:t>
            </w:r>
          </w:p>
        </w:tc>
      </w:tr>
      <w:tr w14:paraId="40FB37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651" w:type="dxa"/>
            <w:tcMar>
              <w:top w:w="16" w:type="dxa"/>
              <w:left w:w="16" w:type="dxa"/>
              <w:right w:w="16" w:type="dxa"/>
            </w:tcMar>
            <w:vAlign w:val="center"/>
          </w:tcPr>
          <w:p w14:paraId="5E84771D">
            <w:pPr>
              <w:adjustRightInd w:val="0"/>
              <w:snapToGrid w:val="0"/>
              <w:ind w:firstLine="0" w:firstLineChars="0"/>
              <w:jc w:val="center"/>
            </w:pPr>
            <w:r>
              <w:t>建设单位联系人</w:t>
            </w:r>
          </w:p>
        </w:tc>
        <w:tc>
          <w:tcPr>
            <w:tcW w:w="2618" w:type="dxa"/>
            <w:vAlign w:val="center"/>
          </w:tcPr>
          <w:p w14:paraId="1ADA76AB">
            <w:pPr>
              <w:adjustRightInd w:val="0"/>
              <w:snapToGrid w:val="0"/>
              <w:ind w:firstLine="0" w:firstLineChars="0"/>
              <w:jc w:val="center"/>
            </w:pPr>
            <w:r>
              <w:rPr>
                <w:rFonts w:hint="eastAsia"/>
              </w:rPr>
              <w:t>吴跃军</w:t>
            </w:r>
          </w:p>
        </w:tc>
        <w:tc>
          <w:tcPr>
            <w:tcW w:w="2228" w:type="dxa"/>
            <w:gridSpan w:val="2"/>
            <w:vAlign w:val="center"/>
          </w:tcPr>
          <w:p w14:paraId="4A073D83">
            <w:pPr>
              <w:adjustRightInd w:val="0"/>
              <w:snapToGrid w:val="0"/>
              <w:ind w:firstLine="0" w:firstLineChars="0"/>
              <w:jc w:val="center"/>
            </w:pPr>
            <w:r>
              <w:t>联系方式</w:t>
            </w:r>
          </w:p>
        </w:tc>
        <w:tc>
          <w:tcPr>
            <w:tcW w:w="2542" w:type="dxa"/>
            <w:vAlign w:val="center"/>
          </w:tcPr>
          <w:p w14:paraId="12CF97B2">
            <w:pPr>
              <w:adjustRightInd w:val="0"/>
              <w:snapToGrid w:val="0"/>
              <w:ind w:firstLine="0" w:firstLineChars="0"/>
              <w:jc w:val="center"/>
              <w:rPr>
                <w:highlight w:val="yellow"/>
              </w:rPr>
            </w:pPr>
            <w:r>
              <w:t>18745407788</w:t>
            </w:r>
          </w:p>
        </w:tc>
      </w:tr>
      <w:tr w14:paraId="34F2C9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651" w:type="dxa"/>
            <w:tcMar>
              <w:top w:w="16" w:type="dxa"/>
              <w:left w:w="16" w:type="dxa"/>
              <w:right w:w="16" w:type="dxa"/>
            </w:tcMar>
            <w:vAlign w:val="center"/>
          </w:tcPr>
          <w:p w14:paraId="00918BD5">
            <w:pPr>
              <w:adjustRightInd w:val="0"/>
              <w:snapToGrid w:val="0"/>
              <w:ind w:firstLine="0" w:firstLineChars="0"/>
              <w:jc w:val="center"/>
            </w:pPr>
            <w:r>
              <w:t>建设地点</w:t>
            </w:r>
          </w:p>
        </w:tc>
        <w:tc>
          <w:tcPr>
            <w:tcW w:w="7388" w:type="dxa"/>
            <w:gridSpan w:val="4"/>
            <w:vAlign w:val="center"/>
          </w:tcPr>
          <w:p w14:paraId="6AAE1F47">
            <w:pPr>
              <w:adjustRightInd w:val="0"/>
              <w:snapToGrid w:val="0"/>
              <w:ind w:firstLine="0" w:firstLineChars="0"/>
              <w:jc w:val="center"/>
            </w:pPr>
            <w:r>
              <w:t>黑龙江省双鸭山市</w:t>
            </w:r>
            <w:r>
              <w:rPr>
                <w:rFonts w:hint="eastAsia"/>
              </w:rPr>
              <w:t>集贤县福利屯</w:t>
            </w:r>
          </w:p>
        </w:tc>
      </w:tr>
      <w:tr w14:paraId="3C8752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51" w:type="dxa"/>
            <w:tcMar>
              <w:top w:w="16" w:type="dxa"/>
              <w:left w:w="16" w:type="dxa"/>
              <w:right w:w="16" w:type="dxa"/>
            </w:tcMar>
            <w:vAlign w:val="center"/>
          </w:tcPr>
          <w:p w14:paraId="61339435">
            <w:pPr>
              <w:adjustRightInd w:val="0"/>
              <w:snapToGrid w:val="0"/>
              <w:ind w:firstLine="0" w:firstLineChars="0"/>
              <w:jc w:val="center"/>
            </w:pPr>
            <w:r>
              <w:t>地理坐标</w:t>
            </w:r>
          </w:p>
        </w:tc>
        <w:tc>
          <w:tcPr>
            <w:tcW w:w="7388" w:type="dxa"/>
            <w:gridSpan w:val="4"/>
            <w:vAlign w:val="center"/>
          </w:tcPr>
          <w:p w14:paraId="12C9A8F2">
            <w:pPr>
              <w:spacing w:before="53" w:line="229" w:lineRule="auto"/>
              <w:ind w:firstLine="0" w:firstLineChars="0"/>
              <w:jc w:val="center"/>
              <w:rPr>
                <w:spacing w:val="-4"/>
              </w:rPr>
            </w:pPr>
            <w:r>
              <w:rPr>
                <w:rFonts w:hint="eastAsia"/>
                <w:spacing w:val="-7"/>
              </w:rPr>
              <w:t>起点</w:t>
            </w:r>
            <w:r>
              <w:rPr>
                <w:spacing w:val="-4"/>
              </w:rPr>
              <w:t>：</w:t>
            </w:r>
            <w:r>
              <w:rPr>
                <w:rFonts w:hint="eastAsia"/>
                <w:spacing w:val="-4"/>
              </w:rPr>
              <w:t>（</w:t>
            </w:r>
            <w:r>
              <w:rPr>
                <w:spacing w:val="-4"/>
              </w:rPr>
              <w:t>131°6′38.661″，46°42′59.29</w:t>
            </w:r>
            <w:r>
              <w:rPr>
                <w:rFonts w:hint="eastAsia"/>
                <w:spacing w:val="-4"/>
              </w:rPr>
              <w:t>6</w:t>
            </w:r>
            <w:r>
              <w:rPr>
                <w:spacing w:val="-4"/>
              </w:rPr>
              <w:t>″）</w:t>
            </w:r>
          </w:p>
          <w:p w14:paraId="5D6310C6">
            <w:pPr>
              <w:ind w:firstLine="0" w:firstLineChars="0"/>
              <w:jc w:val="center"/>
            </w:pPr>
            <w:r>
              <w:rPr>
                <w:rFonts w:hint="eastAsia"/>
              </w:rPr>
              <w:t>终点：</w:t>
            </w:r>
            <w:r>
              <w:t>（131°7′34.743″</w:t>
            </w:r>
            <w:r>
              <w:rPr>
                <w:rFonts w:hint="eastAsia"/>
              </w:rPr>
              <w:t>，</w:t>
            </w:r>
            <w:r>
              <w:t>46°43′10.651″）</w:t>
            </w:r>
          </w:p>
        </w:tc>
      </w:tr>
      <w:tr w14:paraId="2ABE03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651" w:type="dxa"/>
            <w:tcMar>
              <w:top w:w="16" w:type="dxa"/>
              <w:left w:w="16" w:type="dxa"/>
              <w:right w:w="16" w:type="dxa"/>
            </w:tcMar>
            <w:vAlign w:val="center"/>
          </w:tcPr>
          <w:p w14:paraId="2E87DD06">
            <w:pPr>
              <w:adjustRightInd w:val="0"/>
              <w:snapToGrid w:val="0"/>
              <w:ind w:firstLine="0" w:firstLineChars="0"/>
              <w:jc w:val="center"/>
            </w:pPr>
            <w:r>
              <w:t>建设项目</w:t>
            </w:r>
          </w:p>
          <w:p w14:paraId="2D370799">
            <w:pPr>
              <w:adjustRightInd w:val="0"/>
              <w:snapToGrid w:val="0"/>
              <w:ind w:firstLine="0" w:firstLineChars="0"/>
              <w:jc w:val="center"/>
            </w:pPr>
            <w:r>
              <w:t>行业类别</w:t>
            </w:r>
          </w:p>
        </w:tc>
        <w:tc>
          <w:tcPr>
            <w:tcW w:w="2618" w:type="dxa"/>
            <w:vAlign w:val="center"/>
          </w:tcPr>
          <w:p w14:paraId="332B38F2">
            <w:pPr>
              <w:adjustRightInd w:val="0"/>
              <w:snapToGrid w:val="0"/>
              <w:ind w:firstLine="0" w:firstLineChars="0"/>
              <w:jc w:val="center"/>
            </w:pPr>
            <w:r>
              <w:rPr>
                <w:rFonts w:hint="eastAsia"/>
              </w:rPr>
              <w:t>五十二、交通运输业、管道运输业 133改建铁路</w:t>
            </w:r>
          </w:p>
        </w:tc>
        <w:tc>
          <w:tcPr>
            <w:tcW w:w="2218" w:type="dxa"/>
            <w:vAlign w:val="center"/>
          </w:tcPr>
          <w:p w14:paraId="1C3476E1">
            <w:pPr>
              <w:adjustRightInd w:val="0"/>
              <w:snapToGrid w:val="0"/>
              <w:ind w:firstLine="0" w:firstLineChars="0"/>
              <w:jc w:val="center"/>
            </w:pPr>
            <w:r>
              <w:t>用地（用海）面积（m</w:t>
            </w:r>
            <w:r>
              <w:rPr>
                <w:vertAlign w:val="superscript"/>
              </w:rPr>
              <w:t>2</w:t>
            </w:r>
            <w:r>
              <w:t>）/长度（km）</w:t>
            </w:r>
          </w:p>
        </w:tc>
        <w:tc>
          <w:tcPr>
            <w:tcW w:w="2552" w:type="dxa"/>
            <w:gridSpan w:val="2"/>
            <w:vAlign w:val="center"/>
          </w:tcPr>
          <w:p w14:paraId="7F0FAD3F">
            <w:pPr>
              <w:pStyle w:val="40"/>
              <w:rPr>
                <w:rFonts w:hint="default" w:ascii="Times New Roman" w:cs="Times New Roman"/>
                <w:color w:val="auto"/>
                <w:lang w:val="en-US" w:eastAsia="zh-CN"/>
              </w:rPr>
            </w:pPr>
            <w:r>
              <w:rPr>
                <w:rFonts w:hint="eastAsia" w:ascii="Times New Roman" w:cs="Times New Roman"/>
                <w:color w:val="auto"/>
                <w:lang w:val="en-US" w:eastAsia="zh-CN"/>
              </w:rPr>
              <w:t>永久占地利旧</w:t>
            </w:r>
          </w:p>
          <w:p w14:paraId="23C15CD9">
            <w:pPr>
              <w:pStyle w:val="40"/>
              <w:rPr>
                <w:rFonts w:ascii="Times New Roman" w:cs="Times New Roman"/>
              </w:rPr>
            </w:pPr>
            <w:r>
              <w:rPr>
                <w:rFonts w:hint="eastAsia" w:ascii="Times New Roman" w:cs="Times New Roman"/>
                <w:lang w:val="en-US" w:eastAsia="zh-CN"/>
              </w:rPr>
              <w:t>临时</w:t>
            </w:r>
            <w:r>
              <w:rPr>
                <w:rFonts w:hint="eastAsia" w:ascii="Times New Roman" w:cs="Times New Roman"/>
              </w:rPr>
              <w:t>占地：19267m</w:t>
            </w:r>
            <w:r>
              <w:rPr>
                <w:rFonts w:hint="eastAsia" w:ascii="Times New Roman" w:cs="Times New Roman"/>
                <w:vertAlign w:val="superscript"/>
              </w:rPr>
              <w:t>2</w:t>
            </w:r>
            <w:r>
              <w:rPr>
                <w:rFonts w:hint="eastAsia" w:ascii="Times New Roman" w:cs="Times New Roman"/>
              </w:rPr>
              <w:t>/</w:t>
            </w:r>
          </w:p>
          <w:p w14:paraId="4C13B2C5">
            <w:pPr>
              <w:pStyle w:val="40"/>
              <w:rPr>
                <w:rFonts w:ascii="Times New Roman" w:cs="Times New Roman"/>
              </w:rPr>
            </w:pPr>
            <w:r>
              <w:rPr>
                <w:rFonts w:hint="eastAsia" w:ascii="Times New Roman" w:cs="Times New Roman"/>
              </w:rPr>
              <w:t>长度：1.038km</w:t>
            </w:r>
          </w:p>
        </w:tc>
      </w:tr>
      <w:tr w14:paraId="78BD24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651" w:type="dxa"/>
            <w:tcMar>
              <w:top w:w="16" w:type="dxa"/>
              <w:left w:w="16" w:type="dxa"/>
              <w:right w:w="16" w:type="dxa"/>
            </w:tcMar>
            <w:vAlign w:val="center"/>
          </w:tcPr>
          <w:p w14:paraId="5695B6CC">
            <w:pPr>
              <w:adjustRightInd w:val="0"/>
              <w:snapToGrid w:val="0"/>
              <w:ind w:firstLine="0" w:firstLineChars="0"/>
              <w:jc w:val="center"/>
            </w:pPr>
            <w:r>
              <w:t>建设性质</w:t>
            </w:r>
          </w:p>
        </w:tc>
        <w:tc>
          <w:tcPr>
            <w:tcW w:w="2618" w:type="dxa"/>
            <w:vAlign w:val="center"/>
          </w:tcPr>
          <w:p w14:paraId="4892A047">
            <w:pPr>
              <w:adjustRightInd w:val="0"/>
              <w:snapToGrid w:val="0"/>
              <w:ind w:firstLine="0" w:firstLineChars="0"/>
              <w:jc w:val="left"/>
            </w:pPr>
            <w:r>
              <w:rPr>
                <w:rFonts w:hint="eastAsia"/>
              </w:rPr>
              <w:t>□</w:t>
            </w:r>
            <w:r>
              <w:t>新建（迁建）</w:t>
            </w:r>
          </w:p>
          <w:p w14:paraId="3C1B9A69">
            <w:pPr>
              <w:adjustRightInd w:val="0"/>
              <w:snapToGrid w:val="0"/>
              <w:ind w:firstLine="0" w:firstLineChars="0"/>
              <w:jc w:val="left"/>
            </w:pPr>
            <w:r>
              <w:t>☑改建</w:t>
            </w:r>
          </w:p>
          <w:p w14:paraId="09FF8717">
            <w:pPr>
              <w:adjustRightInd w:val="0"/>
              <w:snapToGrid w:val="0"/>
              <w:ind w:firstLine="0" w:firstLineChars="0"/>
              <w:jc w:val="left"/>
            </w:pPr>
            <w:r>
              <w:rPr>
                <w:rFonts w:hint="eastAsia"/>
              </w:rPr>
              <w:t>□</w:t>
            </w:r>
            <w:r>
              <w:t>扩建</w:t>
            </w:r>
          </w:p>
          <w:p w14:paraId="2AEE21C6">
            <w:pPr>
              <w:adjustRightInd w:val="0"/>
              <w:snapToGrid w:val="0"/>
              <w:ind w:firstLine="0" w:firstLineChars="0"/>
              <w:jc w:val="left"/>
            </w:pPr>
            <w:r>
              <w:rPr>
                <w:rFonts w:hint="eastAsia"/>
              </w:rPr>
              <w:t>□</w:t>
            </w:r>
            <w:r>
              <w:t>技术改造</w:t>
            </w:r>
          </w:p>
        </w:tc>
        <w:tc>
          <w:tcPr>
            <w:tcW w:w="2218" w:type="dxa"/>
            <w:vAlign w:val="center"/>
          </w:tcPr>
          <w:p w14:paraId="0C92670C">
            <w:pPr>
              <w:adjustRightInd w:val="0"/>
              <w:snapToGrid w:val="0"/>
              <w:ind w:firstLine="0" w:firstLineChars="0"/>
              <w:jc w:val="center"/>
            </w:pPr>
            <w:r>
              <w:t>建设项目</w:t>
            </w:r>
          </w:p>
          <w:p w14:paraId="67880116">
            <w:pPr>
              <w:adjustRightInd w:val="0"/>
              <w:snapToGrid w:val="0"/>
              <w:ind w:firstLine="0" w:firstLineChars="0"/>
              <w:jc w:val="center"/>
            </w:pPr>
            <w:r>
              <w:t>申报情形</w:t>
            </w:r>
          </w:p>
        </w:tc>
        <w:tc>
          <w:tcPr>
            <w:tcW w:w="2552" w:type="dxa"/>
            <w:gridSpan w:val="2"/>
            <w:vAlign w:val="center"/>
          </w:tcPr>
          <w:p w14:paraId="679E9F01">
            <w:pPr>
              <w:adjustRightInd w:val="0"/>
              <w:snapToGrid w:val="0"/>
              <w:ind w:firstLine="0" w:firstLineChars="0"/>
              <w:jc w:val="left"/>
            </w:pPr>
            <w:r>
              <w:rPr>
                <w:rFonts w:hint="eastAsia"/>
              </w:rPr>
              <w:t>☑</w:t>
            </w:r>
            <w:r>
              <w:t>首次申报项目</w:t>
            </w:r>
          </w:p>
          <w:p w14:paraId="4B46C66D">
            <w:pPr>
              <w:adjustRightInd w:val="0"/>
              <w:snapToGrid w:val="0"/>
              <w:ind w:firstLine="0" w:firstLineChars="0"/>
              <w:jc w:val="left"/>
            </w:pPr>
            <w:r>
              <w:t>□不予批准后再次申报项目</w:t>
            </w:r>
          </w:p>
          <w:p w14:paraId="75370E00">
            <w:pPr>
              <w:adjustRightInd w:val="0"/>
              <w:snapToGrid w:val="0"/>
              <w:ind w:firstLine="0" w:firstLineChars="0"/>
              <w:jc w:val="left"/>
            </w:pPr>
            <w:r>
              <w:t>□超五年重新审核项目</w:t>
            </w:r>
          </w:p>
          <w:p w14:paraId="5C20FE00">
            <w:pPr>
              <w:adjustRightInd w:val="0"/>
              <w:snapToGrid w:val="0"/>
              <w:ind w:firstLine="0" w:firstLineChars="0"/>
            </w:pPr>
            <w:r>
              <w:rPr>
                <w:rFonts w:hint="eastAsia"/>
              </w:rPr>
              <w:t>□</w:t>
            </w:r>
            <w:r>
              <w:t>重大变动重新报批项目</w:t>
            </w:r>
          </w:p>
        </w:tc>
      </w:tr>
      <w:tr w14:paraId="214030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651" w:type="dxa"/>
            <w:tcMar>
              <w:top w:w="16" w:type="dxa"/>
              <w:left w:w="16" w:type="dxa"/>
              <w:right w:w="16" w:type="dxa"/>
            </w:tcMar>
            <w:vAlign w:val="center"/>
          </w:tcPr>
          <w:p w14:paraId="0B27C505">
            <w:pPr>
              <w:adjustRightInd w:val="0"/>
              <w:snapToGrid w:val="0"/>
              <w:ind w:firstLine="0" w:firstLineChars="0"/>
              <w:jc w:val="center"/>
            </w:pPr>
            <w:r>
              <w:t>项目审批（核准/</w:t>
            </w:r>
          </w:p>
          <w:p w14:paraId="0FBE1946">
            <w:pPr>
              <w:adjustRightInd w:val="0"/>
              <w:snapToGrid w:val="0"/>
              <w:ind w:firstLine="0" w:firstLineChars="0"/>
              <w:jc w:val="center"/>
            </w:pPr>
            <w:r>
              <w:t>备案）部门（选填）</w:t>
            </w:r>
          </w:p>
        </w:tc>
        <w:tc>
          <w:tcPr>
            <w:tcW w:w="2618" w:type="dxa"/>
            <w:vAlign w:val="center"/>
          </w:tcPr>
          <w:p w14:paraId="0ADC5EB6">
            <w:pPr>
              <w:adjustRightInd w:val="0"/>
              <w:snapToGrid w:val="0"/>
              <w:ind w:firstLine="0" w:firstLineChars="0"/>
              <w:jc w:val="center"/>
            </w:pPr>
            <w:r>
              <w:t>/</w:t>
            </w:r>
          </w:p>
        </w:tc>
        <w:tc>
          <w:tcPr>
            <w:tcW w:w="2218" w:type="dxa"/>
            <w:vAlign w:val="center"/>
          </w:tcPr>
          <w:p w14:paraId="432A1C25">
            <w:pPr>
              <w:adjustRightInd w:val="0"/>
              <w:snapToGrid w:val="0"/>
              <w:ind w:firstLine="0" w:firstLineChars="0"/>
              <w:jc w:val="center"/>
            </w:pPr>
            <w:r>
              <w:t>项目审批（核准/</w:t>
            </w:r>
          </w:p>
          <w:p w14:paraId="4186A1D7">
            <w:pPr>
              <w:adjustRightInd w:val="0"/>
              <w:snapToGrid w:val="0"/>
              <w:ind w:firstLine="0" w:firstLineChars="0"/>
              <w:jc w:val="center"/>
            </w:pPr>
            <w:r>
              <w:t>备案）文号（选填）</w:t>
            </w:r>
          </w:p>
        </w:tc>
        <w:tc>
          <w:tcPr>
            <w:tcW w:w="2552" w:type="dxa"/>
            <w:gridSpan w:val="2"/>
            <w:vAlign w:val="center"/>
          </w:tcPr>
          <w:p w14:paraId="64FB8C3F">
            <w:pPr>
              <w:adjustRightInd w:val="0"/>
              <w:snapToGrid w:val="0"/>
              <w:ind w:firstLine="0" w:firstLineChars="0"/>
              <w:jc w:val="center"/>
            </w:pPr>
            <w:r>
              <w:t>/</w:t>
            </w:r>
          </w:p>
        </w:tc>
      </w:tr>
      <w:tr w14:paraId="395798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51" w:type="dxa"/>
            <w:tcMar>
              <w:top w:w="16" w:type="dxa"/>
              <w:left w:w="16" w:type="dxa"/>
              <w:right w:w="16" w:type="dxa"/>
            </w:tcMar>
            <w:vAlign w:val="center"/>
          </w:tcPr>
          <w:p w14:paraId="36878ED2">
            <w:pPr>
              <w:adjustRightInd w:val="0"/>
              <w:snapToGrid w:val="0"/>
              <w:ind w:firstLine="0" w:firstLineChars="0"/>
              <w:jc w:val="center"/>
            </w:pPr>
            <w:r>
              <w:t>总投资（万元）</w:t>
            </w:r>
          </w:p>
        </w:tc>
        <w:tc>
          <w:tcPr>
            <w:tcW w:w="2618" w:type="dxa"/>
            <w:vAlign w:val="center"/>
          </w:tcPr>
          <w:p w14:paraId="097ECF08">
            <w:pPr>
              <w:adjustRightInd w:val="0"/>
              <w:snapToGrid w:val="0"/>
              <w:ind w:firstLine="0" w:firstLineChars="0"/>
              <w:jc w:val="center"/>
            </w:pPr>
            <w:r>
              <w:rPr>
                <w:rFonts w:hint="eastAsia"/>
              </w:rPr>
              <w:t>800.72</w:t>
            </w:r>
          </w:p>
        </w:tc>
        <w:tc>
          <w:tcPr>
            <w:tcW w:w="2218" w:type="dxa"/>
            <w:tcMar>
              <w:top w:w="16" w:type="dxa"/>
              <w:left w:w="16" w:type="dxa"/>
              <w:right w:w="16" w:type="dxa"/>
            </w:tcMar>
            <w:vAlign w:val="center"/>
          </w:tcPr>
          <w:p w14:paraId="60D916FC">
            <w:pPr>
              <w:adjustRightInd w:val="0"/>
              <w:snapToGrid w:val="0"/>
              <w:ind w:firstLine="0" w:firstLineChars="0"/>
              <w:jc w:val="center"/>
            </w:pPr>
            <w:r>
              <w:t>环保投资（万元）</w:t>
            </w:r>
          </w:p>
        </w:tc>
        <w:tc>
          <w:tcPr>
            <w:tcW w:w="2552" w:type="dxa"/>
            <w:gridSpan w:val="2"/>
            <w:vAlign w:val="center"/>
          </w:tcPr>
          <w:p w14:paraId="03539A6A">
            <w:pPr>
              <w:adjustRightInd w:val="0"/>
              <w:snapToGrid w:val="0"/>
              <w:ind w:firstLine="0" w:firstLineChars="0"/>
              <w:jc w:val="center"/>
            </w:pPr>
            <w:r>
              <w:rPr>
                <w:rFonts w:hint="eastAsia"/>
              </w:rPr>
              <w:t>40.5</w:t>
            </w:r>
          </w:p>
        </w:tc>
      </w:tr>
      <w:tr w14:paraId="1CAFE4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651" w:type="dxa"/>
            <w:tcMar>
              <w:top w:w="16" w:type="dxa"/>
              <w:left w:w="16" w:type="dxa"/>
              <w:right w:w="16" w:type="dxa"/>
            </w:tcMar>
            <w:vAlign w:val="center"/>
          </w:tcPr>
          <w:p w14:paraId="707B4406">
            <w:pPr>
              <w:adjustRightInd w:val="0"/>
              <w:snapToGrid w:val="0"/>
              <w:ind w:firstLine="0" w:firstLineChars="0"/>
              <w:jc w:val="center"/>
            </w:pPr>
            <w:r>
              <w:t>环保投资占比（%）</w:t>
            </w:r>
          </w:p>
        </w:tc>
        <w:tc>
          <w:tcPr>
            <w:tcW w:w="2618" w:type="dxa"/>
            <w:vAlign w:val="center"/>
          </w:tcPr>
          <w:p w14:paraId="43EDA0E7">
            <w:pPr>
              <w:adjustRightInd w:val="0"/>
              <w:snapToGrid w:val="0"/>
              <w:ind w:firstLine="0" w:firstLineChars="0"/>
              <w:jc w:val="center"/>
            </w:pPr>
            <w:r>
              <w:rPr>
                <w:rFonts w:hint="eastAsia"/>
              </w:rPr>
              <w:t>5.06</w:t>
            </w:r>
          </w:p>
        </w:tc>
        <w:tc>
          <w:tcPr>
            <w:tcW w:w="2218" w:type="dxa"/>
            <w:tcMar>
              <w:top w:w="16" w:type="dxa"/>
              <w:left w:w="16" w:type="dxa"/>
              <w:right w:w="16" w:type="dxa"/>
            </w:tcMar>
            <w:vAlign w:val="center"/>
          </w:tcPr>
          <w:p w14:paraId="0E42882D">
            <w:pPr>
              <w:adjustRightInd w:val="0"/>
              <w:snapToGrid w:val="0"/>
              <w:ind w:firstLine="0" w:firstLineChars="0"/>
              <w:jc w:val="center"/>
            </w:pPr>
            <w:r>
              <w:t>施工工期</w:t>
            </w:r>
          </w:p>
        </w:tc>
        <w:tc>
          <w:tcPr>
            <w:tcW w:w="2552" w:type="dxa"/>
            <w:gridSpan w:val="2"/>
            <w:vAlign w:val="center"/>
          </w:tcPr>
          <w:p w14:paraId="296EDA0D">
            <w:pPr>
              <w:adjustRightInd w:val="0"/>
              <w:snapToGrid w:val="0"/>
              <w:ind w:firstLine="0" w:firstLineChars="0"/>
              <w:jc w:val="center"/>
            </w:pPr>
            <w:r>
              <w:t>202</w:t>
            </w:r>
            <w:r>
              <w:rPr>
                <w:rFonts w:hint="eastAsia"/>
              </w:rPr>
              <w:t>5.5</w:t>
            </w:r>
            <w:r>
              <w:t>-202</w:t>
            </w:r>
            <w:r>
              <w:rPr>
                <w:rFonts w:hint="eastAsia"/>
              </w:rPr>
              <w:t>5</w:t>
            </w:r>
            <w:r>
              <w:t>.1</w:t>
            </w:r>
            <w:r>
              <w:rPr>
                <w:rFonts w:hint="eastAsia"/>
              </w:rPr>
              <w:t>0</w:t>
            </w:r>
          </w:p>
        </w:tc>
      </w:tr>
      <w:tr w14:paraId="1A8F5A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651" w:type="dxa"/>
            <w:tcMar>
              <w:top w:w="16" w:type="dxa"/>
              <w:left w:w="16" w:type="dxa"/>
              <w:right w:w="16" w:type="dxa"/>
            </w:tcMar>
            <w:vAlign w:val="center"/>
          </w:tcPr>
          <w:p w14:paraId="22EE9837">
            <w:pPr>
              <w:adjustRightInd w:val="0"/>
              <w:snapToGrid w:val="0"/>
              <w:ind w:firstLine="0" w:firstLineChars="0"/>
              <w:jc w:val="center"/>
            </w:pPr>
            <w:r>
              <w:t>是否开工建设</w:t>
            </w:r>
          </w:p>
        </w:tc>
        <w:tc>
          <w:tcPr>
            <w:tcW w:w="7388" w:type="dxa"/>
            <w:gridSpan w:val="4"/>
            <w:vAlign w:val="center"/>
          </w:tcPr>
          <w:p w14:paraId="36524555">
            <w:pPr>
              <w:adjustRightInd w:val="0"/>
              <w:snapToGrid w:val="0"/>
              <w:ind w:firstLine="0" w:firstLineChars="0"/>
              <w:jc w:val="left"/>
            </w:pPr>
            <w:r>
              <w:rPr>
                <w:rFonts w:hint="eastAsia"/>
              </w:rPr>
              <w:t>☑</w:t>
            </w:r>
            <w:r>
              <w:t>否</w:t>
            </w:r>
          </w:p>
          <w:p w14:paraId="0D3A8F12">
            <w:pPr>
              <w:adjustRightInd w:val="0"/>
              <w:snapToGrid w:val="0"/>
              <w:ind w:firstLine="0" w:firstLineChars="0"/>
              <w:jc w:val="left"/>
            </w:pPr>
            <w:r>
              <w:rPr>
                <w:rFonts w:hint="eastAsia"/>
              </w:rPr>
              <w:t>□</w:t>
            </w:r>
            <w:r>
              <w:t>是</w:t>
            </w:r>
          </w:p>
        </w:tc>
      </w:tr>
      <w:tr w14:paraId="3810F7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5" w:hRule="atLeast"/>
        </w:trPr>
        <w:tc>
          <w:tcPr>
            <w:tcW w:w="1651" w:type="dxa"/>
            <w:tcMar>
              <w:top w:w="16" w:type="dxa"/>
              <w:left w:w="16" w:type="dxa"/>
              <w:right w:w="16" w:type="dxa"/>
            </w:tcMar>
            <w:vAlign w:val="center"/>
          </w:tcPr>
          <w:p w14:paraId="087EFE51">
            <w:pPr>
              <w:autoSpaceDE w:val="0"/>
              <w:autoSpaceDN w:val="0"/>
              <w:adjustRightInd w:val="0"/>
              <w:snapToGrid w:val="0"/>
              <w:ind w:firstLine="0" w:firstLineChars="0"/>
              <w:jc w:val="center"/>
              <w:rPr>
                <w:kern w:val="0"/>
              </w:rPr>
            </w:pPr>
            <w:r>
              <w:rPr>
                <w:kern w:val="0"/>
              </w:rPr>
              <w:t>专项评价设置情况</w:t>
            </w:r>
          </w:p>
        </w:tc>
        <w:tc>
          <w:tcPr>
            <w:tcW w:w="7388" w:type="dxa"/>
            <w:gridSpan w:val="4"/>
            <w:tcMar>
              <w:top w:w="16" w:type="dxa"/>
              <w:left w:w="16" w:type="dxa"/>
              <w:right w:w="16" w:type="dxa"/>
            </w:tcMar>
            <w:vAlign w:val="center"/>
          </w:tcPr>
          <w:p w14:paraId="0AEF2F7D">
            <w:pPr>
              <w:ind w:firstLine="480"/>
              <w:rPr>
                <w:color w:val="000000"/>
                <w:kern w:val="0"/>
              </w:rPr>
            </w:pPr>
            <w:r>
              <w:t>根据《建设项目环境影响评价报告表编制技术指南（生态影响类）》（试行）中表1专项评价设置原则表，详见下表。</w:t>
            </w:r>
          </w:p>
          <w:p w14:paraId="14FD7B85">
            <w:pPr>
              <w:pStyle w:val="33"/>
            </w:pPr>
            <w:r>
              <w:t>表1-1 专项评价设置原则表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1"/>
              <w:gridCol w:w="5324"/>
              <w:gridCol w:w="937"/>
            </w:tblGrid>
            <w:tr w14:paraId="58C5B1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42" w:type="pct"/>
                  <w:tcBorders>
                    <w:tl2br w:val="nil"/>
                    <w:tr2bl w:val="nil"/>
                  </w:tcBorders>
                  <w:vAlign w:val="center"/>
                </w:tcPr>
                <w:p w14:paraId="5B785E21">
                  <w:pPr>
                    <w:pStyle w:val="30"/>
                  </w:pPr>
                  <w:r>
                    <w:t>专项评价的类别</w:t>
                  </w:r>
                </w:p>
              </w:tc>
              <w:tc>
                <w:tcPr>
                  <w:tcW w:w="3620" w:type="pct"/>
                  <w:tcBorders>
                    <w:tl2br w:val="nil"/>
                    <w:tr2bl w:val="nil"/>
                  </w:tcBorders>
                  <w:vAlign w:val="center"/>
                </w:tcPr>
                <w:p w14:paraId="33BFF666">
                  <w:pPr>
                    <w:pStyle w:val="30"/>
                  </w:pPr>
                  <w:r>
                    <w:t>涉及项目类别</w:t>
                  </w:r>
                </w:p>
              </w:tc>
              <w:tc>
                <w:tcPr>
                  <w:tcW w:w="637" w:type="pct"/>
                  <w:tcBorders>
                    <w:tl2br w:val="nil"/>
                    <w:tr2bl w:val="nil"/>
                  </w:tcBorders>
                  <w:vAlign w:val="center"/>
                </w:tcPr>
                <w:p w14:paraId="665C7BCC">
                  <w:pPr>
                    <w:pStyle w:val="30"/>
                  </w:pPr>
                  <w:r>
                    <w:t>本项目</w:t>
                  </w:r>
                </w:p>
                <w:p w14:paraId="05062BA9">
                  <w:pPr>
                    <w:pStyle w:val="30"/>
                  </w:pPr>
                  <w:r>
                    <w:t>涉及内容</w:t>
                  </w:r>
                </w:p>
              </w:tc>
            </w:tr>
            <w:tr w14:paraId="4205EC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3" w:hRule="atLeast"/>
                <w:jc w:val="center"/>
              </w:trPr>
              <w:tc>
                <w:tcPr>
                  <w:tcW w:w="742" w:type="pct"/>
                  <w:tcBorders>
                    <w:tl2br w:val="nil"/>
                    <w:tr2bl w:val="nil"/>
                  </w:tcBorders>
                  <w:vAlign w:val="center"/>
                </w:tcPr>
                <w:p w14:paraId="33285A49">
                  <w:pPr>
                    <w:pStyle w:val="30"/>
                  </w:pPr>
                  <w:r>
                    <w:t>地表水</w:t>
                  </w:r>
                </w:p>
              </w:tc>
              <w:tc>
                <w:tcPr>
                  <w:tcW w:w="3620" w:type="pct"/>
                  <w:tcBorders>
                    <w:tl2br w:val="nil"/>
                    <w:tr2bl w:val="nil"/>
                  </w:tcBorders>
                  <w:vAlign w:val="center"/>
                </w:tcPr>
                <w:p w14:paraId="2E1C7791">
                  <w:pPr>
                    <w:pStyle w:val="30"/>
                  </w:pPr>
                  <w:r>
                    <w:t>水力发电：引水式发电、涉及调峰发电的项目；人工湖、人工湿地：全部；</w:t>
                  </w:r>
                </w:p>
                <w:p w14:paraId="1523AF60">
                  <w:pPr>
                    <w:pStyle w:val="30"/>
                  </w:pPr>
                  <w:r>
                    <w:t>水库：全部；</w:t>
                  </w:r>
                </w:p>
                <w:p w14:paraId="150BA41C">
                  <w:pPr>
                    <w:pStyle w:val="30"/>
                  </w:pPr>
                  <w:r>
                    <w:t>引水工程：全部（配套的</w:t>
                  </w:r>
                  <w:r>
                    <w:rPr>
                      <w:rFonts w:hint="eastAsia"/>
                    </w:rPr>
                    <w:t>专用线</w:t>
                  </w:r>
                  <w:r>
                    <w:t>工程等除外）；防洪除涝工程：包含水库的项目；</w:t>
                  </w:r>
                </w:p>
                <w:p w14:paraId="7AA37C6B">
                  <w:pPr>
                    <w:pStyle w:val="30"/>
                  </w:pPr>
                  <w:r>
                    <w:t>河湖整治：涉及清淤且底泥存在重金属污染的项目</w:t>
                  </w:r>
                </w:p>
              </w:tc>
              <w:tc>
                <w:tcPr>
                  <w:tcW w:w="637" w:type="pct"/>
                  <w:tcBorders>
                    <w:tl2br w:val="nil"/>
                    <w:tr2bl w:val="nil"/>
                  </w:tcBorders>
                  <w:vAlign w:val="center"/>
                </w:tcPr>
                <w:p w14:paraId="6CE90230">
                  <w:pPr>
                    <w:pStyle w:val="30"/>
                  </w:pPr>
                  <w:r>
                    <w:t>不涉及</w:t>
                  </w:r>
                </w:p>
              </w:tc>
            </w:tr>
            <w:tr w14:paraId="336E6B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5" w:hRule="atLeast"/>
                <w:jc w:val="center"/>
              </w:trPr>
              <w:tc>
                <w:tcPr>
                  <w:tcW w:w="742" w:type="pct"/>
                  <w:tcBorders>
                    <w:tl2br w:val="nil"/>
                    <w:tr2bl w:val="nil"/>
                  </w:tcBorders>
                  <w:vAlign w:val="center"/>
                </w:tcPr>
                <w:p w14:paraId="7844C34A">
                  <w:pPr>
                    <w:pStyle w:val="30"/>
                  </w:pPr>
                  <w:r>
                    <w:t>地下水</w:t>
                  </w:r>
                </w:p>
              </w:tc>
              <w:tc>
                <w:tcPr>
                  <w:tcW w:w="3620" w:type="pct"/>
                  <w:tcBorders>
                    <w:tl2br w:val="nil"/>
                    <w:tr2bl w:val="nil"/>
                  </w:tcBorders>
                  <w:vAlign w:val="center"/>
                </w:tcPr>
                <w:p w14:paraId="0104D3A4">
                  <w:pPr>
                    <w:pStyle w:val="30"/>
                  </w:pPr>
                  <w:r>
                    <w:t>陆地石油和天然气开采：全部；</w:t>
                  </w:r>
                </w:p>
                <w:p w14:paraId="3137E178">
                  <w:pPr>
                    <w:pStyle w:val="30"/>
                  </w:pPr>
                  <w:r>
                    <w:t>地下水（含矿泉水）开采：全部；</w:t>
                  </w:r>
                </w:p>
                <w:p w14:paraId="47D1767C">
                  <w:pPr>
                    <w:pStyle w:val="30"/>
                  </w:pPr>
                  <w:r>
                    <w:t>水利、水电、交通等：含穿越可溶岩地层隧道的项目</w:t>
                  </w:r>
                </w:p>
              </w:tc>
              <w:tc>
                <w:tcPr>
                  <w:tcW w:w="637" w:type="pct"/>
                  <w:tcBorders>
                    <w:tl2br w:val="nil"/>
                    <w:tr2bl w:val="nil"/>
                  </w:tcBorders>
                  <w:vAlign w:val="center"/>
                </w:tcPr>
                <w:p w14:paraId="49BB59BC">
                  <w:pPr>
                    <w:pStyle w:val="30"/>
                  </w:pPr>
                  <w:r>
                    <w:t>不涉及</w:t>
                  </w:r>
                </w:p>
              </w:tc>
            </w:tr>
            <w:tr w14:paraId="15551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5" w:hRule="atLeast"/>
                <w:jc w:val="center"/>
              </w:trPr>
              <w:tc>
                <w:tcPr>
                  <w:tcW w:w="742" w:type="pct"/>
                  <w:tcBorders>
                    <w:tl2br w:val="nil"/>
                    <w:tr2bl w:val="nil"/>
                  </w:tcBorders>
                  <w:vAlign w:val="center"/>
                </w:tcPr>
                <w:p w14:paraId="2E31E24A">
                  <w:pPr>
                    <w:pStyle w:val="30"/>
                  </w:pPr>
                  <w:r>
                    <w:t>生态</w:t>
                  </w:r>
                </w:p>
              </w:tc>
              <w:tc>
                <w:tcPr>
                  <w:tcW w:w="3620" w:type="pct"/>
                  <w:tcBorders>
                    <w:tl2br w:val="nil"/>
                    <w:tr2bl w:val="nil"/>
                  </w:tcBorders>
                  <w:vAlign w:val="center"/>
                </w:tcPr>
                <w:p w14:paraId="4AC303C1">
                  <w:pPr>
                    <w:pStyle w:val="30"/>
                  </w:pPr>
                  <w:r>
                    <w:t>涉及环境敏感区（不包括饮用水水源保护区，以居住、医疗卫生、文化教育、科研、行政办公为主要功能的区域，以及文物保护单位）的项目</w:t>
                  </w:r>
                </w:p>
              </w:tc>
              <w:tc>
                <w:tcPr>
                  <w:tcW w:w="637" w:type="pct"/>
                  <w:tcBorders>
                    <w:tl2br w:val="nil"/>
                    <w:tr2bl w:val="nil"/>
                  </w:tcBorders>
                  <w:vAlign w:val="center"/>
                </w:tcPr>
                <w:p w14:paraId="3673D8E8">
                  <w:pPr>
                    <w:pStyle w:val="30"/>
                  </w:pPr>
                  <w:r>
                    <w:t>不涉及</w:t>
                  </w:r>
                </w:p>
              </w:tc>
            </w:tr>
            <w:tr w14:paraId="419A27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742" w:type="pct"/>
                  <w:tcBorders>
                    <w:tl2br w:val="nil"/>
                    <w:tr2bl w:val="nil"/>
                  </w:tcBorders>
                  <w:vAlign w:val="center"/>
                </w:tcPr>
                <w:p w14:paraId="7C1ED65A">
                  <w:pPr>
                    <w:pStyle w:val="30"/>
                  </w:pPr>
                  <w:r>
                    <w:t>大气</w:t>
                  </w:r>
                </w:p>
              </w:tc>
              <w:tc>
                <w:tcPr>
                  <w:tcW w:w="3620" w:type="pct"/>
                  <w:tcBorders>
                    <w:tl2br w:val="nil"/>
                    <w:tr2bl w:val="nil"/>
                  </w:tcBorders>
                  <w:vAlign w:val="center"/>
                </w:tcPr>
                <w:p w14:paraId="4612416B">
                  <w:pPr>
                    <w:pStyle w:val="30"/>
                  </w:pPr>
                  <w:r>
                    <w:t>油气、液体化工码头：全部；</w:t>
                  </w:r>
                </w:p>
                <w:p w14:paraId="45647020">
                  <w:pPr>
                    <w:pStyle w:val="30"/>
                  </w:pPr>
                  <w:r>
                    <w:t>干散货（含煤炭、矿石）、件杂、多用途、通用码头：涉及粉尘、挥发性有机物排放的项目</w:t>
                  </w:r>
                </w:p>
              </w:tc>
              <w:tc>
                <w:tcPr>
                  <w:tcW w:w="637" w:type="pct"/>
                  <w:tcBorders>
                    <w:tl2br w:val="nil"/>
                    <w:tr2bl w:val="nil"/>
                  </w:tcBorders>
                  <w:vAlign w:val="center"/>
                </w:tcPr>
                <w:p w14:paraId="392E55B1">
                  <w:pPr>
                    <w:pStyle w:val="30"/>
                  </w:pPr>
                  <w:r>
                    <w:t>不涉及</w:t>
                  </w:r>
                </w:p>
              </w:tc>
            </w:tr>
            <w:tr w14:paraId="12DB51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9" w:hRule="atLeast"/>
                <w:jc w:val="center"/>
              </w:trPr>
              <w:tc>
                <w:tcPr>
                  <w:tcW w:w="742" w:type="pct"/>
                  <w:tcBorders>
                    <w:tl2br w:val="nil"/>
                    <w:tr2bl w:val="nil"/>
                  </w:tcBorders>
                  <w:vAlign w:val="center"/>
                </w:tcPr>
                <w:p w14:paraId="51EABFFB">
                  <w:pPr>
                    <w:pStyle w:val="30"/>
                  </w:pPr>
                  <w:r>
                    <w:t>噪声</w:t>
                  </w:r>
                </w:p>
              </w:tc>
              <w:tc>
                <w:tcPr>
                  <w:tcW w:w="3620" w:type="pct"/>
                  <w:tcBorders>
                    <w:tl2br w:val="nil"/>
                    <w:tr2bl w:val="nil"/>
                  </w:tcBorders>
                  <w:vAlign w:val="center"/>
                </w:tcPr>
                <w:p w14:paraId="35D3CF89">
                  <w:pPr>
                    <w:pStyle w:val="30"/>
                  </w:pPr>
                  <w:r>
                    <w:t>公路、铁路、机场等交通运输业涉及环境敏感区（以居住、医疗卫生、文化教育、科研、行政办公为主要功能的区域）的项目；</w:t>
                  </w:r>
                </w:p>
                <w:p w14:paraId="19CD7BF6">
                  <w:pPr>
                    <w:pStyle w:val="30"/>
                  </w:pPr>
                  <w:r>
                    <w:t>城市道路（不含维护，不含支路、人行天桥、人行地道）：全部</w:t>
                  </w:r>
                </w:p>
              </w:tc>
              <w:tc>
                <w:tcPr>
                  <w:tcW w:w="637" w:type="pct"/>
                  <w:tcBorders>
                    <w:tl2br w:val="nil"/>
                    <w:tr2bl w:val="nil"/>
                  </w:tcBorders>
                  <w:vAlign w:val="center"/>
                </w:tcPr>
                <w:p w14:paraId="7B1940E3">
                  <w:pPr>
                    <w:pStyle w:val="30"/>
                  </w:pPr>
                  <w:r>
                    <w:rPr>
                      <w:rFonts w:hint="eastAsia"/>
                      <w:color w:val="auto"/>
                    </w:rPr>
                    <w:t>不</w:t>
                  </w:r>
                  <w:r>
                    <w:rPr>
                      <w:color w:val="auto"/>
                    </w:rPr>
                    <w:t>涉及</w:t>
                  </w:r>
                </w:p>
              </w:tc>
            </w:tr>
            <w:tr w14:paraId="1B028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9" w:hRule="atLeast"/>
                <w:jc w:val="center"/>
              </w:trPr>
              <w:tc>
                <w:tcPr>
                  <w:tcW w:w="742" w:type="pct"/>
                  <w:tcBorders>
                    <w:tl2br w:val="nil"/>
                    <w:tr2bl w:val="nil"/>
                  </w:tcBorders>
                  <w:vAlign w:val="center"/>
                </w:tcPr>
                <w:p w14:paraId="02CBEFF1">
                  <w:pPr>
                    <w:pStyle w:val="30"/>
                  </w:pPr>
                  <w:r>
                    <w:t>环境风险</w:t>
                  </w:r>
                </w:p>
              </w:tc>
              <w:tc>
                <w:tcPr>
                  <w:tcW w:w="3620" w:type="pct"/>
                  <w:tcBorders>
                    <w:tl2br w:val="nil"/>
                    <w:tr2bl w:val="nil"/>
                  </w:tcBorders>
                  <w:vAlign w:val="center"/>
                </w:tcPr>
                <w:p w14:paraId="64C09DA8">
                  <w:pPr>
                    <w:pStyle w:val="30"/>
                  </w:pPr>
                  <w:r>
                    <w:t>石油和天然气开采：全部；</w:t>
                  </w:r>
                </w:p>
                <w:p w14:paraId="4C6D1D36">
                  <w:pPr>
                    <w:pStyle w:val="30"/>
                  </w:pPr>
                  <w:r>
                    <w:t>油气、液体化工码头：全部；</w:t>
                  </w:r>
                </w:p>
                <w:p w14:paraId="11066FAB">
                  <w:pPr>
                    <w:pStyle w:val="30"/>
                  </w:pPr>
                  <w:r>
                    <w:t>原油、成品油、天然气</w:t>
                  </w:r>
                  <w:r>
                    <w:rPr>
                      <w:rFonts w:hint="eastAsia"/>
                    </w:rPr>
                    <w:t>专用线</w:t>
                  </w:r>
                  <w:r>
                    <w:t>（不含城镇天然气</w:t>
                  </w:r>
                  <w:r>
                    <w:rPr>
                      <w:rFonts w:hint="eastAsia"/>
                    </w:rPr>
                    <w:t>专用线</w:t>
                  </w:r>
                  <w:r>
                    <w:t>、企业厂区内</w:t>
                  </w:r>
                  <w:r>
                    <w:rPr>
                      <w:rFonts w:hint="eastAsia"/>
                    </w:rPr>
                    <w:t>专用线</w:t>
                  </w:r>
                  <w:r>
                    <w:t>），危险化学品输送</w:t>
                  </w:r>
                  <w:r>
                    <w:rPr>
                      <w:rFonts w:hint="eastAsia"/>
                    </w:rPr>
                    <w:t>专用线</w:t>
                  </w:r>
                  <w:r>
                    <w:t>（不含企业厂区内</w:t>
                  </w:r>
                  <w:r>
                    <w:rPr>
                      <w:rFonts w:hint="eastAsia"/>
                    </w:rPr>
                    <w:t>专用线</w:t>
                  </w:r>
                  <w:r>
                    <w:t>）：全部</w:t>
                  </w:r>
                </w:p>
              </w:tc>
              <w:tc>
                <w:tcPr>
                  <w:tcW w:w="637" w:type="pct"/>
                  <w:tcBorders>
                    <w:tl2br w:val="nil"/>
                    <w:tr2bl w:val="nil"/>
                  </w:tcBorders>
                  <w:vAlign w:val="center"/>
                </w:tcPr>
                <w:p w14:paraId="3EF6BECD">
                  <w:pPr>
                    <w:pStyle w:val="30"/>
                  </w:pPr>
                  <w:r>
                    <w:t>不涉及</w:t>
                  </w:r>
                </w:p>
              </w:tc>
            </w:tr>
          </w:tbl>
          <w:p w14:paraId="4A7AEAB0">
            <w:pPr>
              <w:pStyle w:val="30"/>
              <w:jc w:val="left"/>
              <w:rPr>
                <w:szCs w:val="24"/>
              </w:rPr>
            </w:pPr>
            <w:r>
              <w:t>注</w:t>
            </w:r>
            <w:r>
              <w:rPr>
                <w:rFonts w:hint="eastAsia"/>
              </w:rPr>
              <w:t>：“</w:t>
            </w:r>
            <w:r>
              <w:t>涉及环境敏感区</w:t>
            </w:r>
            <w:r>
              <w:rPr>
                <w:rFonts w:hint="eastAsia" w:ascii="宋体" w:hAnsi="宋体" w:cs="宋体"/>
              </w:rPr>
              <w:t>”</w:t>
            </w:r>
            <w:r>
              <w:t>是指建设项目位于、穿(跨)越(无害化通过的除外)环境敏感区，或环境影响范围涵盖环境敏感区。环境敏感区是指《建设项目环境影响评价分类管理名录》中针对该类项目所列的敏感区。</w:t>
            </w:r>
          </w:p>
          <w:p w14:paraId="688A3614">
            <w:pPr>
              <w:ind w:firstLine="480"/>
              <w:rPr>
                <w:color w:val="000000"/>
                <w:kern w:val="0"/>
              </w:rPr>
            </w:pPr>
            <w:r>
              <w:rPr>
                <w:color w:val="000000"/>
                <w:kern w:val="0"/>
              </w:rPr>
              <w:t>依据《建设项目环境影响报告表编制技术指南》（生态影响类）表1专项评价设置原则表，本项目</w:t>
            </w:r>
            <w:r>
              <w:rPr>
                <w:rFonts w:hint="eastAsia"/>
                <w:color w:val="000000"/>
                <w:kern w:val="0"/>
              </w:rPr>
              <w:t>不</w:t>
            </w:r>
            <w:r>
              <w:rPr>
                <w:color w:val="000000"/>
                <w:kern w:val="0"/>
              </w:rPr>
              <w:t>属于</w:t>
            </w:r>
            <w:r>
              <w:rPr>
                <w:rFonts w:hint="eastAsia" w:ascii="宋体" w:hAnsi="宋体" w:cs="宋体"/>
                <w:color w:val="000000"/>
                <w:kern w:val="0"/>
              </w:rPr>
              <w:t>“涉及环境敏感区（不包括饮用水水源保护区，以居住、医疗卫生、文化教育、科研、行政办公为主要功能的区域，以及文物保护单位）的项目”</w:t>
            </w:r>
            <w:r>
              <w:rPr>
                <w:color w:val="000000"/>
                <w:kern w:val="0"/>
              </w:rPr>
              <w:t>，</w:t>
            </w:r>
            <w:r>
              <w:rPr>
                <w:rFonts w:hint="eastAsia"/>
                <w:color w:val="000000"/>
                <w:kern w:val="0"/>
              </w:rPr>
              <w:t>故本项目无需</w:t>
            </w:r>
            <w:r>
              <w:rPr>
                <w:color w:val="000000"/>
                <w:kern w:val="0"/>
              </w:rPr>
              <w:t>设置生态专项评价。</w:t>
            </w:r>
          </w:p>
          <w:p w14:paraId="19499CCC">
            <w:pPr>
              <w:ind w:firstLine="480"/>
            </w:pPr>
            <w:r>
              <w:t>依据《建设项目环境影响报告表编制技术指南》（生态影响类）表1专项评价设置原则表，</w:t>
            </w:r>
            <w:r>
              <w:rPr>
                <w:color w:val="auto"/>
              </w:rPr>
              <w:t>本项目为</w:t>
            </w:r>
            <w:r>
              <w:rPr>
                <w:rFonts w:hint="eastAsia"/>
                <w:color w:val="auto"/>
              </w:rPr>
              <w:t>铁路改建</w:t>
            </w:r>
            <w:r>
              <w:rPr>
                <w:color w:val="auto"/>
              </w:rPr>
              <w:t>项目，</w:t>
            </w:r>
            <w:r>
              <w:rPr>
                <w:rFonts w:hint="eastAsia"/>
                <w:color w:val="auto"/>
              </w:rPr>
              <w:t>根据《建设项目环境影响评价分类管理名录》中铁路改建项目不涉及环境敏感区，故本项目无需设置声专项评价。</w:t>
            </w:r>
          </w:p>
        </w:tc>
      </w:tr>
      <w:tr w14:paraId="532193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651" w:type="dxa"/>
            <w:tcMar>
              <w:top w:w="16" w:type="dxa"/>
              <w:left w:w="16" w:type="dxa"/>
              <w:right w:w="16" w:type="dxa"/>
            </w:tcMar>
            <w:vAlign w:val="center"/>
          </w:tcPr>
          <w:p w14:paraId="7DF10F13">
            <w:pPr>
              <w:autoSpaceDE w:val="0"/>
              <w:autoSpaceDN w:val="0"/>
              <w:adjustRightInd w:val="0"/>
              <w:snapToGrid w:val="0"/>
              <w:ind w:firstLine="0" w:firstLineChars="0"/>
              <w:jc w:val="center"/>
              <w:rPr>
                <w:kern w:val="0"/>
              </w:rPr>
            </w:pPr>
            <w:r>
              <w:t>规划情况</w:t>
            </w:r>
          </w:p>
        </w:tc>
        <w:tc>
          <w:tcPr>
            <w:tcW w:w="7388" w:type="dxa"/>
            <w:gridSpan w:val="4"/>
            <w:tcMar>
              <w:top w:w="16" w:type="dxa"/>
              <w:left w:w="16" w:type="dxa"/>
              <w:right w:w="16" w:type="dxa"/>
            </w:tcMar>
            <w:vAlign w:val="center"/>
          </w:tcPr>
          <w:p w14:paraId="23DC3D1F">
            <w:pPr>
              <w:adjustRightInd w:val="0"/>
              <w:snapToGrid w:val="0"/>
              <w:ind w:firstLine="0" w:firstLineChars="0"/>
              <w:jc w:val="center"/>
              <w:rPr>
                <w:b/>
                <w:bCs/>
              </w:rPr>
            </w:pPr>
            <w:r>
              <w:rPr>
                <w:rFonts w:hint="eastAsia"/>
                <w:kern w:val="0"/>
              </w:rPr>
              <w:t>无</w:t>
            </w:r>
          </w:p>
        </w:tc>
      </w:tr>
      <w:tr w14:paraId="6448D0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97" w:hRule="atLeast"/>
        </w:trPr>
        <w:tc>
          <w:tcPr>
            <w:tcW w:w="1651" w:type="dxa"/>
            <w:tcMar>
              <w:top w:w="16" w:type="dxa"/>
              <w:left w:w="16" w:type="dxa"/>
              <w:right w:w="16" w:type="dxa"/>
            </w:tcMar>
            <w:vAlign w:val="center"/>
          </w:tcPr>
          <w:p w14:paraId="4A2162D0">
            <w:pPr>
              <w:autoSpaceDE w:val="0"/>
              <w:autoSpaceDN w:val="0"/>
              <w:adjustRightInd w:val="0"/>
              <w:snapToGrid w:val="0"/>
              <w:ind w:firstLine="0" w:firstLineChars="0"/>
              <w:jc w:val="center"/>
            </w:pPr>
            <w:r>
              <w:t>规划环境影响</w:t>
            </w:r>
          </w:p>
          <w:p w14:paraId="7DD89176">
            <w:pPr>
              <w:autoSpaceDE w:val="0"/>
              <w:autoSpaceDN w:val="0"/>
              <w:adjustRightInd w:val="0"/>
              <w:snapToGrid w:val="0"/>
              <w:ind w:firstLine="0" w:firstLineChars="0"/>
              <w:jc w:val="center"/>
            </w:pPr>
            <w:r>
              <w:t>评价情况</w:t>
            </w:r>
          </w:p>
        </w:tc>
        <w:tc>
          <w:tcPr>
            <w:tcW w:w="7388" w:type="dxa"/>
            <w:gridSpan w:val="4"/>
            <w:tcMar>
              <w:top w:w="16" w:type="dxa"/>
              <w:left w:w="16" w:type="dxa"/>
              <w:right w:w="16" w:type="dxa"/>
            </w:tcMar>
            <w:vAlign w:val="center"/>
          </w:tcPr>
          <w:p w14:paraId="78515C24">
            <w:pPr>
              <w:adjustRightInd w:val="0"/>
              <w:snapToGrid w:val="0"/>
              <w:ind w:firstLine="0" w:firstLineChars="0"/>
              <w:jc w:val="center"/>
            </w:pPr>
            <w:r>
              <w:rPr>
                <w:rFonts w:hint="eastAsia"/>
              </w:rPr>
              <w:t>无</w:t>
            </w:r>
          </w:p>
        </w:tc>
      </w:tr>
      <w:tr w14:paraId="46F2F8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651" w:type="dxa"/>
            <w:tcMar>
              <w:top w:w="16" w:type="dxa"/>
              <w:left w:w="16" w:type="dxa"/>
              <w:right w:w="16" w:type="dxa"/>
            </w:tcMar>
            <w:vAlign w:val="center"/>
          </w:tcPr>
          <w:p w14:paraId="58638AF9">
            <w:pPr>
              <w:autoSpaceDE w:val="0"/>
              <w:autoSpaceDN w:val="0"/>
              <w:adjustRightInd w:val="0"/>
              <w:snapToGrid w:val="0"/>
              <w:ind w:firstLine="0" w:firstLineChars="0"/>
              <w:jc w:val="center"/>
              <w:rPr>
                <w:kern w:val="0"/>
              </w:rPr>
            </w:pPr>
            <w:r>
              <w:rPr>
                <w:kern w:val="0"/>
              </w:rPr>
              <w:t>规划及</w:t>
            </w:r>
            <w:r>
              <w:t>规划环境影响评价</w:t>
            </w:r>
            <w:r>
              <w:rPr>
                <w:kern w:val="0"/>
              </w:rPr>
              <w:t>符合性分析</w:t>
            </w:r>
          </w:p>
        </w:tc>
        <w:tc>
          <w:tcPr>
            <w:tcW w:w="7388" w:type="dxa"/>
            <w:gridSpan w:val="4"/>
            <w:tcMar>
              <w:top w:w="16" w:type="dxa"/>
              <w:left w:w="16" w:type="dxa"/>
              <w:right w:w="16" w:type="dxa"/>
            </w:tcMar>
            <w:vAlign w:val="center"/>
          </w:tcPr>
          <w:p w14:paraId="7DD74806">
            <w:pPr>
              <w:ind w:firstLine="0" w:firstLineChars="0"/>
              <w:jc w:val="center"/>
              <w:rPr>
                <w:kern w:val="0"/>
              </w:rPr>
            </w:pPr>
            <w:r>
              <w:rPr>
                <w:rFonts w:hint="eastAsia"/>
                <w:kern w:val="0"/>
              </w:rPr>
              <w:t>无</w:t>
            </w:r>
          </w:p>
        </w:tc>
      </w:tr>
      <w:tr w14:paraId="24F4FD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20" w:hRule="atLeast"/>
        </w:trPr>
        <w:tc>
          <w:tcPr>
            <w:tcW w:w="1651" w:type="dxa"/>
            <w:tcMar>
              <w:top w:w="16" w:type="dxa"/>
              <w:left w:w="16" w:type="dxa"/>
              <w:right w:w="16" w:type="dxa"/>
            </w:tcMar>
            <w:vAlign w:val="center"/>
          </w:tcPr>
          <w:p w14:paraId="7239FCDA">
            <w:pPr>
              <w:autoSpaceDE w:val="0"/>
              <w:autoSpaceDN w:val="0"/>
              <w:adjustRightInd w:val="0"/>
              <w:snapToGrid w:val="0"/>
              <w:ind w:firstLine="0" w:firstLineChars="0"/>
              <w:jc w:val="center"/>
              <w:rPr>
                <w:kern w:val="0"/>
              </w:rPr>
            </w:pPr>
            <w:bookmarkStart w:id="9" w:name="_Hlk56690880"/>
            <w:r>
              <w:rPr>
                <w:kern w:val="0"/>
              </w:rPr>
              <w:t>其他符合性分析</w:t>
            </w:r>
            <w:bookmarkEnd w:id="9"/>
          </w:p>
        </w:tc>
        <w:tc>
          <w:tcPr>
            <w:tcW w:w="7388" w:type="dxa"/>
            <w:gridSpan w:val="4"/>
            <w:tcMar>
              <w:top w:w="16" w:type="dxa"/>
              <w:left w:w="16" w:type="dxa"/>
              <w:right w:w="16" w:type="dxa"/>
            </w:tcMar>
            <w:vAlign w:val="center"/>
          </w:tcPr>
          <w:p w14:paraId="35A61D66">
            <w:pPr>
              <w:ind w:firstLine="482"/>
            </w:pPr>
            <w:r>
              <w:rPr>
                <w:rFonts w:hint="eastAsia"/>
                <w:b/>
                <w:bCs/>
              </w:rPr>
              <w:t>1、产业政策符合性</w:t>
            </w:r>
          </w:p>
          <w:p w14:paraId="40C2A29A">
            <w:pPr>
              <w:ind w:firstLine="480"/>
            </w:pPr>
            <w:r>
              <w:rPr>
                <w:rFonts w:hint="eastAsia"/>
              </w:rPr>
              <w:t>本项目属于《产业结构调整指导目录（2024本）》中“二十三、铁路1.铁路建设和改造：铁路新线、既有铁路改扩建、铁路专用线、城际、市域（郊）铁路建设，线路全封闭和道口平改立，重点口岸扩能改造”的鼓励类项目，项目建设符合国家的产业政策。</w:t>
            </w:r>
          </w:p>
          <w:p w14:paraId="05E4D1E7">
            <w:pPr>
              <w:ind w:firstLine="482"/>
            </w:pPr>
            <w:r>
              <w:rPr>
                <w:rFonts w:hint="eastAsia"/>
                <w:b/>
                <w:bCs/>
              </w:rPr>
              <w:t>2、项目选址合理性分析</w:t>
            </w:r>
          </w:p>
          <w:p w14:paraId="36554A3C">
            <w:pPr>
              <w:ind w:firstLine="480"/>
              <w:rPr>
                <w:color w:val="auto"/>
              </w:rPr>
            </w:pPr>
            <w:r>
              <w:rPr>
                <w:rFonts w:hint="eastAsia"/>
                <w:color w:val="auto"/>
              </w:rPr>
              <w:t>（1）用地相符性</w:t>
            </w:r>
          </w:p>
          <w:p w14:paraId="010DA5EF">
            <w:pPr>
              <w:ind w:firstLine="480"/>
              <w:rPr>
                <w:color w:val="auto"/>
              </w:rPr>
            </w:pPr>
            <w:r>
              <w:rPr>
                <w:rFonts w:hint="eastAsia"/>
                <w:color w:val="auto"/>
              </w:rPr>
              <w:t>本项目建设地点位于黑龙江省双鸭山市集贤县福利屯，不新征用土地，用地类型为铁路用地。本项目不占用基本农田。项目区域内无国家、省、市级自然保护区，风景名胜区，名胜古迹、饮用水水源地保护区等环境敏感目标，符合环境要求。</w:t>
            </w:r>
          </w:p>
          <w:p w14:paraId="03A375E7">
            <w:pPr>
              <w:ind w:firstLine="480"/>
              <w:rPr>
                <w:color w:val="auto"/>
              </w:rPr>
            </w:pPr>
            <w:r>
              <w:rPr>
                <w:rFonts w:hint="eastAsia"/>
                <w:color w:val="auto"/>
              </w:rPr>
              <w:t>本项目用地性质为铁路用地，行业类别与用地性质相符，不属于《限制用地项目目录（2012年本）》和《禁止用地项目目录（2012年本）》中的限制其他符合性分析用地、禁止用地项目，符合土地政策要求。</w:t>
            </w:r>
          </w:p>
          <w:p w14:paraId="30EEDB9D">
            <w:pPr>
              <w:ind w:firstLine="480"/>
              <w:rPr>
                <w:color w:val="auto"/>
              </w:rPr>
            </w:pPr>
            <w:r>
              <w:rPr>
                <w:rFonts w:hint="eastAsia"/>
                <w:color w:val="auto"/>
              </w:rPr>
              <w:t>（2）项目特点分析</w:t>
            </w:r>
          </w:p>
          <w:p w14:paraId="566BD9F4">
            <w:pPr>
              <w:ind w:firstLine="480"/>
              <w:rPr>
                <w:color w:val="auto"/>
              </w:rPr>
            </w:pPr>
            <w:r>
              <w:rPr>
                <w:rFonts w:hint="eastAsia"/>
                <w:color w:val="auto"/>
              </w:rPr>
              <w:t>本次研究在油库专用线走行线上重新插入17#和19#道岔，分别连通3道和4道，并按《铁路专用线设计规范（试行）》（TB10638-2019）要求调整线路坡度。更换既有线路钢轨、轨枕和扣配件，铺设道床，并换填路基表层。拆除既有路基排水沟，在路基两侧新设排水沟各一条。拆除既有车挡并新设固定式车挡和滑动挡车器。火车运行产生的环境影响，包括大气环境影响、声环境影响、振动环境影响等。石油卸载部分另做环评，不在本次评价范围内。</w:t>
            </w:r>
          </w:p>
          <w:p w14:paraId="02953DDF">
            <w:pPr>
              <w:ind w:firstLine="480"/>
              <w:rPr>
                <w:color w:val="auto"/>
              </w:rPr>
            </w:pPr>
            <w:r>
              <w:rPr>
                <w:rFonts w:hint="eastAsia"/>
                <w:color w:val="auto"/>
              </w:rPr>
              <w:t>（3）环境功能一致性分析</w:t>
            </w:r>
          </w:p>
          <w:p w14:paraId="3273561A">
            <w:pPr>
              <w:ind w:firstLine="480"/>
              <w:rPr>
                <w:color w:val="auto"/>
              </w:rPr>
            </w:pPr>
            <w:r>
              <w:rPr>
                <w:rFonts w:hint="eastAsia"/>
                <w:color w:val="auto"/>
              </w:rPr>
              <w:t>根据工程分析确定污染物源强，通过大气环境、水环境、声环境、生态环境影响分析，说明项目建成后污染物达标排放对区域环境空气、水环境、声环境、生态环境影响较小。项目建设不会使得环境功能发生改变。项目所经区域属于平原地区，项目不占农田、林地，因此，拟建项目的建设对地表植被、地下水资源和土地资源的影响较小。且拟建项目所在区域无自然保护区、风景名胜区、文物保护单位等重要的敏感点跨越，也不压覆重要的矿产资源。</w:t>
            </w:r>
          </w:p>
          <w:p w14:paraId="0DBADEDF">
            <w:pPr>
              <w:ind w:firstLine="480"/>
            </w:pPr>
            <w:r>
              <w:rPr>
                <w:rFonts w:hint="eastAsia"/>
              </w:rPr>
              <w:t>综上所述，本项目选址合理。</w:t>
            </w:r>
          </w:p>
          <w:p w14:paraId="5504B6B3">
            <w:pPr>
              <w:ind w:firstLine="482"/>
              <w:rPr>
                <w:b/>
                <w:bCs/>
              </w:rPr>
            </w:pPr>
            <w:r>
              <w:rPr>
                <w:rFonts w:hint="eastAsia"/>
                <w:b/>
                <w:bCs/>
              </w:rPr>
              <w:t>3、与《黑龙江省主体功能区规划》的符合性分析</w:t>
            </w:r>
          </w:p>
          <w:p w14:paraId="30E1D8E1">
            <w:pPr>
              <w:ind w:firstLine="480"/>
            </w:pPr>
            <w:r>
              <w:rPr>
                <w:rFonts w:hint="eastAsia"/>
              </w:rPr>
              <w:t>根据</w:t>
            </w:r>
            <w:r>
              <w:t>《黑龙江省主体功能区规划》</w:t>
            </w:r>
            <w:r>
              <w:rPr>
                <w:rFonts w:hint="eastAsia"/>
              </w:rPr>
              <w:t>中，集贤县福利镇属于省级重点开发区域中重点开发城镇。</w:t>
            </w:r>
          </w:p>
          <w:p w14:paraId="634A0022">
            <w:pPr>
              <w:ind w:firstLine="480"/>
            </w:pPr>
            <w:r>
              <w:rPr>
                <w:rFonts w:hint="eastAsia"/>
              </w:rPr>
              <w:t>功能定位：东部煤电化基地中心城市产业辐射和转移的重要承接区，县域经济发展的核心区和引导区，周边农业人口转移的集散区。</w:t>
            </w:r>
          </w:p>
          <w:p w14:paraId="28F414BC">
            <w:pPr>
              <w:ind w:firstLine="480"/>
            </w:pPr>
            <w:r>
              <w:rPr>
                <w:rFonts w:hint="eastAsia"/>
              </w:rPr>
              <w:t>产业发展方向与布局：以城关镇为基础，以各类经济开发园区和对外口岸为依托，承接区域内中心城市特色产业。以煤电化产业为主导，发挥区位和资源优势，合理开发和有效保护煤炭资源，大力发展循环经济，积极发展非煤支柱产业和对外贸易，重点发展冶金、新材料、新能源、农产品加工、装备制造、生物工程等产业。</w:t>
            </w:r>
          </w:p>
          <w:p w14:paraId="36CC37DB">
            <w:pPr>
              <w:ind w:firstLine="480"/>
            </w:pPr>
            <w:r>
              <w:rPr>
                <w:rFonts w:hint="eastAsia"/>
              </w:rPr>
              <w:t>生态建设：大力发展循环经济和生态农业，加强生态建设，实施退耕还林还草还湿，加强水土流失预防和治理，开展重点矿区生态修复、环境治理和水资源保护治理，提高矿区土地复垦和矿井水利用率。</w:t>
            </w:r>
          </w:p>
          <w:p w14:paraId="538791F1">
            <w:pPr>
              <w:ind w:firstLine="480"/>
            </w:pPr>
            <w:r>
              <w:rPr>
                <w:rFonts w:hint="eastAsia"/>
              </w:rPr>
              <w:t>基础设施建设：完善城镇和矿区基础设施，构建综合交通网络，优化居住环境，提升服务水平。</w:t>
            </w:r>
          </w:p>
          <w:p w14:paraId="12F6AC09">
            <w:pPr>
              <w:ind w:firstLine="0" w:firstLineChars="0"/>
              <w:jc w:val="center"/>
            </w:pPr>
            <w:r>
              <mc:AlternateContent>
                <mc:Choice Requires="wpg">
                  <w:drawing>
                    <wp:anchor distT="0" distB="0" distL="114300" distR="114300" simplePos="0" relativeHeight="251666432" behindDoc="1" locked="0" layoutInCell="1" allowOverlap="1">
                      <wp:simplePos x="0" y="0"/>
                      <wp:positionH relativeFrom="column">
                        <wp:posOffset>1998345</wp:posOffset>
                      </wp:positionH>
                      <wp:positionV relativeFrom="paragraph">
                        <wp:posOffset>1249680</wp:posOffset>
                      </wp:positionV>
                      <wp:extent cx="889000" cy="808355"/>
                      <wp:effectExtent l="4445" t="4445" r="20955" b="25400"/>
                      <wp:wrapThrough wrapText="bothSides">
                        <wp:wrapPolygon>
                          <wp:start x="-108" y="-119"/>
                          <wp:lineTo x="-108" y="8535"/>
                          <wp:lineTo x="15166" y="16170"/>
                          <wp:lineTo x="17481" y="21261"/>
                          <wp:lineTo x="17943" y="21261"/>
                          <wp:lineTo x="20721" y="21261"/>
                          <wp:lineTo x="20258" y="18206"/>
                          <wp:lineTo x="19332" y="16170"/>
                          <wp:lineTo x="21183" y="8535"/>
                          <wp:lineTo x="21183" y="-119"/>
                          <wp:lineTo x="-108" y="-119"/>
                        </wp:wrapPolygon>
                      </wp:wrapThrough>
                      <wp:docPr id="50" name="组合 50"/>
                      <wp:cNvGraphicFramePr/>
                      <a:graphic xmlns:a="http://schemas.openxmlformats.org/drawingml/2006/main">
                        <a:graphicData uri="http://schemas.microsoft.com/office/word/2010/wordprocessingGroup">
                          <wpg:wgp>
                            <wpg:cNvGrpSpPr/>
                            <wpg:grpSpPr>
                              <a:xfrm>
                                <a:off x="0" y="0"/>
                                <a:ext cx="889000" cy="808355"/>
                                <a:chOff x="5791" y="350150"/>
                                <a:chExt cx="1400" cy="1273"/>
                              </a:xfrm>
                            </wpg:grpSpPr>
                            <wps:wsp>
                              <wps:cNvPr id="51" name="矩形标注 15"/>
                              <wps:cNvSpPr/>
                              <wps:spPr>
                                <a:xfrm>
                                  <a:off x="5791" y="350150"/>
                                  <a:ext cx="1400" cy="461"/>
                                </a:xfrm>
                                <a:prstGeom prst="wedgeRectCallout">
                                  <a:avLst>
                                    <a:gd name="adj1" fmla="val 35856"/>
                                    <a:gd name="adj2" fmla="val 203144"/>
                                  </a:avLst>
                                </a:prstGeom>
                                <a:solidFill>
                                  <a:srgbClr val="FFFFFF"/>
                                </a:solidFill>
                                <a:ln w="9525" cap="flat" cmpd="sng">
                                  <a:solidFill>
                                    <a:srgbClr val="000000"/>
                                  </a:solidFill>
                                  <a:prstDash val="solid"/>
                                  <a:miter/>
                                  <a:headEnd type="none" w="med" len="med"/>
                                  <a:tailEnd type="none" w="med" len="med"/>
                                </a:ln>
                              </wps:spPr>
                              <wps:txbx>
                                <w:txbxContent>
                                  <w:p w14:paraId="6378AB67">
                                    <w:pPr>
                                      <w:pStyle w:val="30"/>
                                    </w:pPr>
                                    <w:r>
                                      <w:rPr>
                                        <w:rFonts w:hint="eastAsia"/>
                                      </w:rPr>
                                      <w:t>项目所在地</w:t>
                                    </w:r>
                                  </w:p>
                                </w:txbxContent>
                              </wps:txbx>
                              <wps:bodyPr upright="1"/>
                            </wps:wsp>
                            <wps:wsp>
                              <wps:cNvPr id="52" name="任意多边形 16"/>
                              <wps:cNvSpPr/>
                              <wps:spPr>
                                <a:xfrm>
                                  <a:off x="6995" y="351303"/>
                                  <a:ext cx="120" cy="120"/>
                                </a:xfrm>
                                <a:custGeom>
                                  <a:avLst/>
                                  <a:gdLst/>
                                  <a:ahLst/>
                                  <a:cxnLst>
                                    <a:cxn ang="16187392">
                                      <a:pos x="38100" y="0"/>
                                    </a:cxn>
                                    <a:cxn ang="10747904">
                                      <a:pos x="0" y="29105"/>
                                    </a:cxn>
                                    <a:cxn ang="5373952">
                                      <a:pos x="14552" y="76199"/>
                                    </a:cxn>
                                    <a:cxn ang="5373952">
                                      <a:pos x="61647" y="76199"/>
                                    </a:cxn>
                                    <a:cxn ang="0">
                                      <a:pos x="76199" y="29105"/>
                                    </a:cxn>
                                  </a:cxnLst>
                                  <a:rect l="0" t="0" r="0" b="0"/>
                                  <a:pathLst>
                                    <a:path w="76200" h="76200">
                                      <a:moveTo>
                                        <a:pt x="0" y="29105"/>
                                      </a:moveTo>
                                      <a:lnTo>
                                        <a:pt x="29105" y="29105"/>
                                      </a:lnTo>
                                      <a:lnTo>
                                        <a:pt x="38100" y="0"/>
                                      </a:lnTo>
                                      <a:lnTo>
                                        <a:pt x="47094" y="29105"/>
                                      </a:lnTo>
                                      <a:lnTo>
                                        <a:pt x="76199" y="29105"/>
                                      </a:lnTo>
                                      <a:lnTo>
                                        <a:pt x="52652" y="47093"/>
                                      </a:lnTo>
                                      <a:lnTo>
                                        <a:pt x="61647" y="76199"/>
                                      </a:lnTo>
                                      <a:lnTo>
                                        <a:pt x="38100" y="58211"/>
                                      </a:lnTo>
                                      <a:lnTo>
                                        <a:pt x="14552" y="76199"/>
                                      </a:lnTo>
                                      <a:lnTo>
                                        <a:pt x="23547" y="47093"/>
                                      </a:lnTo>
                                      <a:close/>
                                    </a:path>
                                  </a:pathLst>
                                </a:custGeom>
                                <a:solidFill>
                                  <a:srgbClr val="FF0000"/>
                                </a:solidFill>
                                <a:ln w="25400" cap="flat" cmpd="sng">
                                  <a:solidFill>
                                    <a:srgbClr val="FF0000"/>
                                  </a:solidFill>
                                  <a:prstDash val="solid"/>
                                  <a:round/>
                                  <a:headEnd type="none" w="med" len="med"/>
                                  <a:tailEnd type="none" w="med" len="med"/>
                                </a:ln>
                              </wps:spPr>
                              <wps:bodyPr anchor="ctr" anchorCtr="0" upright="1"/>
                            </wps:wsp>
                          </wpg:wgp>
                        </a:graphicData>
                      </a:graphic>
                    </wp:anchor>
                  </w:drawing>
                </mc:Choice>
                <mc:Fallback>
                  <w:pict>
                    <v:group id="_x0000_s1026" o:spid="_x0000_s1026" o:spt="203" style="position:absolute;left:0pt;margin-left:157.35pt;margin-top:98.4pt;height:63.65pt;width:70pt;mso-wrap-distance-left:9pt;mso-wrap-distance-right:9pt;z-index:-251650048;mso-width-relative:page;mso-height-relative:page;" coordorigin="5791,350150" coordsize="1400,1273" wrapcoords="-108 -119 -108 8535 15166 16170 17481 21261 17943 21261 20721 21261 20258 18206 19332 16170 21183 8535 21183 -119 -108 -119" o:gfxdata="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">
                      <o:lock v:ext="edit" aspectratio="f"/>
                      <v:shape id="矩形标注 15" o:spid="_x0000_s1026" o:spt="61" type="#_x0000_t61" style="position:absolute;left:5791;top:350150;height:461;width:1400;" fillcolor="#FFFFFF" filled="t" stroked="t" coordsize="21600,21600" o:gfxdata="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SONP&#10;wAAAANsAAAAPAAAAAAAAAAEAIAAAACIAAABkcnMvZG93bnJldi54bWxQSwECFAAUAAAACACHTuJA&#10;My8FnjsAAAA5AAAAEAAAAAAAAAABACAAAAAPAQAAZHJzL3NoYXBleG1sLnhtbFBLBQYAAAAABgAG&#10;AFsBAAC5AwAAAAA=&#10;" adj="18545,54679">
                        <v:fill on="t" focussize="0,0"/>
                        <v:stroke color="#000000" joinstyle="miter"/>
                        <v:imagedata o:title=""/>
                        <o:lock v:ext="edit" aspectratio="f"/>
                        <v:textbox>
                          <w:txbxContent>
                            <w:p w14:paraId="6378AB67">
                              <w:pPr>
                                <w:pStyle w:val="30"/>
                              </w:pPr>
                              <w:r>
                                <w:rPr>
                                  <w:rFonts w:hint="eastAsia"/>
                                </w:rPr>
                                <w:t>项目所在地</w:t>
                              </w:r>
                            </w:p>
                          </w:txbxContent>
                        </v:textbox>
                      </v:shape>
                      <v:shape id="任意多边形 16" o:spid="_x0000_s1026" o:spt="100" style="position:absolute;left:6995;top:351303;height:120;width:120;v-text-anchor:middle;" fillcolor="#FF0000" filled="t" stroked="t" coordsize="76200,76200" o:gfxdata="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4wtt7sAAADb&#10;AAAADwAAAAAAAAABACAAAAAiAAAAZHJzL2Rvd25yZXYueG1sUEsBAhQAFAAAAAgAh07iQDMvBZ47&#10;AAAAOQAAABAAAAAAAAAAAQAgAAAACgEAAGRycy9zaGFwZXhtbC54bWxQSwUGAAAAAAYABgBbAQAA&#10;tAMAAAAA&#10;" path="m0,29105l29105,29105,38100,0,47094,29105,76199,29105,52652,47093,61647,76199,38100,58211,14552,76199,23547,47093xe">
                        <v:path o:connectlocs="38100,0;0,29105;14552,76199;61647,76199;76199,29105" o:connectangles="247,164,82,82,0"/>
                        <v:fill on="t" focussize="0,0"/>
                        <v:stroke weight="2pt" color="#FF0000" joinstyle="round"/>
                        <v:imagedata o:title=""/>
                        <o:lock v:ext="edit" aspectratio="f"/>
                      </v:shape>
                      <w10:wrap type="through"/>
                    </v:group>
                  </w:pict>
                </mc:Fallback>
              </mc:AlternateContent>
            </w:r>
            <w:r>
              <w:rPr>
                <w:rFonts w:hint="eastAsia"/>
              </w:rPr>
              <w:drawing>
                <wp:inline distT="0" distB="0" distL="114300" distR="114300">
                  <wp:extent cx="4182110" cy="3153410"/>
                  <wp:effectExtent l="0" t="0" r="8890" b="8890"/>
                  <wp:docPr id="43" name="图片 7" descr="黑龙江主体功能区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descr="黑龙江主体功能区分布图"/>
                          <pic:cNvPicPr>
                            <a:picLocks noChangeAspect="1"/>
                          </pic:cNvPicPr>
                        </pic:nvPicPr>
                        <pic:blipFill>
                          <a:blip r:embed="rId11"/>
                          <a:srcRect l="17789" t="18567" r="17839" b="12735"/>
                          <a:stretch>
                            <a:fillRect/>
                          </a:stretch>
                        </pic:blipFill>
                        <pic:spPr>
                          <a:xfrm>
                            <a:off x="0" y="0"/>
                            <a:ext cx="4182110" cy="3153410"/>
                          </a:xfrm>
                          <a:prstGeom prst="rect">
                            <a:avLst/>
                          </a:prstGeom>
                          <a:noFill/>
                          <a:ln>
                            <a:noFill/>
                          </a:ln>
                        </pic:spPr>
                      </pic:pic>
                    </a:graphicData>
                  </a:graphic>
                </wp:inline>
              </w:drawing>
            </w:r>
          </w:p>
          <w:p w14:paraId="1C3294D0">
            <w:pPr>
              <w:pStyle w:val="33"/>
            </w:pPr>
            <w:r>
              <w:t>图</w:t>
            </w:r>
            <w:r>
              <w:rPr>
                <w:rFonts w:hint="eastAsia"/>
              </w:rPr>
              <w:t>1</w:t>
            </w:r>
            <w:r>
              <w:t>-1 黑龙江省主体功能区规划图</w:t>
            </w:r>
          </w:p>
          <w:p w14:paraId="5AA4116E">
            <w:pPr>
              <w:ind w:firstLine="480"/>
              <w:rPr>
                <w:color w:val="0000FF"/>
              </w:rPr>
            </w:pPr>
          </w:p>
          <w:p w14:paraId="59343840">
            <w:pPr>
              <w:ind w:firstLine="480"/>
              <w:rPr>
                <w:rFonts w:hint="default"/>
                <w:color w:val="auto"/>
                <w:lang w:val="en-US" w:eastAsia="zh-CN"/>
              </w:rPr>
            </w:pPr>
            <w:r>
              <w:rPr>
                <w:rFonts w:hint="default"/>
                <w:color w:val="auto"/>
                <w:lang w:val="en-US" w:eastAsia="zh-CN"/>
              </w:rPr>
              <w:t>本项目为黑龙江省中国石油福利屯油库铁路专用线大修工程，为铁路专用线建设项目，属于基础设施建设项目，项目建设不采伐林木，不新增建设用地，对充分发挥铁路运能、提高铁路经济效益具有重要作用，项目选址属于农村环境，避开了城镇发展，占地类型为铁路用地，不新增永久占地，面积较小，施工内容较少，同时施工周期较短，施工期污染影响较小，竣工后及时恢复临时占地，恢复耕种，对区域农产品影响较小，符合该规划要求。</w:t>
            </w:r>
          </w:p>
          <w:p w14:paraId="4662F01D">
            <w:pPr>
              <w:ind w:firstLine="480"/>
              <w:rPr>
                <w:color w:val="auto"/>
              </w:rPr>
            </w:pPr>
            <w:r>
              <w:rPr>
                <w:rFonts w:hint="default"/>
                <w:color w:val="auto"/>
                <w:lang w:val="en-US" w:eastAsia="zh-CN"/>
              </w:rPr>
              <w:t>因此，本项目符合《黑龙江省主体功能区规划》相关要求。</w:t>
            </w:r>
          </w:p>
          <w:p w14:paraId="6440863C">
            <w:pPr>
              <w:ind w:firstLine="482"/>
              <w:rPr>
                <w:b/>
                <w:bCs/>
                <w:color w:val="auto"/>
              </w:rPr>
            </w:pPr>
            <w:r>
              <w:rPr>
                <w:rFonts w:hint="eastAsia"/>
                <w:b/>
                <w:bCs/>
                <w:color w:val="auto"/>
              </w:rPr>
              <w:t>4、与《黑龙江省水土保持规划》（2015-2030）相符性分析</w:t>
            </w:r>
          </w:p>
          <w:p w14:paraId="1A6A8FFB">
            <w:pPr>
              <w:ind w:firstLine="480"/>
              <w:rPr>
                <w:color w:val="auto"/>
              </w:rPr>
            </w:pPr>
            <w:r>
              <w:rPr>
                <w:rFonts w:hint="eastAsia"/>
                <w:color w:val="auto"/>
              </w:rPr>
              <w:t>本项目选址在双鸭山市，根据《黑龙江省水土保持规划（2015-2030）》，双鸭山市为黑龙江省水土流失重点治理区，属于东南部山地丘陵水质维护保土区，本项目位于黑龙江省双鸭山市集贤县，所在区域为三江平原-兴凯湖生态维护农田防护区，本区包括虎林市、密山市、绥滨县、集贤县、友谊县、宝清县、饶河县、桦川县、抚远市、同江市、富锦市等11市（县），区域总面积64240.98km</w:t>
            </w:r>
            <w:r>
              <w:rPr>
                <w:rFonts w:hint="eastAsia"/>
                <w:color w:val="auto"/>
                <w:vertAlign w:val="superscript"/>
              </w:rPr>
              <w:t>2</w:t>
            </w:r>
            <w:r>
              <w:rPr>
                <w:rFonts w:hint="eastAsia"/>
                <w:color w:val="auto"/>
              </w:rPr>
              <w:t>，其中耕地面积33908.44km</w:t>
            </w:r>
            <w:r>
              <w:rPr>
                <w:rFonts w:hint="eastAsia"/>
                <w:color w:val="auto"/>
                <w:vertAlign w:val="superscript"/>
              </w:rPr>
              <w:t>2</w:t>
            </w:r>
            <w:r>
              <w:rPr>
                <w:rFonts w:hint="eastAsia"/>
                <w:color w:val="auto"/>
              </w:rPr>
              <w:t>，林地面积16524.60km</w:t>
            </w:r>
            <w:r>
              <w:rPr>
                <w:rFonts w:hint="eastAsia"/>
                <w:color w:val="auto"/>
                <w:vertAlign w:val="superscript"/>
              </w:rPr>
              <w:t>2</w:t>
            </w:r>
            <w:r>
              <w:rPr>
                <w:rFonts w:hint="eastAsia"/>
                <w:color w:val="auto"/>
              </w:rPr>
              <w:t>。区域总人口281.14万人，人均耕地1.21hm</w:t>
            </w:r>
            <w:r>
              <w:rPr>
                <w:rFonts w:hint="eastAsia"/>
                <w:color w:val="auto"/>
                <w:vertAlign w:val="superscript"/>
              </w:rPr>
              <w:t>2</w:t>
            </w:r>
            <w:r>
              <w:rPr>
                <w:rFonts w:hint="eastAsia"/>
                <w:color w:val="auto"/>
              </w:rPr>
              <w:t>，农村各业生产总值513.69亿元。本区水土流失类型为水力侵蚀，水土流失面积6458.00km</w:t>
            </w:r>
            <w:r>
              <w:rPr>
                <w:rFonts w:hint="eastAsia"/>
                <w:color w:val="auto"/>
                <w:vertAlign w:val="superscript"/>
              </w:rPr>
              <w:t>2</w:t>
            </w:r>
            <w:r>
              <w:rPr>
                <w:rFonts w:hint="eastAsia"/>
                <w:color w:val="auto"/>
              </w:rPr>
              <w:t>，占区域总面积的10.05%，其中轻度侵蚀2781.39km</w:t>
            </w:r>
            <w:r>
              <w:rPr>
                <w:rFonts w:hint="eastAsia"/>
                <w:color w:val="auto"/>
                <w:vertAlign w:val="superscript"/>
              </w:rPr>
              <w:t>2</w:t>
            </w:r>
            <w:r>
              <w:rPr>
                <w:rFonts w:hint="eastAsia"/>
                <w:color w:val="auto"/>
              </w:rPr>
              <w:t>，中度侵蚀1805.48km</w:t>
            </w:r>
            <w:r>
              <w:rPr>
                <w:rFonts w:hint="eastAsia"/>
                <w:color w:val="auto"/>
                <w:vertAlign w:val="superscript"/>
              </w:rPr>
              <w:t>2</w:t>
            </w:r>
            <w:r>
              <w:rPr>
                <w:rFonts w:hint="eastAsia"/>
                <w:color w:val="auto"/>
              </w:rPr>
              <w:t>，强烈侵蚀1315.36km</w:t>
            </w:r>
            <w:r>
              <w:rPr>
                <w:rFonts w:hint="eastAsia"/>
                <w:color w:val="auto"/>
                <w:vertAlign w:val="superscript"/>
              </w:rPr>
              <w:t>2</w:t>
            </w:r>
            <w:r>
              <w:rPr>
                <w:rFonts w:hint="eastAsia"/>
                <w:color w:val="auto"/>
              </w:rPr>
              <w:t>，极强烈侵蚀433.38km</w:t>
            </w:r>
            <w:r>
              <w:rPr>
                <w:rFonts w:hint="eastAsia"/>
                <w:color w:val="auto"/>
                <w:vertAlign w:val="superscript"/>
              </w:rPr>
              <w:t>2</w:t>
            </w:r>
            <w:r>
              <w:rPr>
                <w:rFonts w:hint="eastAsia"/>
                <w:color w:val="auto"/>
              </w:rPr>
              <w:t>，剧烈侵蚀122.39km</w:t>
            </w:r>
            <w:r>
              <w:rPr>
                <w:rFonts w:hint="eastAsia"/>
                <w:color w:val="auto"/>
                <w:vertAlign w:val="superscript"/>
              </w:rPr>
              <w:t>2</w:t>
            </w:r>
            <w:r>
              <w:rPr>
                <w:rFonts w:hint="eastAsia"/>
                <w:color w:val="auto"/>
              </w:rPr>
              <w:t>。现有侵蚀沟9776条，沟道密度0.05km/km</w:t>
            </w:r>
            <w:r>
              <w:rPr>
                <w:rFonts w:hint="eastAsia"/>
                <w:color w:val="auto"/>
                <w:vertAlign w:val="superscript"/>
              </w:rPr>
              <w:t>2</w:t>
            </w:r>
            <w:r>
              <w:rPr>
                <w:rFonts w:hint="eastAsia"/>
                <w:color w:val="auto"/>
              </w:rPr>
              <w:t>。</w:t>
            </w:r>
          </w:p>
          <w:p w14:paraId="05223E0B">
            <w:pPr>
              <w:ind w:firstLine="480"/>
              <w:rPr>
                <w:color w:val="auto"/>
              </w:rPr>
            </w:pPr>
            <w:r>
              <w:rPr>
                <w:rFonts w:hint="eastAsia"/>
                <w:color w:val="auto"/>
              </w:rPr>
              <w:t>本区是黑龙江省粮食主产区，是水稻、玉米和大豆等重要商品粮生产基地。地势低平，平均海拔50～60m，最高海拔400m，土地广袤，农业资源富集，三江汇流水网区湿地泡沼密布，是中国最大的沼泽分布区。本区属中温带大陆性季风气候，年降水量500～650mm，土壤类型主要有白浆土、草甸土、沼泽土、黑土等，主要河流有黑龙江、乌苏里江和松花江，主要湖泊有亚洲最大的界湖兴凯湖。本区植被以中生草甸植被为主，西部小兴安岭和南部完达山脉边缘发育有森林植被，三江平原素以“北大仓”著称，良田万畴，农业机械化程度高，为黑龙江省农业现代化示范区。</w:t>
            </w:r>
          </w:p>
          <w:p w14:paraId="0DB2E5C5">
            <w:pPr>
              <w:ind w:firstLine="480"/>
              <w:rPr>
                <w:color w:val="auto"/>
              </w:rPr>
            </w:pPr>
            <w:r>
              <w:rPr>
                <w:rFonts w:hint="eastAsia"/>
                <w:color w:val="auto"/>
              </w:rPr>
              <w:t>本项目为黑龙江省中国石油福利屯油库铁路专用线大修工程，不会对沿线农业生产和人民生活造成影响，不新增永久占地，基本不会造成土壤破坏，符合《黑龙江省水土保持规划》（2015-2030）相关要求。</w:t>
            </w:r>
          </w:p>
          <w:p w14:paraId="23256BC5">
            <w:pPr>
              <w:ind w:firstLine="482"/>
              <w:rPr>
                <w:b/>
                <w:bCs/>
                <w:color w:val="auto"/>
              </w:rPr>
            </w:pPr>
            <w:r>
              <w:rPr>
                <w:rFonts w:hint="eastAsia"/>
                <w:b/>
                <w:bCs/>
                <w:color w:val="auto"/>
              </w:rPr>
              <w:t>5、与《自然资源部关于规范临时用地管理的通知》符合性分析</w:t>
            </w:r>
          </w:p>
          <w:p w14:paraId="6DA416B1">
            <w:pPr>
              <w:ind w:firstLine="480"/>
              <w:rPr>
                <w:color w:val="auto"/>
              </w:rPr>
            </w:pPr>
            <w:r>
              <w:rPr>
                <w:rFonts w:hint="eastAsia"/>
                <w:color w:val="auto"/>
              </w:rPr>
              <w:t>《自然资源部关于规范临时用地管理的通知》（自然资规〔2021〕2号）规定：建设项目施工、地质勘查使用临时用地时应坚持“用多少、批多少、占多少、恢复多少”，尽量不占或者少占耕地。临时用地使用期限一般不超过两年。严格落实临时用地恢复责任，临时用地期满后应当拆除临时建（构）筑物，使用耕地的应当复垦为耕地，确保耕地面积不减少、质量不降低。</w:t>
            </w:r>
          </w:p>
          <w:p w14:paraId="4B0771FF">
            <w:pPr>
              <w:ind w:firstLine="480"/>
              <w:rPr>
                <w:color w:val="auto"/>
              </w:rPr>
            </w:pPr>
            <w:r>
              <w:rPr>
                <w:rFonts w:hint="eastAsia"/>
                <w:color w:val="auto"/>
              </w:rPr>
              <w:t>本项目临时占地共计19267m</w:t>
            </w:r>
            <w:r>
              <w:rPr>
                <w:rFonts w:hint="eastAsia"/>
                <w:color w:val="auto"/>
                <w:vertAlign w:val="superscript"/>
              </w:rPr>
              <w:t>2</w:t>
            </w:r>
            <w:r>
              <w:rPr>
                <w:rFonts w:hint="eastAsia"/>
                <w:color w:val="auto"/>
              </w:rPr>
              <w:t>，其中施工场地7027m</w:t>
            </w:r>
            <w:r>
              <w:rPr>
                <w:rFonts w:hint="eastAsia"/>
                <w:color w:val="auto"/>
                <w:vertAlign w:val="superscript"/>
              </w:rPr>
              <w:t>2</w:t>
            </w:r>
            <w:r>
              <w:rPr>
                <w:rFonts w:hint="eastAsia"/>
                <w:color w:val="auto"/>
              </w:rPr>
              <w:t>，在专用线一侧设置，占地类型为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；临时堆土场6300m</w:t>
            </w:r>
            <w:r>
              <w:rPr>
                <w:rFonts w:hint="eastAsia"/>
                <w:color w:val="auto"/>
                <w:vertAlign w:val="superscript"/>
              </w:rPr>
              <w:t>2</w:t>
            </w:r>
            <w:r>
              <w:rPr>
                <w:rFonts w:hint="eastAsia"/>
                <w:color w:val="auto"/>
              </w:rPr>
              <w:t>，设在铁路</w:t>
            </w:r>
            <w:r>
              <w:rPr>
                <w:rFonts w:hint="eastAsia"/>
                <w:color w:val="auto"/>
                <w:lang w:val="en-US" w:eastAsia="zh-CN"/>
              </w:rPr>
              <w:t>一</w:t>
            </w:r>
            <w:r>
              <w:rPr>
                <w:rFonts w:hint="eastAsia"/>
                <w:color w:val="auto"/>
              </w:rPr>
              <w:t>侧，占地类型为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，确保耕地面积不减少、质量不降低；临时施工便道5940m</w:t>
            </w:r>
            <w:r>
              <w:rPr>
                <w:rFonts w:hint="eastAsia"/>
                <w:color w:val="auto"/>
                <w:vertAlign w:val="superscript"/>
              </w:rPr>
              <w:t>2</w:t>
            </w:r>
            <w:r>
              <w:rPr>
                <w:rFonts w:hint="eastAsia"/>
                <w:color w:val="auto"/>
              </w:rPr>
              <w:t>，长度850m，占地类型为耕地，施工结束后恢复为耕地，坚持“占多少、恢复多少”原则。本项目施工期为</w:t>
            </w:r>
            <w:r>
              <w:rPr>
                <w:rFonts w:hint="eastAsia"/>
                <w:color w:val="auto"/>
                <w:lang w:val="en-US" w:eastAsia="zh-CN"/>
              </w:rPr>
              <w:t>六</w:t>
            </w:r>
            <w:r>
              <w:rPr>
                <w:rFonts w:hint="eastAsia"/>
                <w:color w:val="auto"/>
              </w:rPr>
              <w:t>个月，施工期结束后临时占地全部恢复，使用期限不超过两年。因此项目建设临时用地符合《自然资源部关于规范临时用地管理的通知》（自然资规〔2021〕2号）的要求。</w:t>
            </w:r>
          </w:p>
          <w:p w14:paraId="77AD1A7A">
            <w:pPr>
              <w:ind w:firstLine="482"/>
              <w:rPr>
                <w:b/>
                <w:bCs/>
                <w:color w:val="auto"/>
              </w:rPr>
            </w:pPr>
            <w:r>
              <w:rPr>
                <w:rFonts w:hint="eastAsia"/>
                <w:b/>
                <w:bCs/>
                <w:color w:val="auto"/>
              </w:rPr>
              <w:t>6、与集贤县国土空间规划符合性分析</w:t>
            </w:r>
          </w:p>
          <w:p w14:paraId="46DDA82A">
            <w:pPr>
              <w:ind w:firstLine="480"/>
              <w:rPr>
                <w:color w:val="auto"/>
              </w:rPr>
            </w:pPr>
            <w:r>
              <w:rPr>
                <w:color w:val="auto"/>
              </w:rPr>
              <w:t>根据《</w:t>
            </w:r>
            <w:r>
              <w:rPr>
                <w:rFonts w:hint="eastAsia"/>
                <w:color w:val="auto"/>
              </w:rPr>
              <w:t>集贤县</w:t>
            </w:r>
            <w:r>
              <w:rPr>
                <w:color w:val="auto"/>
              </w:rPr>
              <w:t>国土空间总体规划（202</w:t>
            </w:r>
            <w:r>
              <w:rPr>
                <w:rFonts w:hint="eastAsia"/>
                <w:color w:val="auto"/>
              </w:rPr>
              <w:t>1</w:t>
            </w:r>
            <w:r>
              <w:rPr>
                <w:color w:val="auto"/>
              </w:rPr>
              <w:t>-2035年）》：</w:t>
            </w:r>
            <w:r>
              <w:rPr>
                <w:rFonts w:hint="eastAsia" w:ascii="宋体" w:hAnsi="宋体" w:cs="宋体"/>
                <w:color w:val="auto"/>
              </w:rPr>
              <w:t>“</w:t>
            </w:r>
            <w:r>
              <w:rPr>
                <w:color w:val="auto"/>
              </w:rPr>
              <w:t>6.</w:t>
            </w:r>
            <w:r>
              <w:rPr>
                <w:rFonts w:hint="eastAsia"/>
                <w:color w:val="auto"/>
              </w:rPr>
              <w:t>1优化城镇发展格局：规划形成“一主、一副、两轴”的空间结构模式。</w:t>
            </w:r>
          </w:p>
          <w:p w14:paraId="40893830">
            <w:pPr>
              <w:ind w:firstLine="480"/>
              <w:rPr>
                <w:color w:val="auto"/>
              </w:rPr>
            </w:pPr>
            <w:r>
              <w:rPr>
                <w:rFonts w:hint="eastAsia"/>
                <w:color w:val="auto"/>
              </w:rPr>
              <w:t>“一主”：集贤中心城区：加快人口和要素资源集聚，打造双集一体化发展区北部中心，与双鸭山中心城区协同发展，实现双鸭山“强核”发展战略；结合大菩提寺、滚兔岭等旅游资源发展都市型旅游业。</w:t>
            </w:r>
          </w:p>
          <w:p w14:paraId="6B3D569D">
            <w:pPr>
              <w:ind w:firstLine="480"/>
              <w:rPr>
                <w:color w:val="auto"/>
              </w:rPr>
            </w:pPr>
            <w:r>
              <w:rPr>
                <w:rFonts w:hint="eastAsia"/>
                <w:color w:val="auto"/>
              </w:rPr>
              <w:t>“一副”：集贤镇区：重点发展农副产品精深加工，承担县域副中心职能。</w:t>
            </w:r>
          </w:p>
          <w:p w14:paraId="2B30A253">
            <w:pPr>
              <w:ind w:firstLine="480"/>
              <w:rPr>
                <w:color w:val="auto"/>
              </w:rPr>
            </w:pPr>
            <w:r>
              <w:rPr>
                <w:rFonts w:hint="eastAsia"/>
                <w:color w:val="auto"/>
              </w:rPr>
              <w:t>“两轴”：同三发展轴、福利-升昌发展轴。</w:t>
            </w:r>
          </w:p>
          <w:p w14:paraId="03D0032D">
            <w:pPr>
              <w:ind w:firstLine="480"/>
              <w:rPr>
                <w:color w:val="auto"/>
              </w:rPr>
            </w:pPr>
            <w:r>
              <w:rPr>
                <w:rFonts w:hint="eastAsia"/>
                <w:color w:val="auto"/>
              </w:rPr>
              <w:t>本项目位于集贤县，铁路专用线作为油库建设的基础设施，是项目顺利建设和运营的重要保证，本项目符合集贤县国土空间总体规划产业定位及产业布局。因此本项目符合《集贤县国土空间总体规划（2021-2035年）》要求。</w:t>
            </w:r>
          </w:p>
          <w:p w14:paraId="5E169197">
            <w:pPr>
              <w:ind w:firstLine="482"/>
              <w:rPr>
                <w:b/>
                <w:bCs/>
                <w:color w:val="auto"/>
              </w:rPr>
            </w:pPr>
            <w:r>
              <w:rPr>
                <w:rFonts w:hint="eastAsia"/>
                <w:b/>
                <w:bCs/>
                <w:color w:val="auto"/>
              </w:rPr>
              <w:t>7、与《铁路专用线设计规范（试行）》中环境保护相关规定符合性分析</w:t>
            </w:r>
          </w:p>
          <w:p w14:paraId="22DC2932">
            <w:pPr>
              <w:ind w:firstLine="480"/>
              <w:rPr>
                <w:color w:val="auto"/>
              </w:rPr>
            </w:pPr>
            <w:r>
              <w:rPr>
                <w:rFonts w:hint="eastAsia"/>
                <w:color w:val="auto"/>
              </w:rPr>
              <w:t>本项目选址选线不占用农用地、耕地，自然保护区的核心区和缓冲区、世界文化和自然遗产地、风景名胜区的核心景区、饮用水水源一级保护区，符合当地的生态保护红线管理规定和生态功能区划、环境保护规划。本项目铁路主体工程、临时工程等采取水土保持和生态恢复措施，并宜与自然景观相协调，符合文件要求。污染物通过相应的防治措施可达标排放，符合国家、行业和地方现行的排放标准及环境管理要求。噪声污染通过相应防治措施，符合现行《铁路边界噪声限值及其测量方法》（GB12525）</w:t>
            </w:r>
            <w:r>
              <w:rPr>
                <w:rFonts w:hint="eastAsia"/>
                <w:color w:val="auto"/>
                <w:lang w:val="en-US" w:eastAsia="zh-CN"/>
              </w:rPr>
              <w:t>以及</w:t>
            </w:r>
            <w:r>
              <w:rPr>
                <w:rFonts w:hint="eastAsia"/>
                <w:color w:val="auto"/>
              </w:rPr>
              <w:t>《声环境质量标准》（GB3096）的规定。由列车运行引起环境振动采取铺设钢轨、局部路段限速等振动防治措施，满足《城市区域环境振动标准》（GB10070）的规定。综上所述，本项目符合《铁路专用线设计规范（试行）》中环境保护相关规定。</w:t>
            </w:r>
          </w:p>
          <w:p w14:paraId="732526BF">
            <w:pPr>
              <w:ind w:firstLine="482"/>
              <w:rPr>
                <w:b/>
                <w:bCs/>
                <w:color w:val="auto"/>
              </w:rPr>
            </w:pPr>
            <w:r>
              <w:rPr>
                <w:rFonts w:hint="eastAsia"/>
                <w:b/>
                <w:bCs/>
                <w:color w:val="auto"/>
              </w:rPr>
              <w:t>8、与铁路审批原则相符性分析</w:t>
            </w:r>
          </w:p>
          <w:p w14:paraId="734C6771">
            <w:pPr>
              <w:ind w:firstLine="480"/>
              <w:rPr>
                <w:color w:val="auto"/>
              </w:rPr>
            </w:pPr>
            <w:r>
              <w:rPr>
                <w:color w:val="auto"/>
              </w:rPr>
              <w:t>《铁路建设项目环境影响评价文件审批原则（试行）》（环办环评〔2016〕14号）于2016年12月经原生态环境部颁布实施，本工程与《铁路建设项目环境影响评价文件审批原则（试行）》符合性分析</w:t>
            </w:r>
            <w:r>
              <w:rPr>
                <w:rFonts w:hint="eastAsia"/>
                <w:color w:val="auto"/>
              </w:rPr>
              <w:t>见表1-2。</w:t>
            </w:r>
          </w:p>
          <w:p w14:paraId="55295635">
            <w:pPr>
              <w:pStyle w:val="33"/>
              <w:rPr>
                <w:color w:val="auto"/>
              </w:rPr>
            </w:pPr>
            <w:r>
              <w:rPr>
                <w:rFonts w:hint="eastAsia"/>
                <w:color w:val="auto"/>
              </w:rPr>
              <w:t>表1-2 与《铁路建设项目环境影响评价文件审批原则（试行）》符合性</w:t>
            </w:r>
          </w:p>
          <w:tbl>
            <w:tblPr>
              <w:tblStyle w:val="25"/>
              <w:tblpPr w:leftFromText="180" w:rightFromText="180" w:vertAnchor="text" w:horzAnchor="page" w:tblpXSpec="center" w:tblpY="317"/>
              <w:tblOverlap w:val="never"/>
              <w:tblW w:w="5000" w:type="pct"/>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28" w:type="dxa"/>
                <w:bottom w:w="0" w:type="dxa"/>
                <w:right w:w="28" w:type="dxa"/>
              </w:tblCellMar>
            </w:tblPr>
            <w:tblGrid>
              <w:gridCol w:w="4108"/>
              <w:gridCol w:w="3248"/>
            </w:tblGrid>
            <w:tr w14:paraId="7A3F45CF">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12" w:space="0"/>
                    <w:left w:val="nil"/>
                    <w:bottom w:val="single" w:color="auto" w:sz="4" w:space="0"/>
                    <w:right w:val="single" w:color="auto" w:sz="4" w:space="0"/>
                  </w:tcBorders>
                  <w:vAlign w:val="center"/>
                </w:tcPr>
                <w:p w14:paraId="2DDD0858">
                  <w:pPr>
                    <w:pStyle w:val="69"/>
                    <w:snapToGrid w:val="0"/>
                    <w:spacing w:line="240" w:lineRule="auto"/>
                    <w:ind w:firstLine="0" w:firstLineChars="0"/>
                    <w:jc w:val="center"/>
                    <w:rPr>
                      <w:rFonts w:ascii="Times New Roman" w:hAnsi="Times New Roman" w:eastAsia="宋体"/>
                      <w:color w:val="auto"/>
                      <w:sz w:val="21"/>
                      <w:szCs w:val="21"/>
                      <w:lang w:val="en-US"/>
                    </w:rPr>
                  </w:pPr>
                  <w:r>
                    <w:rPr>
                      <w:rFonts w:ascii="Times New Roman" w:hAnsi="Times New Roman" w:eastAsia="宋体"/>
                      <w:color w:val="auto"/>
                      <w:sz w:val="21"/>
                      <w:szCs w:val="21"/>
                      <w:lang w:val="en-US"/>
                    </w:rPr>
                    <w:t>审批原则</w:t>
                  </w:r>
                </w:p>
              </w:tc>
              <w:tc>
                <w:tcPr>
                  <w:tcW w:w="2208" w:type="pct"/>
                  <w:tcBorders>
                    <w:top w:val="single" w:color="auto" w:sz="12" w:space="0"/>
                    <w:left w:val="single" w:color="auto" w:sz="4" w:space="0"/>
                    <w:bottom w:val="single" w:color="auto" w:sz="4" w:space="0"/>
                    <w:right w:val="nil"/>
                  </w:tcBorders>
                  <w:vAlign w:val="center"/>
                </w:tcPr>
                <w:p w14:paraId="1395F0B0">
                  <w:pPr>
                    <w:pStyle w:val="69"/>
                    <w:snapToGrid w:val="0"/>
                    <w:spacing w:line="240" w:lineRule="auto"/>
                    <w:ind w:firstLine="0" w:firstLineChars="0"/>
                    <w:jc w:val="center"/>
                    <w:rPr>
                      <w:rFonts w:ascii="Times New Roman" w:hAnsi="Times New Roman" w:eastAsia="宋体"/>
                      <w:color w:val="auto"/>
                      <w:sz w:val="21"/>
                      <w:szCs w:val="21"/>
                      <w:lang w:val="en-US"/>
                    </w:rPr>
                  </w:pPr>
                  <w:r>
                    <w:rPr>
                      <w:rFonts w:ascii="Times New Roman" w:hAnsi="Times New Roman" w:eastAsia="宋体"/>
                      <w:color w:val="auto"/>
                      <w:sz w:val="21"/>
                      <w:szCs w:val="21"/>
                      <w:lang w:val="en-US"/>
                    </w:rPr>
                    <w:t>本项目符合性</w:t>
                  </w:r>
                </w:p>
              </w:tc>
            </w:tr>
            <w:tr w14:paraId="180222E7">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6866070A">
                  <w:pPr>
                    <w:pStyle w:val="69"/>
                    <w:snapToGrid w:val="0"/>
                    <w:spacing w:line="240" w:lineRule="auto"/>
                    <w:ind w:firstLine="0" w:firstLineChars="0"/>
                    <w:rPr>
                      <w:rFonts w:ascii="Times New Roman" w:hAnsi="Times New Roman" w:eastAsia="宋体"/>
                      <w:color w:val="auto"/>
                      <w:sz w:val="21"/>
                      <w:szCs w:val="21"/>
                      <w:lang w:val="en-US"/>
                    </w:rPr>
                  </w:pPr>
                  <w:r>
                    <w:rPr>
                      <w:rFonts w:hint="eastAsia" w:ascii="Times New Roman" w:hAnsi="Times New Roman" w:eastAsia="宋体"/>
                      <w:color w:val="auto"/>
                      <w:sz w:val="21"/>
                      <w:szCs w:val="21"/>
                      <w:lang w:val="en-US"/>
                    </w:rPr>
                    <w:t>1.</w:t>
                  </w:r>
                  <w:r>
                    <w:rPr>
                      <w:rFonts w:ascii="Times New Roman" w:hAnsi="Times New Roman" w:eastAsia="宋体"/>
                      <w:color w:val="auto"/>
                      <w:sz w:val="21"/>
                      <w:szCs w:val="21"/>
                      <w:lang w:val="en-US"/>
                    </w:rPr>
                    <w:t>项目符合环境保护相关法律法规和政策要求，符合国家和地方相关铁路发展规划、铁路网规划、规划环评及其审查意见要求。</w:t>
                  </w:r>
                </w:p>
              </w:tc>
              <w:tc>
                <w:tcPr>
                  <w:tcW w:w="2208" w:type="pct"/>
                  <w:tcBorders>
                    <w:top w:val="single" w:color="auto" w:sz="4" w:space="0"/>
                    <w:left w:val="single" w:color="auto" w:sz="4" w:space="0"/>
                    <w:bottom w:val="single" w:color="auto" w:sz="4" w:space="0"/>
                    <w:right w:val="nil"/>
                  </w:tcBorders>
                  <w:vAlign w:val="center"/>
                </w:tcPr>
                <w:p w14:paraId="2D28F9C1">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本项目不属于限制、淘汰类项目，符合《产业结构调整指导目录（20</w:t>
                  </w:r>
                  <w:r>
                    <w:rPr>
                      <w:rFonts w:hint="eastAsia" w:ascii="Times New Roman" w:hAnsi="Times New Roman" w:eastAsia="宋体"/>
                      <w:color w:val="auto"/>
                      <w:sz w:val="21"/>
                      <w:szCs w:val="21"/>
                      <w:lang w:val="en-US"/>
                    </w:rPr>
                    <w:t>24</w:t>
                  </w:r>
                  <w:r>
                    <w:rPr>
                      <w:rFonts w:ascii="Times New Roman" w:hAnsi="Times New Roman" w:eastAsia="宋体"/>
                      <w:color w:val="auto"/>
                      <w:sz w:val="21"/>
                      <w:szCs w:val="21"/>
                      <w:lang w:val="en-US"/>
                    </w:rPr>
                    <w:t>年本）》，符合审批原则</w:t>
                  </w:r>
                  <w:r>
                    <w:rPr>
                      <w:rFonts w:hint="eastAsia" w:ascii="Times New Roman" w:hAnsi="Times New Roman" w:eastAsia="宋体"/>
                      <w:color w:val="auto"/>
                      <w:sz w:val="21"/>
                      <w:szCs w:val="21"/>
                      <w:lang w:val="en-US"/>
                    </w:rPr>
                    <w:t>。</w:t>
                  </w:r>
                </w:p>
              </w:tc>
            </w:tr>
            <w:tr w14:paraId="7855D413">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2501BDD4">
                  <w:pPr>
                    <w:pStyle w:val="69"/>
                    <w:snapToGrid w:val="0"/>
                    <w:spacing w:line="240" w:lineRule="auto"/>
                    <w:ind w:firstLine="0" w:firstLineChars="0"/>
                    <w:rPr>
                      <w:rFonts w:ascii="Times New Roman" w:hAnsi="Times New Roman" w:eastAsia="宋体"/>
                      <w:color w:val="auto"/>
                      <w:sz w:val="21"/>
                      <w:szCs w:val="21"/>
                      <w:lang w:val="en-US"/>
                    </w:rPr>
                  </w:pPr>
                  <w:r>
                    <w:rPr>
                      <w:rFonts w:hint="eastAsia" w:ascii="Times New Roman" w:hAnsi="Times New Roman" w:eastAsia="宋体"/>
                      <w:color w:val="auto"/>
                      <w:sz w:val="21"/>
                      <w:szCs w:val="21"/>
                      <w:lang w:val="en-US"/>
                    </w:rPr>
                    <w:t>2.</w:t>
                  </w:r>
                  <w:r>
                    <w:rPr>
                      <w:rFonts w:ascii="Times New Roman" w:hAnsi="Times New Roman" w:eastAsia="宋体"/>
                      <w:color w:val="auto"/>
                      <w:sz w:val="21"/>
                      <w:szCs w:val="21"/>
                      <w:lang w:val="en-US"/>
                    </w:rPr>
                    <w:t>坚持</w:t>
                  </w:r>
                  <w:r>
                    <w:rPr>
                      <w:rFonts w:hint="eastAsia" w:ascii="宋体" w:hAnsi="宋体" w:eastAsia="宋体" w:cs="宋体"/>
                      <w:color w:val="auto"/>
                      <w:sz w:val="21"/>
                      <w:szCs w:val="21"/>
                      <w:lang w:val="en-US"/>
                    </w:rPr>
                    <w:t>“保护优先”</w:t>
                  </w:r>
                  <w:r>
                    <w:rPr>
                      <w:rFonts w:ascii="Times New Roman" w:hAnsi="Times New Roman" w:eastAsia="宋体"/>
                      <w:color w:val="auto"/>
                      <w:sz w:val="21"/>
                      <w:szCs w:val="21"/>
                      <w:lang w:val="en-US"/>
                    </w:rPr>
                    <w:t>原则，选址选线符合国家和地方的主体功能区规划、环境保护规划、城镇总体规划、环境功能区划、生态红线及其他相关要求。</w:t>
                  </w:r>
                </w:p>
                <w:p w14:paraId="4EDC338C">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项目选址选线及施工布置不得占用自然保护区、饮用水水源保护区、风景名胜区等环境敏感区内依法禁止建设的区域。项目经过环境敏感区路段应优化选址选线，采取有效措施，降低不利环境影响。</w:t>
                  </w:r>
                </w:p>
              </w:tc>
              <w:tc>
                <w:tcPr>
                  <w:tcW w:w="2208" w:type="pct"/>
                  <w:tcBorders>
                    <w:top w:val="single" w:color="auto" w:sz="4" w:space="0"/>
                    <w:left w:val="single" w:color="auto" w:sz="4" w:space="0"/>
                    <w:bottom w:val="single" w:color="auto" w:sz="4" w:space="0"/>
                    <w:right w:val="nil"/>
                  </w:tcBorders>
                  <w:vAlign w:val="center"/>
                </w:tcPr>
                <w:p w14:paraId="70B27146">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本项目选址选线符合国家和地方的主体功能区规划、环境保护规划、城镇总体规划、环境功能区划、生态红线及其他相关要求。</w:t>
                  </w:r>
                </w:p>
                <w:p w14:paraId="08B08E75">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项目选址选线及施工布置未占用自然保护区、饮用水水源保护区、风景名胜区等环境敏感区内依法禁止建设的区域。符合审批原则</w:t>
                  </w:r>
                  <w:r>
                    <w:rPr>
                      <w:rFonts w:hint="eastAsia" w:ascii="Times New Roman" w:hAnsi="Times New Roman" w:eastAsia="宋体"/>
                      <w:color w:val="auto"/>
                      <w:sz w:val="21"/>
                      <w:szCs w:val="21"/>
                      <w:lang w:val="en-US"/>
                    </w:rPr>
                    <w:t>。</w:t>
                  </w:r>
                </w:p>
              </w:tc>
            </w:tr>
            <w:tr w14:paraId="45C10CB1">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0FB5D83D">
                  <w:pPr>
                    <w:pStyle w:val="69"/>
                    <w:snapToGrid w:val="0"/>
                    <w:spacing w:line="240" w:lineRule="auto"/>
                    <w:ind w:firstLine="0" w:firstLineChars="0"/>
                    <w:rPr>
                      <w:rFonts w:ascii="Times New Roman" w:hAnsi="Times New Roman" w:eastAsia="宋体"/>
                      <w:color w:val="auto"/>
                      <w:sz w:val="21"/>
                      <w:szCs w:val="21"/>
                      <w:lang w:val="en-US"/>
                    </w:rPr>
                  </w:pPr>
                  <w:r>
                    <w:rPr>
                      <w:rFonts w:hint="eastAsia" w:ascii="Times New Roman" w:hAnsi="Times New Roman" w:eastAsia="宋体"/>
                      <w:color w:val="auto"/>
                      <w:sz w:val="21"/>
                      <w:szCs w:val="21"/>
                      <w:lang w:val="en-US"/>
                    </w:rPr>
                    <w:t>3.</w:t>
                  </w:r>
                  <w:r>
                    <w:rPr>
                      <w:rFonts w:ascii="Times New Roman" w:hAnsi="Times New Roman" w:eastAsia="宋体"/>
                      <w:color w:val="auto"/>
                      <w:sz w:val="21"/>
                      <w:szCs w:val="21"/>
                      <w:lang w:val="en-US"/>
                    </w:rPr>
                    <w:t>坚持预防为主原则，在技术经济可行条件下，优先考虑对噪声源、振动源和传播途径采取工程技术措施，实施噪声与振动污染主动控制。项目经过声环境和振动敏感目标路段，通过优化线位和工程形式，按照污染源、传播途径、敏感建筑物分层次分情况采取防控措施，有效控制噪声和振动对环境的不利影响。项目沿线应结合受影响情况采取设置声屏障、搬迁或功能置换等措施，有效防治噪声污染。建筑隔声措施可作为辅助手段保障敏感目标满足室内声环境质量要求。运营期铁路边界噪声排放限值需满足标准要求，沿线声环境敏感目标满足声环境质量标准要求。现状声环境质量不达标的，须强化噪声防治措施，确保项目实施后声环境质量不恶化。项目经过城乡规划的医院、学校、科研单位、住宅等噪声敏感建筑物用地路段，应明确噪声达标控制距离的要求，对后续城市规划控制和建设布局提出调整优化建议，同时预留声屏障等噪声治理措施实施条件。</w:t>
                  </w:r>
                </w:p>
                <w:p w14:paraId="4E354F09">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施工期应合理安排施工时段，优选低噪声施工机械和施工工艺，采取隔声降噪与减振措施，避免噪声和振动污染扰民。</w:t>
                  </w:r>
                </w:p>
              </w:tc>
              <w:tc>
                <w:tcPr>
                  <w:tcW w:w="2208" w:type="pct"/>
                  <w:tcBorders>
                    <w:top w:val="single" w:color="auto" w:sz="4" w:space="0"/>
                    <w:left w:val="single" w:color="auto" w:sz="4" w:space="0"/>
                    <w:bottom w:val="single" w:color="auto" w:sz="4" w:space="0"/>
                    <w:right w:val="nil"/>
                  </w:tcBorders>
                  <w:vAlign w:val="center"/>
                </w:tcPr>
                <w:p w14:paraId="6E25F2EB">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施工期：合理安排施工时间，敏感点段禁止夜间施工；在</w:t>
                  </w:r>
                  <w:r>
                    <w:rPr>
                      <w:rFonts w:hint="eastAsia" w:ascii="Times New Roman" w:hAnsi="Times New Roman" w:eastAsia="宋体"/>
                      <w:color w:val="auto"/>
                      <w:sz w:val="21"/>
                      <w:szCs w:val="21"/>
                      <w:lang w:val="en-US"/>
                    </w:rPr>
                    <w:t>靠</w:t>
                  </w:r>
                  <w:r>
                    <w:rPr>
                      <w:rFonts w:ascii="Times New Roman" w:hAnsi="Times New Roman" w:eastAsia="宋体"/>
                      <w:color w:val="auto"/>
                      <w:sz w:val="21"/>
                      <w:szCs w:val="21"/>
                      <w:lang w:val="en-US"/>
                    </w:rPr>
                    <w:t>近</w:t>
                  </w:r>
                  <w:r>
                    <w:rPr>
                      <w:rFonts w:hint="eastAsia" w:ascii="Times New Roman" w:hAnsi="Times New Roman" w:eastAsia="宋体"/>
                      <w:color w:val="auto"/>
                      <w:sz w:val="21"/>
                      <w:szCs w:val="21"/>
                      <w:lang w:val="en-US"/>
                    </w:rPr>
                    <w:t>站前小区</w:t>
                  </w:r>
                  <w:r>
                    <w:rPr>
                      <w:rFonts w:ascii="Times New Roman" w:hAnsi="Times New Roman" w:eastAsia="宋体"/>
                      <w:color w:val="auto"/>
                      <w:sz w:val="21"/>
                      <w:szCs w:val="21"/>
                      <w:lang w:val="en-US"/>
                    </w:rPr>
                    <w:t>的路段施工时采用可拆卸的隔声挡板</w:t>
                  </w:r>
                  <w:r>
                    <w:rPr>
                      <w:rFonts w:hint="eastAsia" w:ascii="Times New Roman" w:hAnsi="Times New Roman" w:eastAsia="宋体"/>
                      <w:color w:val="auto"/>
                      <w:sz w:val="21"/>
                      <w:szCs w:val="21"/>
                      <w:lang w:val="en-US"/>
                    </w:rPr>
                    <w:t>，</w:t>
                  </w:r>
                  <w:r>
                    <w:rPr>
                      <w:rFonts w:ascii="Times New Roman" w:hAnsi="Times New Roman" w:eastAsia="宋体"/>
                      <w:color w:val="auto"/>
                      <w:sz w:val="21"/>
                      <w:szCs w:val="21"/>
                      <w:lang w:val="en-US"/>
                    </w:rPr>
                    <w:t>对施工机械采取消声减震措施，尽量避免高噪声设备同时使用。</w:t>
                  </w:r>
                </w:p>
                <w:p w14:paraId="40E51BBB">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运营期：设备选取低噪声型号设备</w:t>
                  </w:r>
                  <w:r>
                    <w:rPr>
                      <w:rFonts w:hint="eastAsia" w:ascii="Times New Roman" w:hAnsi="Times New Roman" w:eastAsia="宋体"/>
                      <w:color w:val="auto"/>
                      <w:sz w:val="21"/>
                      <w:szCs w:val="21"/>
                      <w:lang w:val="en-US"/>
                    </w:rPr>
                    <w:t>，</w:t>
                  </w:r>
                  <w:r>
                    <w:rPr>
                      <w:rFonts w:ascii="Times New Roman" w:hAnsi="Times New Roman" w:eastAsia="宋体"/>
                      <w:color w:val="auto"/>
                      <w:sz w:val="21"/>
                      <w:szCs w:val="21"/>
                      <w:lang w:val="en-US"/>
                    </w:rPr>
                    <w:t>加强站场的绿化工程。</w:t>
                  </w:r>
                </w:p>
                <w:p w14:paraId="3065A03D">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振动措施：运营后应及时修磨轨面和轨道变形的维护，保证钢轨表面的平整光滑，以保证其良好的运行状态，减少附加振动。符合审批原则</w:t>
                  </w:r>
                  <w:r>
                    <w:rPr>
                      <w:rFonts w:hint="eastAsia" w:ascii="Times New Roman" w:hAnsi="Times New Roman" w:eastAsia="宋体"/>
                      <w:color w:val="auto"/>
                      <w:sz w:val="21"/>
                      <w:szCs w:val="21"/>
                      <w:lang w:val="en-US"/>
                    </w:rPr>
                    <w:t>。</w:t>
                  </w:r>
                </w:p>
              </w:tc>
            </w:tr>
            <w:tr w14:paraId="52E65B9E">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1A10B58C">
                  <w:pPr>
                    <w:pStyle w:val="69"/>
                    <w:snapToGrid w:val="0"/>
                    <w:spacing w:line="240" w:lineRule="auto"/>
                    <w:ind w:firstLine="0" w:firstLineChars="0"/>
                    <w:rPr>
                      <w:rFonts w:ascii="Times New Roman" w:hAnsi="Times New Roman" w:eastAsia="宋体"/>
                      <w:color w:val="auto"/>
                      <w:sz w:val="21"/>
                      <w:szCs w:val="21"/>
                      <w:lang w:val="en-US"/>
                    </w:rPr>
                  </w:pPr>
                  <w:r>
                    <w:rPr>
                      <w:rFonts w:hint="eastAsia" w:ascii="Times New Roman" w:hAnsi="Times New Roman" w:eastAsia="宋体"/>
                      <w:color w:val="auto"/>
                      <w:sz w:val="21"/>
                      <w:szCs w:val="21"/>
                      <w:lang w:val="en-US"/>
                    </w:rPr>
                    <w:t>4.</w:t>
                  </w:r>
                  <w:r>
                    <w:rPr>
                      <w:rFonts w:ascii="Times New Roman" w:hAnsi="Times New Roman" w:eastAsia="宋体"/>
                      <w:color w:val="auto"/>
                      <w:sz w:val="21"/>
                      <w:szCs w:val="21"/>
                      <w:lang w:val="en-US"/>
                    </w:rPr>
                    <w:t>项目涉及自然保护区、世界文化和自然遗产地等特殊和重要生态敏感区的，应专题论证对敏感区的环境影响。结合敏感区的类型、保护对象及保护要求，从优化设计线位、工程形式和施工方案等方面采取有针对性的保护措施，减轻不利生态影响。</w:t>
                  </w:r>
                </w:p>
                <w:p w14:paraId="0E118E22">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重视对野生动、植物的保护，减轻不利影响。对重点保护及珍稀濒危野生动物重要生境、迁徙行为造成不利影响的，应优先采取避让、优化设计和施工方案、合理安排工期、设置野生动物通道、运营期灯光和噪声控制以及栖息地恢复和生态补偿等保护措施，对古树名木、重点保护及珍稀濒危植物造成影响的，应采取避让、工程防护、异地移栽等保护措施。</w:t>
                  </w:r>
                </w:p>
                <w:p w14:paraId="528672C3">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项目经过耕地、林地集中路段，结合工程技术经济条件采取增加桥隧比、降低路基高度、优化临时用地选址等措施，减少占地和植被破坏。对施工临时用地采取防止水土流失和生态恢复措施，有效减轻生态影响。</w:t>
                  </w:r>
                </w:p>
              </w:tc>
              <w:tc>
                <w:tcPr>
                  <w:tcW w:w="2208" w:type="pct"/>
                  <w:tcBorders>
                    <w:top w:val="single" w:color="auto" w:sz="4" w:space="0"/>
                    <w:left w:val="single" w:color="auto" w:sz="4" w:space="0"/>
                    <w:bottom w:val="single" w:color="auto" w:sz="4" w:space="0"/>
                    <w:right w:val="nil"/>
                  </w:tcBorders>
                  <w:vAlign w:val="center"/>
                </w:tcPr>
                <w:p w14:paraId="0AED7677">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本项目不涉及自然保护区、世界文化和自然遗产地等特殊和重要生态敏感区。</w:t>
                  </w:r>
                  <w:r>
                    <w:rPr>
                      <w:rFonts w:hint="eastAsia" w:ascii="Times New Roman" w:hAnsi="Times New Roman" w:eastAsia="宋体"/>
                      <w:color w:val="auto"/>
                      <w:sz w:val="21"/>
                      <w:szCs w:val="21"/>
                      <w:lang w:val="en-US" w:eastAsia="zh-CN"/>
                    </w:rPr>
                    <w:t>本项目不设集中取、弃土场，拆除后的混凝土及残土等土石方破碎后部分用于路基填筑及桥涵的填料，拆除专用线道岔的钢筋、钢材部分可回收利用；部分不能回收利用的建筑垃圾去往填埋场。开挖裸露面要有防治措施，尽量缩短暴露时间，减少水土流失。土石方的临时堆场周边应挖好排水沟，堆土的边坡要小，尽量压实，并采取土袋护脚、草袋护坡等措施使其不易被雨水冲刷造成水土流失，</w:t>
                  </w:r>
                  <w:r>
                    <w:rPr>
                      <w:rFonts w:ascii="Times New Roman" w:hAnsi="Times New Roman" w:eastAsia="宋体"/>
                      <w:color w:val="auto"/>
                      <w:sz w:val="21"/>
                      <w:szCs w:val="21"/>
                      <w:lang w:val="en-US"/>
                    </w:rPr>
                    <w:t>符合审批原则</w:t>
                  </w:r>
                  <w:r>
                    <w:rPr>
                      <w:rFonts w:hint="eastAsia" w:ascii="Times New Roman" w:hAnsi="Times New Roman" w:eastAsia="宋体"/>
                      <w:color w:val="auto"/>
                      <w:sz w:val="21"/>
                      <w:szCs w:val="21"/>
                      <w:lang w:val="en-US"/>
                    </w:rPr>
                    <w:t>。</w:t>
                  </w:r>
                </w:p>
              </w:tc>
            </w:tr>
            <w:tr w14:paraId="55E478DB">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6A559290">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5.</w:t>
                  </w:r>
                  <w:r>
                    <w:rPr>
                      <w:rFonts w:ascii="Times New Roman" w:hAnsi="Times New Roman" w:eastAsia="宋体"/>
                      <w:color w:val="000000" w:themeColor="text1"/>
                      <w:sz w:val="21"/>
                      <w:szCs w:val="21"/>
                      <w:lang w:val="en-US"/>
                      <w14:textFill>
                        <w14:solidFill>
                          <w14:schemeClr w14:val="tx1"/>
                        </w14:solidFill>
                      </w14:textFill>
                    </w:rPr>
                    <w:t>项目涉及饮用水水源保护区或Ⅰ类、Ⅱ类敏感水体时，优化工程设计和施工方案，施工期和运营期废水、废渣不得排入上述敏感水体。落实《水污染防治行动计划》等国家和地方水环境管理及污染防治相关要求。</w:t>
                  </w:r>
                </w:p>
                <w:p w14:paraId="6FE49A2B">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ascii="Times New Roman" w:hAnsi="Times New Roman" w:eastAsia="宋体"/>
                      <w:color w:val="000000" w:themeColor="text1"/>
                      <w:sz w:val="21"/>
                      <w:szCs w:val="21"/>
                      <w:lang w:val="en-US"/>
                      <w14:textFill>
                        <w14:solidFill>
                          <w14:schemeClr w14:val="tx1"/>
                        </w14:solidFill>
                      </w14:textFill>
                    </w:rPr>
                    <w:t>隧道工程涉及生态敏感目标、居民饮用水取水井、泉和暗河的，采取优化设计和施工工艺、控制辅助坑道设置数量和位置、开展地下水环境监控、制定应急预案等措施，减轻出露工程的环境影响及对地表植被、居民饮用水的不利影响。桥梁工程涉及水环境敏感目标的，应优化设计和施工工艺，控制桩基施工及桥面径流污染。</w:t>
                  </w:r>
                </w:p>
              </w:tc>
              <w:tc>
                <w:tcPr>
                  <w:tcW w:w="2208" w:type="pct"/>
                  <w:tcBorders>
                    <w:top w:val="single" w:color="auto" w:sz="4" w:space="0"/>
                    <w:left w:val="single" w:color="auto" w:sz="4" w:space="0"/>
                    <w:bottom w:val="single" w:color="auto" w:sz="4" w:space="0"/>
                    <w:right w:val="nil"/>
                  </w:tcBorders>
                  <w:vAlign w:val="center"/>
                </w:tcPr>
                <w:p w14:paraId="2FFB4721">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ascii="Times New Roman" w:hAnsi="Times New Roman" w:eastAsia="宋体"/>
                      <w:color w:val="000000" w:themeColor="text1"/>
                      <w:sz w:val="21"/>
                      <w:szCs w:val="21"/>
                      <w:lang w:val="en-US"/>
                      <w14:textFill>
                        <w14:solidFill>
                          <w14:schemeClr w14:val="tx1"/>
                        </w14:solidFill>
                      </w14:textFill>
                    </w:rPr>
                    <w:t>本项目不涉及饮用水水源保护区或Ⅰ类、Ⅱ类敏感水体，符合审批原则。</w:t>
                  </w:r>
                </w:p>
              </w:tc>
            </w:tr>
            <w:tr w14:paraId="790EBCB1">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38FD486B">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6.</w:t>
                  </w:r>
                  <w:r>
                    <w:rPr>
                      <w:rFonts w:ascii="Times New Roman" w:hAnsi="Times New Roman" w:eastAsia="宋体"/>
                      <w:color w:val="000000" w:themeColor="text1"/>
                      <w:sz w:val="21"/>
                      <w:szCs w:val="21"/>
                      <w:lang w:val="en-US"/>
                      <w14:textFill>
                        <w14:solidFill>
                          <w14:schemeClr w14:val="tx1"/>
                        </w14:solidFill>
                      </w14:textFill>
                    </w:rPr>
                    <w:t>根据项目特点提出针对性的施工期大气污染防范措施。沿线供暖设备的建设应满足《大气污染防治行动计划》等国家和地方大气环境管理及污染防治相关要求，排放大气污染物的应采取污染防治措施，确保各项污染物达标排放。</w:t>
                  </w:r>
                </w:p>
                <w:p w14:paraId="67D0090F">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ascii="Times New Roman" w:hAnsi="Times New Roman" w:eastAsia="宋体"/>
                      <w:color w:val="000000" w:themeColor="text1"/>
                      <w:sz w:val="21"/>
                      <w:szCs w:val="21"/>
                      <w:lang w:val="en-US"/>
                      <w14:textFill>
                        <w14:solidFill>
                          <w14:schemeClr w14:val="tx1"/>
                        </w14:solidFill>
                      </w14:textFill>
                    </w:rPr>
                    <w:t>运煤铁路沿线涉及有煤炭集运站或煤堆场的，应强化防风抑尘等大气污染防治措施，并结合卫生防护距离和大气防护距离的要求提出场址周围规划控制建议。对装运煤炭的列车应有抑尘等措施，减轻运营过程中的扬尘影响。隧道进出口临近居民区或环境敏感区的，应采用优化布局或采取大气污染治理措施，减轻不利环境影响。</w:t>
                  </w:r>
                </w:p>
              </w:tc>
              <w:tc>
                <w:tcPr>
                  <w:tcW w:w="2208" w:type="pct"/>
                  <w:tcBorders>
                    <w:top w:val="single" w:color="auto" w:sz="4" w:space="0"/>
                    <w:left w:val="single" w:color="auto" w:sz="4" w:space="0"/>
                    <w:bottom w:val="single" w:color="auto" w:sz="4" w:space="0"/>
                    <w:right w:val="nil"/>
                  </w:tcBorders>
                  <w:vAlign w:val="center"/>
                </w:tcPr>
                <w:p w14:paraId="32F87CA3">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施工期：本项目施工路段保护目标处设置隔声降尘挡板或者实体围墙，并严禁在</w:t>
                  </w:r>
                  <w:r>
                    <w:rPr>
                      <w:rFonts w:hint="eastAsia" w:ascii="Times New Roman" w:hAnsi="Times New Roman" w:eastAsia="宋体"/>
                      <w:color w:val="auto"/>
                      <w:sz w:val="21"/>
                      <w:szCs w:val="21"/>
                      <w:lang w:val="en-US"/>
                    </w:rPr>
                    <w:t>挡</w:t>
                  </w:r>
                  <w:r>
                    <w:rPr>
                      <w:rFonts w:ascii="Times New Roman" w:hAnsi="Times New Roman" w:eastAsia="宋体"/>
                      <w:color w:val="auto"/>
                      <w:sz w:val="21"/>
                      <w:szCs w:val="21"/>
                      <w:lang w:val="en-US"/>
                    </w:rPr>
                    <w:t>墙外堆放施工材料、建筑垃圾和渣土。砂土等散体物质运输车辆必须严加管理，采取用篷布盖严或封闭车厢的措施。堆料场和临时堆土场应采取防风防雨措施，防止尘土飞扬，遇恶劣天气加盖毡布。对施工场地、运输道路采取洒水等方法处理，干旱大风天气应加强洒水，适当增加洒水次数。</w:t>
                  </w:r>
                </w:p>
                <w:p w14:paraId="01D23A2F">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营运期：</w:t>
                  </w:r>
                  <w:r>
                    <w:rPr>
                      <w:rFonts w:hint="eastAsia" w:ascii="Times New Roman" w:hAnsi="Times New Roman" w:eastAsia="宋体"/>
                      <w:color w:val="auto"/>
                      <w:sz w:val="21"/>
                      <w:szCs w:val="21"/>
                      <w:lang w:val="en-US"/>
                    </w:rPr>
                    <w:t>本项目为货运专线，不属于装运煤炭的列车，故运营过程中的扬尘可以忽略不计。</w:t>
                  </w:r>
                </w:p>
              </w:tc>
            </w:tr>
            <w:tr w14:paraId="600FE8EB">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4569C52B">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7.</w:t>
                  </w:r>
                  <w:r>
                    <w:rPr>
                      <w:rFonts w:ascii="Times New Roman" w:hAnsi="Times New Roman" w:eastAsia="宋体"/>
                      <w:color w:val="000000" w:themeColor="text1"/>
                      <w:sz w:val="21"/>
                      <w:szCs w:val="21"/>
                      <w:lang w:val="en-US"/>
                      <w14:textFill>
                        <w14:solidFill>
                          <w14:schemeClr w14:val="tx1"/>
                        </w14:solidFill>
                      </w14:textFill>
                    </w:rPr>
                    <w:t>牵引变电所、基站选址应远离居民区、学校等电磁环境敏感目标，与敏感目标距离满足电磁防护相关标准要求。采取有效措施并加强监测，妥善解决列车运行电磁干扰影响沿线无线电视用户接收信号的问题。</w:t>
                  </w:r>
                </w:p>
              </w:tc>
              <w:tc>
                <w:tcPr>
                  <w:tcW w:w="2208" w:type="pct"/>
                  <w:tcBorders>
                    <w:top w:val="single" w:color="auto" w:sz="4" w:space="0"/>
                    <w:left w:val="single" w:color="auto" w:sz="4" w:space="0"/>
                    <w:bottom w:val="single" w:color="auto" w:sz="4" w:space="0"/>
                    <w:right w:val="nil"/>
                  </w:tcBorders>
                  <w:vAlign w:val="center"/>
                </w:tcPr>
                <w:p w14:paraId="05BDDE90">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本项目无牵引变电所、基站，符合审批原则。</w:t>
                  </w:r>
                </w:p>
              </w:tc>
            </w:tr>
            <w:tr w14:paraId="4760535E">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5D675876">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8.</w:t>
                  </w:r>
                  <w:r>
                    <w:rPr>
                      <w:rFonts w:ascii="Times New Roman" w:hAnsi="Times New Roman" w:eastAsia="宋体"/>
                      <w:color w:val="000000" w:themeColor="text1"/>
                      <w:sz w:val="21"/>
                      <w:szCs w:val="21"/>
                      <w:lang w:val="en-US"/>
                      <w14:textFill>
                        <w14:solidFill>
                          <w14:schemeClr w14:val="tx1"/>
                        </w14:solidFill>
                      </w14:textFill>
                    </w:rPr>
                    <w:t>按照</w:t>
                  </w:r>
                  <w:r>
                    <w:rPr>
                      <w:rFonts w:hint="eastAsia" w:ascii="宋体" w:hAnsi="宋体" w:eastAsia="宋体" w:cs="宋体"/>
                      <w:color w:val="000000" w:themeColor="text1"/>
                      <w:sz w:val="21"/>
                      <w:szCs w:val="21"/>
                      <w:lang w:val="en-US"/>
                      <w14:textFill>
                        <w14:solidFill>
                          <w14:schemeClr w14:val="tx1"/>
                        </w14:solidFill>
                      </w14:textFill>
                    </w:rPr>
                    <w:t>“减量化、资源化、无害化”</w:t>
                  </w:r>
                  <w:r>
                    <w:rPr>
                      <w:rFonts w:ascii="Times New Roman" w:hAnsi="Times New Roman" w:eastAsia="宋体"/>
                      <w:color w:val="000000" w:themeColor="text1"/>
                      <w:sz w:val="21"/>
                      <w:szCs w:val="21"/>
                      <w:lang w:val="en-US"/>
                      <w14:textFill>
                        <w14:solidFill>
                          <w14:schemeClr w14:val="tx1"/>
                        </w14:solidFill>
                      </w14:textFill>
                    </w:rPr>
                    <w:t>的原则，对固体废物进行分类收集和处理处置。</w:t>
                  </w:r>
                </w:p>
              </w:tc>
              <w:tc>
                <w:tcPr>
                  <w:tcW w:w="2208" w:type="pct"/>
                  <w:tcBorders>
                    <w:top w:val="single" w:color="auto" w:sz="4" w:space="0"/>
                    <w:left w:val="single" w:color="auto" w:sz="4" w:space="0"/>
                    <w:bottom w:val="single" w:color="auto" w:sz="4" w:space="0"/>
                    <w:right w:val="nil"/>
                  </w:tcBorders>
                  <w:vAlign w:val="center"/>
                </w:tcPr>
                <w:p w14:paraId="60B97F95">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按照</w:t>
                  </w:r>
                  <w:r>
                    <w:rPr>
                      <w:rFonts w:hint="eastAsia" w:ascii="宋体" w:hAnsi="宋体" w:eastAsia="宋体" w:cs="宋体"/>
                      <w:color w:val="auto"/>
                      <w:sz w:val="21"/>
                      <w:szCs w:val="21"/>
                      <w:lang w:val="en-US"/>
                    </w:rPr>
                    <w:t>“减量化</w:t>
                  </w:r>
                  <w:r>
                    <w:rPr>
                      <w:rFonts w:ascii="Times New Roman" w:hAnsi="Times New Roman" w:eastAsia="宋体"/>
                      <w:color w:val="auto"/>
                      <w:sz w:val="21"/>
                      <w:szCs w:val="21"/>
                      <w:lang w:val="en-US"/>
                    </w:rPr>
                    <w:t>、资源化、</w:t>
                  </w:r>
                  <w:r>
                    <w:rPr>
                      <w:rFonts w:hint="eastAsia" w:ascii="宋体" w:hAnsi="宋体" w:eastAsia="宋体" w:cs="宋体"/>
                      <w:color w:val="auto"/>
                      <w:sz w:val="21"/>
                      <w:szCs w:val="21"/>
                      <w:lang w:val="en-US"/>
                    </w:rPr>
                    <w:t>无害化”</w:t>
                  </w:r>
                  <w:r>
                    <w:rPr>
                      <w:rFonts w:ascii="Times New Roman" w:hAnsi="Times New Roman" w:eastAsia="宋体"/>
                      <w:color w:val="auto"/>
                      <w:sz w:val="21"/>
                      <w:szCs w:val="21"/>
                      <w:lang w:val="en-US"/>
                    </w:rPr>
                    <w:t>的原则，对固体废物妥善处置。固体废物贮存和处置系统满足按相关污染控制技术规范和标准要求，符合审批原则。</w:t>
                  </w:r>
                  <w:r>
                    <w:rPr>
                      <w:rFonts w:hint="eastAsia" w:ascii="Times New Roman" w:hAnsi="Times New Roman" w:eastAsia="宋体"/>
                      <w:color w:val="auto"/>
                      <w:sz w:val="21"/>
                      <w:szCs w:val="21"/>
                      <w:lang w:val="en-US"/>
                    </w:rPr>
                    <w:t>本项目运营期无固废产生，施工期弃方用于其他项目回填综合利用，不涉及危险废物。</w:t>
                  </w:r>
                </w:p>
              </w:tc>
            </w:tr>
            <w:tr w14:paraId="404296EF">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556B07A0">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9.</w:t>
                  </w:r>
                  <w:r>
                    <w:rPr>
                      <w:rFonts w:ascii="Times New Roman" w:hAnsi="Times New Roman" w:eastAsia="宋体"/>
                      <w:color w:val="000000" w:themeColor="text1"/>
                      <w:sz w:val="21"/>
                      <w:szCs w:val="21"/>
                      <w:lang w:val="en-US"/>
                      <w14:textFill>
                        <w14:solidFill>
                          <w14:schemeClr w14:val="tx1"/>
                        </w14:solidFill>
                      </w14:textFill>
                    </w:rPr>
                    <w:t>存在环境风险的项目，对风险污染路段和站场，强化环境风险防范措施，提出环境风险防范应急预案的编制要求，建立与当地人民政府相关部门和受影响单位的应急联动机制。</w:t>
                  </w:r>
                </w:p>
              </w:tc>
              <w:tc>
                <w:tcPr>
                  <w:tcW w:w="2208" w:type="pct"/>
                  <w:tcBorders>
                    <w:top w:val="single" w:color="auto" w:sz="4" w:space="0"/>
                    <w:left w:val="single" w:color="auto" w:sz="4" w:space="0"/>
                    <w:bottom w:val="single" w:color="auto" w:sz="4" w:space="0"/>
                    <w:right w:val="nil"/>
                  </w:tcBorders>
                  <w:vAlign w:val="center"/>
                </w:tcPr>
                <w:p w14:paraId="06107419">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本项目为</w:t>
                  </w:r>
                  <w:r>
                    <w:rPr>
                      <w:rFonts w:hint="eastAsia" w:ascii="Times New Roman" w:hAnsi="Times New Roman" w:eastAsia="宋体"/>
                      <w:color w:val="auto"/>
                      <w:sz w:val="21"/>
                      <w:szCs w:val="21"/>
                      <w:lang w:val="en-US"/>
                    </w:rPr>
                    <w:t>油库铁路</w:t>
                  </w:r>
                  <w:r>
                    <w:rPr>
                      <w:rFonts w:ascii="Times New Roman" w:hAnsi="Times New Roman" w:eastAsia="宋体"/>
                      <w:color w:val="auto"/>
                      <w:sz w:val="21"/>
                      <w:szCs w:val="21"/>
                      <w:lang w:val="en-US"/>
                    </w:rPr>
                    <w:t>专</w:t>
                  </w:r>
                  <w:r>
                    <w:rPr>
                      <w:rFonts w:hint="eastAsia" w:ascii="Times New Roman" w:hAnsi="Times New Roman" w:eastAsia="宋体"/>
                      <w:color w:val="auto"/>
                      <w:sz w:val="21"/>
                      <w:szCs w:val="21"/>
                      <w:lang w:val="en-US"/>
                    </w:rPr>
                    <w:t>用</w:t>
                  </w:r>
                  <w:r>
                    <w:rPr>
                      <w:rFonts w:ascii="Times New Roman" w:hAnsi="Times New Roman" w:eastAsia="宋体"/>
                      <w:color w:val="auto"/>
                      <w:sz w:val="21"/>
                      <w:szCs w:val="21"/>
                      <w:lang w:val="en-US"/>
                    </w:rPr>
                    <w:t>线，</w:t>
                  </w:r>
                  <w:r>
                    <w:rPr>
                      <w:rFonts w:hint="eastAsia" w:ascii="Times New Roman" w:hAnsi="Times New Roman" w:eastAsia="宋体"/>
                      <w:color w:val="auto"/>
                      <w:sz w:val="21"/>
                      <w:szCs w:val="21"/>
                      <w:lang w:val="en-US"/>
                    </w:rPr>
                    <w:t>装载运输货物为石油，存在石油泄漏、火灾及爆炸风险</w:t>
                  </w:r>
                  <w:r>
                    <w:rPr>
                      <w:rFonts w:ascii="Times New Roman" w:hAnsi="Times New Roman" w:eastAsia="宋体"/>
                      <w:color w:val="auto"/>
                      <w:sz w:val="21"/>
                      <w:szCs w:val="21"/>
                      <w:lang w:val="en-US"/>
                    </w:rPr>
                    <w:t>。建设单位应按照环评要求做好应急预案，并与当地人民政府相关部门和受影响单位的应急联动机制。</w:t>
                  </w:r>
                  <w:r>
                    <w:rPr>
                      <w:rFonts w:hint="eastAsia" w:ascii="Times New Roman" w:hAnsi="Times New Roman" w:eastAsia="宋体"/>
                      <w:color w:val="auto"/>
                      <w:sz w:val="21"/>
                      <w:szCs w:val="21"/>
                      <w:lang w:val="en-US"/>
                    </w:rPr>
                    <w:t>符合审批原则。</w:t>
                  </w:r>
                </w:p>
              </w:tc>
            </w:tr>
            <w:tr w14:paraId="79747567">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55A51CF9">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10.</w:t>
                  </w:r>
                  <w:r>
                    <w:rPr>
                      <w:rFonts w:ascii="Times New Roman" w:hAnsi="Times New Roman" w:eastAsia="宋体"/>
                      <w:color w:val="000000" w:themeColor="text1"/>
                      <w:sz w:val="21"/>
                      <w:szCs w:val="21"/>
                      <w:lang w:val="en-US"/>
                      <w14:textFill>
                        <w14:solidFill>
                          <w14:schemeClr w14:val="tx1"/>
                        </w14:solidFill>
                      </w14:textFill>
                    </w:rPr>
                    <w:t>改、扩建项目应全面梳理既有工程存在的环保问题，提出整改措施，满足达标排放和环保管理相关要求。</w:t>
                  </w:r>
                </w:p>
              </w:tc>
              <w:tc>
                <w:tcPr>
                  <w:tcW w:w="2208" w:type="pct"/>
                  <w:tcBorders>
                    <w:top w:val="single" w:color="auto" w:sz="4" w:space="0"/>
                    <w:left w:val="single" w:color="auto" w:sz="4" w:space="0"/>
                    <w:bottom w:val="single" w:color="auto" w:sz="4" w:space="0"/>
                    <w:right w:val="nil"/>
                  </w:tcBorders>
                  <w:vAlign w:val="center"/>
                </w:tcPr>
                <w:p w14:paraId="3A55679B">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本项目为</w:t>
                  </w:r>
                  <w:r>
                    <w:rPr>
                      <w:rFonts w:hint="eastAsia" w:ascii="Times New Roman" w:hAnsi="Times New Roman" w:eastAsia="宋体"/>
                      <w:color w:val="auto"/>
                      <w:sz w:val="21"/>
                      <w:szCs w:val="21"/>
                      <w:lang w:val="en-US"/>
                    </w:rPr>
                    <w:t>改建</w:t>
                  </w:r>
                  <w:r>
                    <w:rPr>
                      <w:rFonts w:ascii="Times New Roman" w:hAnsi="Times New Roman" w:eastAsia="宋体"/>
                      <w:color w:val="auto"/>
                      <w:sz w:val="21"/>
                      <w:szCs w:val="21"/>
                      <w:lang w:val="en-US"/>
                    </w:rPr>
                    <w:t>铁路专用线项目，根据现场调查，现有工程各项污染防治措施均落实到位，废气、废水、噪声、固废均实现达标排放，经核实，现有工程无主要环境问题。符合审批原则。</w:t>
                  </w:r>
                </w:p>
              </w:tc>
            </w:tr>
            <w:tr w14:paraId="205AACFC">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03C8F74B">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11.</w:t>
                  </w:r>
                  <w:r>
                    <w:rPr>
                      <w:rFonts w:ascii="Times New Roman" w:hAnsi="Times New Roman" w:eastAsia="宋体"/>
                      <w:color w:val="000000" w:themeColor="text1"/>
                      <w:sz w:val="21"/>
                      <w:szCs w:val="21"/>
                      <w:lang w:val="en-US"/>
                      <w14:textFill>
                        <w14:solidFill>
                          <w14:schemeClr w14:val="tx1"/>
                        </w14:solidFill>
                      </w14:textFill>
                    </w:rPr>
                    <w:t>按环境影响评价技术导则及相关规定制定环境监测计划，根据监测结果完善环境保护措施。明确施工期环境监理、运营期环境管理的要求。</w:t>
                  </w:r>
                </w:p>
              </w:tc>
              <w:tc>
                <w:tcPr>
                  <w:tcW w:w="2208" w:type="pct"/>
                  <w:tcBorders>
                    <w:top w:val="single" w:color="auto" w:sz="4" w:space="0"/>
                    <w:left w:val="single" w:color="auto" w:sz="4" w:space="0"/>
                    <w:bottom w:val="single" w:color="auto" w:sz="4" w:space="0"/>
                    <w:right w:val="nil"/>
                  </w:tcBorders>
                  <w:vAlign w:val="center"/>
                </w:tcPr>
                <w:p w14:paraId="4FC3A9EC">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本项目按环境影响评价技术导则及相关规定制定了环境监测计划，按照环境监测管理规定和技术规范的要求，符合审批原则</w:t>
                  </w:r>
                  <w:r>
                    <w:rPr>
                      <w:rFonts w:hint="eastAsia" w:ascii="Times New Roman" w:hAnsi="Times New Roman" w:eastAsia="宋体"/>
                      <w:color w:val="auto"/>
                      <w:sz w:val="21"/>
                      <w:szCs w:val="21"/>
                      <w:lang w:val="en-US"/>
                    </w:rPr>
                    <w:t>。</w:t>
                  </w:r>
                </w:p>
              </w:tc>
            </w:tr>
            <w:tr w14:paraId="05B6BEE2">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51AB08C0">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12.</w:t>
                  </w:r>
                  <w:r>
                    <w:rPr>
                      <w:rFonts w:ascii="Times New Roman" w:hAnsi="Times New Roman" w:eastAsia="宋体"/>
                      <w:color w:val="000000" w:themeColor="text1"/>
                      <w:sz w:val="21"/>
                      <w:szCs w:val="21"/>
                      <w:lang w:val="en-US"/>
                      <w14:textFill>
                        <w14:solidFill>
                          <w14:schemeClr w14:val="tx1"/>
                        </w14:solidFill>
                      </w14:textFill>
                    </w:rPr>
                    <w:t>对环境保护措施进行深入论证，确保其科学有效、切实可行，合理估算环保投资并纳入投资概算，明确措施实施的责任主体、实施时间、实施效果。</w:t>
                  </w:r>
                </w:p>
              </w:tc>
              <w:tc>
                <w:tcPr>
                  <w:tcW w:w="2208" w:type="pct"/>
                  <w:tcBorders>
                    <w:top w:val="single" w:color="auto" w:sz="4" w:space="0"/>
                    <w:left w:val="single" w:color="auto" w:sz="4" w:space="0"/>
                    <w:bottom w:val="single" w:color="auto" w:sz="4" w:space="0"/>
                    <w:right w:val="nil"/>
                  </w:tcBorders>
                  <w:vAlign w:val="center"/>
                </w:tcPr>
                <w:p w14:paraId="297B9959">
                  <w:pPr>
                    <w:pStyle w:val="69"/>
                    <w:snapToGrid w:val="0"/>
                    <w:spacing w:line="240" w:lineRule="auto"/>
                    <w:ind w:firstLine="0" w:firstLineChars="0"/>
                    <w:rPr>
                      <w:rFonts w:ascii="Times New Roman" w:hAnsi="Times New Roman" w:eastAsia="宋体"/>
                      <w:color w:val="auto"/>
                      <w:sz w:val="21"/>
                      <w:szCs w:val="21"/>
                      <w:lang w:val="en-US"/>
                    </w:rPr>
                  </w:pPr>
                  <w:r>
                    <w:rPr>
                      <w:rFonts w:ascii="Times New Roman" w:hAnsi="Times New Roman" w:eastAsia="宋体"/>
                      <w:color w:val="auto"/>
                      <w:sz w:val="21"/>
                      <w:szCs w:val="21"/>
                      <w:lang w:val="en-US"/>
                    </w:rPr>
                    <w:t>本项目环境保护措施已论证有效性并纳入环保投资，符合审批原则</w:t>
                  </w:r>
                  <w:r>
                    <w:rPr>
                      <w:rFonts w:hint="eastAsia" w:ascii="Times New Roman" w:hAnsi="Times New Roman" w:eastAsia="宋体"/>
                      <w:color w:val="auto"/>
                      <w:sz w:val="21"/>
                      <w:szCs w:val="21"/>
                      <w:lang w:val="en-US"/>
                    </w:rPr>
                    <w:t>。</w:t>
                  </w:r>
                </w:p>
              </w:tc>
            </w:tr>
            <w:tr w14:paraId="3B03246E">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4" w:space="0"/>
                    <w:right w:val="single" w:color="auto" w:sz="4" w:space="0"/>
                  </w:tcBorders>
                  <w:vAlign w:val="center"/>
                </w:tcPr>
                <w:p w14:paraId="4EC58585">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13.</w:t>
                  </w:r>
                  <w:r>
                    <w:rPr>
                      <w:rFonts w:ascii="Times New Roman" w:hAnsi="Times New Roman" w:eastAsia="宋体"/>
                      <w:color w:val="000000" w:themeColor="text1"/>
                      <w:sz w:val="21"/>
                      <w:szCs w:val="21"/>
                      <w:lang w:val="en-US"/>
                      <w14:textFill>
                        <w14:solidFill>
                          <w14:schemeClr w14:val="tx1"/>
                        </w14:solidFill>
                      </w14:textFill>
                    </w:rPr>
                    <w:t>按相关规定开展了信息公开和公众参与</w:t>
                  </w:r>
                </w:p>
              </w:tc>
              <w:tc>
                <w:tcPr>
                  <w:tcW w:w="2208" w:type="pct"/>
                  <w:tcBorders>
                    <w:top w:val="single" w:color="auto" w:sz="4" w:space="0"/>
                    <w:left w:val="single" w:color="auto" w:sz="4" w:space="0"/>
                    <w:bottom w:val="single" w:color="auto" w:sz="4" w:space="0"/>
                    <w:right w:val="nil"/>
                  </w:tcBorders>
                  <w:vAlign w:val="center"/>
                </w:tcPr>
                <w:p w14:paraId="0AA0199C">
                  <w:pPr>
                    <w:pStyle w:val="69"/>
                    <w:snapToGrid w:val="0"/>
                    <w:spacing w:line="240" w:lineRule="auto"/>
                    <w:ind w:firstLine="0" w:firstLineChars="0"/>
                    <w:rPr>
                      <w:rFonts w:ascii="Times New Roman" w:hAnsi="Times New Roman" w:eastAsia="宋体"/>
                      <w:color w:val="auto"/>
                      <w:sz w:val="21"/>
                      <w:szCs w:val="21"/>
                      <w:lang w:val="en-US"/>
                    </w:rPr>
                  </w:pPr>
                  <w:r>
                    <w:rPr>
                      <w:rFonts w:hint="eastAsia" w:ascii="Times New Roman" w:hAnsi="Times New Roman" w:eastAsia="宋体"/>
                      <w:color w:val="auto"/>
                      <w:sz w:val="21"/>
                      <w:szCs w:val="21"/>
                      <w:lang w:val="en-US"/>
                    </w:rPr>
                    <w:t>本项目为油库铁路专用线大修工程，</w:t>
                  </w:r>
                  <w:r>
                    <w:rPr>
                      <w:rFonts w:hint="eastAsia" w:ascii="Times New Roman" w:hAnsi="Times New Roman" w:eastAsia="宋体"/>
                      <w:color w:val="auto"/>
                      <w:sz w:val="21"/>
                      <w:szCs w:val="21"/>
                      <w:lang w:val="en-US" w:eastAsia="zh-CN"/>
                    </w:rPr>
                    <w:t>报告表无需开展公众参与</w:t>
                  </w:r>
                  <w:r>
                    <w:rPr>
                      <w:rFonts w:ascii="Times New Roman" w:hAnsi="Times New Roman" w:eastAsia="宋体"/>
                      <w:color w:val="auto"/>
                      <w:sz w:val="21"/>
                      <w:szCs w:val="21"/>
                      <w:lang w:val="en-US"/>
                    </w:rPr>
                    <w:t>，符合审批原则</w:t>
                  </w:r>
                  <w:r>
                    <w:rPr>
                      <w:rFonts w:hint="eastAsia" w:ascii="Times New Roman" w:hAnsi="Times New Roman" w:eastAsia="宋体"/>
                      <w:color w:val="auto"/>
                      <w:sz w:val="21"/>
                      <w:szCs w:val="21"/>
                      <w:lang w:val="en-US"/>
                    </w:rPr>
                    <w:t>。</w:t>
                  </w:r>
                </w:p>
              </w:tc>
            </w:tr>
            <w:tr w14:paraId="57ECFC92">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91" w:type="pct"/>
                  <w:tcBorders>
                    <w:top w:val="single" w:color="auto" w:sz="4" w:space="0"/>
                    <w:left w:val="nil"/>
                    <w:bottom w:val="single" w:color="auto" w:sz="12" w:space="0"/>
                    <w:right w:val="single" w:color="auto" w:sz="4" w:space="0"/>
                  </w:tcBorders>
                  <w:vAlign w:val="center"/>
                </w:tcPr>
                <w:p w14:paraId="029950A1">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14:textFill>
                        <w14:solidFill>
                          <w14:schemeClr w14:val="tx1"/>
                        </w14:solidFill>
                      </w14:textFill>
                    </w:rPr>
                    <w:t>14.</w:t>
                  </w:r>
                  <w:r>
                    <w:rPr>
                      <w:rFonts w:ascii="Times New Roman" w:hAnsi="Times New Roman" w:eastAsia="宋体"/>
                      <w:color w:val="000000" w:themeColor="text1"/>
                      <w:sz w:val="21"/>
                      <w:szCs w:val="21"/>
                      <w:lang w:val="en-US"/>
                      <w14:textFill>
                        <w14:solidFill>
                          <w14:schemeClr w14:val="tx1"/>
                        </w14:solidFill>
                      </w14:textFill>
                    </w:rPr>
                    <w:t>环境影响评价文件编制规范，符合资质管理规定和环评技术标准要求。</w:t>
                  </w:r>
                </w:p>
              </w:tc>
              <w:tc>
                <w:tcPr>
                  <w:tcW w:w="2208" w:type="pct"/>
                  <w:tcBorders>
                    <w:top w:val="single" w:color="auto" w:sz="4" w:space="0"/>
                    <w:left w:val="single" w:color="auto" w:sz="4" w:space="0"/>
                    <w:bottom w:val="single" w:color="auto" w:sz="12" w:space="0"/>
                    <w:right w:val="nil"/>
                  </w:tcBorders>
                  <w:vAlign w:val="center"/>
                </w:tcPr>
                <w:p w14:paraId="4EB6DA99">
                  <w:pPr>
                    <w:pStyle w:val="69"/>
                    <w:snapToGrid w:val="0"/>
                    <w:spacing w:line="240" w:lineRule="auto"/>
                    <w:ind w:firstLine="0" w:firstLineChars="0"/>
                    <w:rPr>
                      <w:rFonts w:ascii="Times New Roman" w:hAnsi="Times New Roman" w:eastAsia="宋体"/>
                      <w:color w:val="000000" w:themeColor="text1"/>
                      <w:sz w:val="21"/>
                      <w:szCs w:val="21"/>
                      <w:lang w:val="en-US"/>
                      <w14:textFill>
                        <w14:solidFill>
                          <w14:schemeClr w14:val="tx1"/>
                        </w14:solidFill>
                      </w14:textFill>
                    </w:rPr>
                  </w:pPr>
                  <w:r>
                    <w:rPr>
                      <w:rFonts w:ascii="Times New Roman" w:hAnsi="Times New Roman" w:eastAsia="宋体"/>
                      <w:color w:val="000000" w:themeColor="text1"/>
                      <w:sz w:val="21"/>
                      <w:szCs w:val="21"/>
                      <w:lang w:val="en-US"/>
                      <w14:textFill>
                        <w14:solidFill>
                          <w14:schemeClr w14:val="tx1"/>
                        </w14:solidFill>
                      </w14:textFill>
                    </w:rPr>
                    <w:t>本项目严格按照相关导则及产业政策法规要求编制，符合资质管理规定和环评技术标准要求，符合审批原则</w:t>
                  </w:r>
                  <w:r>
                    <w:rPr>
                      <w:rFonts w:hint="eastAsia" w:ascii="Times New Roman" w:hAnsi="Times New Roman" w:eastAsia="宋体"/>
                      <w:color w:val="000000" w:themeColor="text1"/>
                      <w:sz w:val="21"/>
                      <w:szCs w:val="21"/>
                      <w:lang w:val="en-US"/>
                      <w14:textFill>
                        <w14:solidFill>
                          <w14:schemeClr w14:val="tx1"/>
                        </w14:solidFill>
                      </w14:textFill>
                    </w:rPr>
                    <w:t>。</w:t>
                  </w:r>
                </w:p>
              </w:tc>
            </w:tr>
          </w:tbl>
          <w:p w14:paraId="39A2477A">
            <w:pPr>
              <w:ind w:firstLine="480"/>
            </w:pPr>
          </w:p>
          <w:p w14:paraId="219CF661">
            <w:pPr>
              <w:ind w:firstLine="480"/>
            </w:pPr>
            <w:r>
              <w:t>工程采取环保措施减轻工程建设带来的环境影响，项目符合《铁路建设项目环境影响评价文件审批原则（试行）》的相关要求</w:t>
            </w:r>
            <w:r>
              <w:rPr>
                <w:rFonts w:hint="eastAsia"/>
              </w:rPr>
              <w:t>。</w:t>
            </w:r>
          </w:p>
          <w:p w14:paraId="1DA49FA9">
            <w:pPr>
              <w:ind w:firstLine="482"/>
              <w:rPr>
                <w:b/>
                <w:bCs/>
              </w:rPr>
            </w:pPr>
            <w:r>
              <w:rPr>
                <w:rFonts w:hint="eastAsia"/>
                <w:b/>
                <w:bCs/>
              </w:rPr>
              <w:t>9</w:t>
            </w:r>
            <w:r>
              <w:rPr>
                <w:b/>
                <w:bCs/>
              </w:rPr>
              <w:t>、与《黑龙江省</w:t>
            </w:r>
            <w:r>
              <w:rPr>
                <w:rFonts w:hint="eastAsia" w:ascii="宋体" w:hAnsi="宋体" w:cs="宋体"/>
                <w:b/>
                <w:bCs/>
              </w:rPr>
              <w:t>“十四五”黑</w:t>
            </w:r>
            <w:r>
              <w:rPr>
                <w:b/>
                <w:bCs/>
              </w:rPr>
              <w:t>土地保护规划》符合性分析</w:t>
            </w:r>
          </w:p>
          <w:p w14:paraId="4F8DE79E">
            <w:pPr>
              <w:ind w:firstLine="480"/>
            </w:pPr>
            <w:r>
              <w:t>黑龙江省</w:t>
            </w:r>
            <w:r>
              <w:rPr>
                <w:rFonts w:hint="eastAsia" w:ascii="宋体" w:hAnsi="宋体" w:cs="宋体"/>
              </w:rPr>
              <w:t>“十四五”</w:t>
            </w:r>
            <w:r>
              <w:t>黑土地保护规划提出：采取</w:t>
            </w:r>
            <w:r>
              <w:rPr>
                <w:rFonts w:hint="eastAsia" w:ascii="宋体" w:hAnsi="宋体" w:cs="宋体"/>
              </w:rPr>
              <w:t>“三严”</w:t>
            </w:r>
            <w:r>
              <w:t>措施，依法加强黑土耕地数量管控，坚决遏制耕地</w:t>
            </w:r>
            <w:r>
              <w:rPr>
                <w:rFonts w:hint="eastAsia" w:ascii="宋体" w:hAnsi="宋体" w:cs="宋体"/>
              </w:rPr>
              <w:t>“非农化”</w:t>
            </w:r>
            <w:r>
              <w:t>、</w:t>
            </w:r>
            <w:r>
              <w:rPr>
                <w:rFonts w:hint="eastAsia" w:ascii="宋体" w:hAnsi="宋体" w:cs="宋体"/>
              </w:rPr>
              <w:t>防止“非粮化”</w:t>
            </w:r>
            <w:r>
              <w:t>。</w:t>
            </w:r>
          </w:p>
          <w:p w14:paraId="11FB6E58">
            <w:pPr>
              <w:ind w:firstLine="480"/>
            </w:pPr>
            <w:r>
              <w:t>①严控耕地保护红线。实行最严格的耕地保护制度，划定耕地保护红线和永久基本农田控制线，严格落实耕地占补平衡、易地补充耕地、土地复垦等政策，确保完成规划期内黑土耕地保有量和永久基本农田保护任务。</w:t>
            </w:r>
          </w:p>
          <w:p w14:paraId="75C4E68E">
            <w:pPr>
              <w:ind w:firstLine="480"/>
            </w:pPr>
            <w:r>
              <w:t>②严格国土空间用途管制。划定一般农业区，把优质黑土耕地优先划入一般农业区。制定用途管制规则，实行严格的用途管制，严控非农建设用地规模，尽量少占优质黑土地。强化对占用黑土地的管控约束，使得城镇发展等非农建设尽量避让优质黑土地。</w:t>
            </w:r>
          </w:p>
          <w:p w14:paraId="1DCDC575">
            <w:pPr>
              <w:ind w:firstLine="480"/>
            </w:pPr>
            <w:r>
              <w:t>③严格土地执法。建设项目占用耕地的，应当按规定进行表土剥离和利用。全面加大黑土耕地保护违法违规问题执法力度，及时发现、严肃查处土地违法特别是乱占耕地、破坏耕地、盗挖黑土等行为。</w:t>
            </w:r>
          </w:p>
          <w:p w14:paraId="7A1CD452">
            <w:pPr>
              <w:ind w:firstLine="480"/>
            </w:pPr>
            <w:r>
              <w:t>本项目不占用耕地保护红线</w:t>
            </w:r>
            <w:r>
              <w:rPr>
                <w:rFonts w:hint="eastAsia"/>
              </w:rPr>
              <w:t>，不新增永久占地，符合《黑龙江省“十四五”黑土地保护规划》相关要求。</w:t>
            </w:r>
          </w:p>
          <w:p w14:paraId="3F0A3E2F">
            <w:pPr>
              <w:ind w:firstLine="482"/>
              <w:rPr>
                <w:b/>
                <w:bCs/>
                <w:color w:val="auto"/>
              </w:rPr>
            </w:pPr>
            <w:r>
              <w:rPr>
                <w:rFonts w:hint="eastAsia"/>
                <w:b/>
                <w:bCs/>
                <w:color w:val="auto"/>
              </w:rPr>
              <w:t>10、与《黑龙江黑土地保护利用条例》的符合性分析</w:t>
            </w:r>
          </w:p>
          <w:p w14:paraId="0700563D">
            <w:pPr>
              <w:ind w:firstLine="480"/>
              <w:rPr>
                <w:color w:val="auto"/>
              </w:rPr>
            </w:pPr>
            <w:r>
              <w:rPr>
                <w:color w:val="auto"/>
              </w:rPr>
              <w:t>《黑龙江省黑土地保护利用条例》（2024年3月1日起施行）规定：在黑土地上禁止下列行为：</w:t>
            </w:r>
          </w:p>
          <w:p w14:paraId="32F90860">
            <w:pPr>
              <w:ind w:firstLine="480"/>
              <w:rPr>
                <w:color w:val="auto"/>
              </w:rPr>
            </w:pPr>
            <w:r>
              <w:rPr>
                <w:color w:val="auto"/>
              </w:rPr>
              <w:t>（一）建窑、建坟；</w:t>
            </w:r>
          </w:p>
          <w:p w14:paraId="16C316C8">
            <w:pPr>
              <w:ind w:firstLine="480"/>
              <w:rPr>
                <w:color w:val="auto"/>
              </w:rPr>
            </w:pPr>
            <w:r>
              <w:rPr>
                <w:color w:val="auto"/>
              </w:rPr>
              <w:t>（二）擅自建房、挖砂、采石、采矿等；</w:t>
            </w:r>
          </w:p>
          <w:p w14:paraId="554DAA35">
            <w:pPr>
              <w:ind w:firstLine="480"/>
              <w:rPr>
                <w:color w:val="auto"/>
              </w:rPr>
            </w:pPr>
            <w:r>
              <w:rPr>
                <w:color w:val="auto"/>
              </w:rPr>
              <w:t>（三）向黑土地倾倒垃圾；</w:t>
            </w:r>
          </w:p>
          <w:p w14:paraId="1F878BE5">
            <w:pPr>
              <w:ind w:firstLine="480"/>
              <w:rPr>
                <w:color w:val="auto"/>
              </w:rPr>
            </w:pPr>
            <w:r>
              <w:rPr>
                <w:color w:val="auto"/>
              </w:rPr>
              <w:t>（四）法律、法规规定的其他禁止行为。</w:t>
            </w:r>
          </w:p>
          <w:p w14:paraId="2E0EA576">
            <w:pPr>
              <w:ind w:firstLine="480"/>
              <w:rPr>
                <w:color w:val="auto"/>
              </w:rPr>
            </w:pPr>
            <w:r>
              <w:rPr>
                <w:color w:val="auto"/>
              </w:rPr>
              <w:t>本项目为铁路专用线建设项目，不属于建窑、建坟项目，也不属于擅自建房、挖砂、采石、采矿等项目。本项目生活垃圾桶，统一收集后由环卫部门统一及时处理，施工期建筑垃圾及时运往政府指定地点处置，不在现场堆存，不占用黑土地。因此本项目符合《黑龙江省黑土地保护利用条例》的要求。</w:t>
            </w:r>
          </w:p>
          <w:p w14:paraId="02EE6E79">
            <w:pPr>
              <w:ind w:firstLine="482"/>
              <w:rPr>
                <w:b/>
                <w:bCs/>
              </w:rPr>
            </w:pPr>
            <w:r>
              <w:rPr>
                <w:rFonts w:hint="eastAsia"/>
                <w:b/>
                <w:bCs/>
                <w:color w:val="auto"/>
              </w:rPr>
              <w:t>11、与《“十四五”噪声污</w:t>
            </w:r>
            <w:r>
              <w:rPr>
                <w:rFonts w:hint="eastAsia"/>
                <w:b/>
                <w:bCs/>
              </w:rPr>
              <w:t>染防治行动计划》符合性分析</w:t>
            </w:r>
          </w:p>
          <w:p w14:paraId="1010B9D4">
            <w:pPr>
              <w:ind w:firstLine="480"/>
            </w:pPr>
            <w:r>
              <w:t>根据《关于印发《</w:t>
            </w:r>
            <w:r>
              <w:rPr>
                <w:rFonts w:hint="eastAsia" w:ascii="宋体" w:hAnsi="宋体" w:cs="宋体"/>
              </w:rPr>
              <w:t>“十四五”</w:t>
            </w:r>
            <w:r>
              <w:t>噪声污染防治行动计划》的通知》（环大气〔2023〕1号）：六、加大交通运输噪声污染防治，推动各领域分步治理（十三）推动轨道交通噪声污染防治</w:t>
            </w:r>
            <w:r>
              <w:rPr>
                <w:rFonts w:hint="eastAsia"/>
              </w:rPr>
              <w:t>：</w:t>
            </w:r>
            <w:r>
              <w:t>21．细化铁路噪声污染防治要求。明确铁路监督管理机构噪声污染防治责任部门，细化铁路噪声污染治理措施，与铁路运输企业以及相关部门建立工作联系机制，加强行业监管。铁路运输企业会同地方有关部门推动铁路列车鸣笛噪声污染综合整治，推动市区铁路道口平面改立交；加强对铁路线路和铁路机车车辆的维护保养，确保减振降噪设施正常运行，按照国家规定开展噪声监测，保存原始监测记录。鼓励通过中心城区的铁路两侧设置封闭防护栅栏。</w:t>
            </w:r>
          </w:p>
          <w:p w14:paraId="6CB5B163">
            <w:pPr>
              <w:ind w:firstLine="480"/>
            </w:pPr>
            <w:r>
              <w:t>本次评价已细化铁路噪声污染治理措施，并从以下几方面提出了噪声污染防治措施：合理规划布局、源强控制、加强铁路管理从源强上控制噪声、加强机车鸣笛噪声控制、加强绿化、建立铁路线路安全保护区、预留噪声防治资金等。并针对运营期制定了环境噪声监测计划。本项目位于黑龙江省双鸭山市集贤县福利屯，未通过中心城区，铁路两侧无需设置封闭防护栅栏。因此本项目建设符合《关于印发《</w:t>
            </w:r>
            <w:r>
              <w:rPr>
                <w:rFonts w:hint="eastAsia" w:ascii="宋体" w:hAnsi="宋体" w:cs="宋体"/>
              </w:rPr>
              <w:t>“十四五”</w:t>
            </w:r>
            <w:r>
              <w:t>噪声污染防治行动计划》的通知》（环大气〔2023〕1号）的要求。</w:t>
            </w:r>
          </w:p>
          <w:p w14:paraId="11631CBA">
            <w:pPr>
              <w:ind w:firstLine="482"/>
              <w:rPr>
                <w:b/>
                <w:bCs/>
              </w:rPr>
            </w:pPr>
            <w:r>
              <w:rPr>
                <w:rFonts w:hint="eastAsia"/>
                <w:b/>
                <w:bCs/>
              </w:rPr>
              <w:t>12、与《关于进一步加强和改进公路、铁路项目建设用地服务和监管的通知》符合性分析</w:t>
            </w:r>
          </w:p>
          <w:p w14:paraId="2251C57E">
            <w:pPr>
              <w:ind w:firstLine="480"/>
            </w:pPr>
            <w:r>
              <w:t>国土资源部 交通运输部 铁道部《关于进一步加强和改进公路、铁路项目建设用地服务和监管的通知》（国土资发〔2011〕30号）规定：各主管部门和用地单位都要牢固树立依法依规用地意识，坚决杜绝未经依法批准用地擅自开工建设行为，严禁单纯追求建设进度造成违法违规用地。要认真执行土地征收和临时用地补偿安置的法规政策。地方各级国土资源主管部门要按照国土资源部《关于加快做好国务院批准单独选址建设项目用地审查工作的通知》（国土资发〔2010〕192号）的要求，对符合条件的公路、铁路项目建设用地，积极主动服务，改进用地审查报批工作，提高审批效率。</w:t>
            </w:r>
          </w:p>
          <w:p w14:paraId="361235E9">
            <w:pPr>
              <w:ind w:firstLine="480"/>
              <w:rPr>
                <w:color w:val="auto"/>
                <w:highlight w:val="none"/>
              </w:rPr>
            </w:pPr>
            <w:r>
              <w:rPr>
                <w:rFonts w:hint="eastAsia"/>
                <w:color w:val="auto"/>
                <w:highlight w:val="none"/>
              </w:rPr>
              <w:t>本项目为油库铁路专用线大修工程，项目无未批先建行为，占地为铁路建设用地，不新增永久占地。</w:t>
            </w:r>
            <w:r>
              <w:rPr>
                <w:color w:val="auto"/>
                <w:highlight w:val="none"/>
              </w:rPr>
              <w:t>本项目建设符合《关于进一步加强和改进公路、铁路项目建设用地服务和监管的通知》（国土资发〔2011〕30号）的要求。</w:t>
            </w:r>
          </w:p>
          <w:p w14:paraId="73AAFBE4">
            <w:pPr>
              <w:ind w:firstLine="482"/>
              <w:rPr>
                <w:b/>
                <w:bCs/>
              </w:rPr>
            </w:pPr>
            <w:r>
              <w:rPr>
                <w:rFonts w:hint="eastAsia"/>
                <w:b/>
                <w:bCs/>
              </w:rPr>
              <w:t>13、与《黑龙江省“十四五”生态环境保护规划》符合性分析</w:t>
            </w:r>
          </w:p>
          <w:p w14:paraId="018E4847">
            <w:pPr>
              <w:ind w:firstLine="480"/>
            </w:pPr>
            <w:r>
              <w:t>根据《黑龙江省</w:t>
            </w:r>
            <w:r>
              <w:rPr>
                <w:rFonts w:hint="eastAsia" w:ascii="宋体" w:hAnsi="宋体" w:cs="宋体"/>
              </w:rPr>
              <w:t>“十四五”</w:t>
            </w:r>
            <w:r>
              <w:t>生态环境保护规划》要求，建设绿色交通运输体系。优化交通运输结构。加大运输结构调整力度，推动大宗货物和集装箱中长距离运输向铁路和水路运输转移。推动全省重要物流通道干线铁路建设，以及大型企业和园区铁路专用线建设。增强松花江、黑龙江航运能力。</w:t>
            </w:r>
          </w:p>
          <w:p w14:paraId="4A777561">
            <w:pPr>
              <w:ind w:firstLine="480"/>
            </w:pPr>
            <w:r>
              <w:t>本项目作为</w:t>
            </w:r>
            <w:r>
              <w:rPr>
                <w:rFonts w:hint="eastAsia"/>
              </w:rPr>
              <w:t>油库铁路</w:t>
            </w:r>
            <w:r>
              <w:t>专用线</w:t>
            </w:r>
            <w:r>
              <w:rPr>
                <w:rFonts w:hint="eastAsia"/>
              </w:rPr>
              <w:t>大修工程</w:t>
            </w:r>
            <w:r>
              <w:t>建设项目，建成后在促进地方经济发展、降低企业运输成本和提高铁路运输收益等方面具有积极重要的作用，因此本项目符合《黑龙江省</w:t>
            </w:r>
            <w:r>
              <w:rPr>
                <w:rFonts w:hint="eastAsia" w:ascii="宋体" w:hAnsi="宋体" w:cs="宋体"/>
              </w:rPr>
              <w:t>“十四五”</w:t>
            </w:r>
            <w:r>
              <w:t>生态环境保护规划》的要求。</w:t>
            </w:r>
          </w:p>
          <w:p w14:paraId="63DEDCCF">
            <w:pPr>
              <w:ind w:firstLine="482"/>
            </w:pPr>
            <w:r>
              <w:rPr>
                <w:rFonts w:hint="eastAsia"/>
                <w:b/>
                <w:bCs/>
              </w:rPr>
              <w:t>14、生态环境分区管控符合性分析</w:t>
            </w:r>
          </w:p>
          <w:p w14:paraId="77C9DCF1">
            <w:pPr>
              <w:ind w:firstLine="480"/>
            </w:pPr>
            <w:r>
              <w:rPr>
                <w:rFonts w:hint="eastAsia"/>
              </w:rPr>
              <w:t>本项目为黑龙江省中国石油福利屯油库铁路专用线大修工程，位于黑龙江省双鸭山市集贤县内。根据《黑龙江省人民政府关于实施“三线一单”生态环境分区管控的意见》（黑政发〔2020〕14号）以及《双鸭山市人民政府关于实施“三线一单”生态环境分区管控的意见》（双政规〔2021〕2号），本项目位于重点管控单元。本项目不占用生态保护红线，不占用永久基本农田。</w:t>
            </w:r>
          </w:p>
          <w:p w14:paraId="162E1166">
            <w:pPr>
              <w:ind w:firstLine="480"/>
            </w:pPr>
            <w:r>
              <w:t>（1）生态保护红线</w:t>
            </w:r>
          </w:p>
          <w:p w14:paraId="005E35AC">
            <w:pPr>
              <w:ind w:firstLine="480"/>
            </w:pPr>
            <w:r>
              <w:rPr>
                <w:rFonts w:hint="eastAsia"/>
              </w:rPr>
              <w:t>本项目为黑龙江省中国石油福利屯油库铁路专用线大修工程，项目位于黑龙江省双鸭山市集贤县内，项目区域不涉及自然保护区、地质公园、风景名胜区、森林公园、水产种质资源保护区、饮用水水源保护区、湿地公园和一级国家级公益生态林等生态保护红线区域。项目选址及建设符合生态保护红线总体管控要求。</w:t>
            </w:r>
          </w:p>
          <w:p w14:paraId="393DC321">
            <w:pPr>
              <w:ind w:firstLine="480"/>
            </w:pPr>
            <w:r>
              <w:rPr>
                <w:rFonts w:hint="eastAsia"/>
              </w:rPr>
              <w:t>（2）环境质量底线</w:t>
            </w:r>
          </w:p>
          <w:p w14:paraId="117392F2">
            <w:pPr>
              <w:ind w:firstLine="480"/>
            </w:pPr>
            <w:r>
              <w:rPr>
                <w:rFonts w:hint="eastAsia"/>
              </w:rPr>
              <w:t>经查询，本项目位置属于水环境一般管控区、大气环境布局敏感重点管控区、大气环境受体敏感重点管控区，示意图附件3。项目区域大气环境、水环境、声环境质量现状能够满足相应的标准要求。项目建设不会突破环境质量底线。</w:t>
            </w:r>
          </w:p>
          <w:p w14:paraId="19D91A7E">
            <w:pPr>
              <w:ind w:firstLine="480"/>
            </w:pPr>
            <w:r>
              <w:rPr>
                <w:rFonts w:hint="eastAsia"/>
              </w:rPr>
              <w:t>（3）资源利用上线</w:t>
            </w:r>
          </w:p>
          <w:p w14:paraId="38DA1FAD">
            <w:pPr>
              <w:ind w:firstLine="480"/>
            </w:pPr>
            <w:r>
              <w:t>本项目建成后不需要煤、热等能源资源，不消耗水资源，项目在既有铁路用地内建设，无须新征用地，项目建设符合资源利用上线要求。</w:t>
            </w:r>
          </w:p>
          <w:p w14:paraId="22FE09C4">
            <w:pPr>
              <w:ind w:firstLine="480"/>
            </w:pPr>
            <w:r>
              <w:rPr>
                <w:rFonts w:hint="eastAsia"/>
              </w:rPr>
              <w:t>（4）生态环境准入清单</w:t>
            </w:r>
          </w:p>
          <w:p w14:paraId="06C9567C">
            <w:pPr>
              <w:ind w:firstLine="480"/>
              <w:rPr>
                <w:color w:val="auto"/>
              </w:rPr>
            </w:pPr>
            <w:r>
              <w:rPr>
                <w:color w:val="auto"/>
              </w:rPr>
              <w:t>本项目位于黑龙江省双鸭山市集贤县内</w:t>
            </w:r>
            <w:r>
              <w:rPr>
                <w:rFonts w:hint="eastAsia"/>
                <w:color w:val="auto"/>
              </w:rPr>
              <w:t>，根据《双鸭山市生态环境准入清单》（2023年版）《黑龙江省人民政府关于实施“三线一单”生态环境分区管控的意见》（黑政发〔2020〕14号）以及关于《双鸭山市人民政府关于实施“三线一单”生态环境分区管控的意见》（双政规〔2021〕2号），项目生态环境准入要求符合性分析见下表。</w:t>
            </w:r>
          </w:p>
          <w:p w14:paraId="750781F3">
            <w:pPr>
              <w:pStyle w:val="33"/>
              <w:rPr>
                <w:color w:val="auto"/>
              </w:rPr>
            </w:pPr>
            <w:r>
              <w:rPr>
                <w:rFonts w:hint="eastAsia"/>
                <w:color w:val="auto"/>
              </w:rPr>
              <w:t>表1-3 生态环境准入清单要求</w:t>
            </w:r>
          </w:p>
          <w:tbl>
            <w:tblPr>
              <w:tblStyle w:val="26"/>
              <w:tblW w:w="716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7"/>
              <w:gridCol w:w="465"/>
              <w:gridCol w:w="405"/>
              <w:gridCol w:w="660"/>
              <w:gridCol w:w="3930"/>
              <w:gridCol w:w="1304"/>
            </w:tblGrid>
            <w:tr w14:paraId="15291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7" w:type="dxa"/>
                  <w:tcBorders>
                    <w:tl2br w:val="nil"/>
                    <w:tr2bl w:val="nil"/>
                  </w:tcBorders>
                  <w:vAlign w:val="center"/>
                </w:tcPr>
                <w:p w14:paraId="3C113C3E">
                  <w:pPr>
                    <w:pStyle w:val="30"/>
                    <w:rPr>
                      <w:color w:val="auto"/>
                    </w:rPr>
                  </w:pPr>
                  <w:r>
                    <w:rPr>
                      <w:rFonts w:hint="eastAsia"/>
                      <w:color w:val="auto"/>
                    </w:rPr>
                    <w:t>环境管控单元编码</w:t>
                  </w:r>
                </w:p>
              </w:tc>
              <w:tc>
                <w:tcPr>
                  <w:tcW w:w="465" w:type="dxa"/>
                  <w:tcBorders>
                    <w:tl2br w:val="nil"/>
                    <w:tr2bl w:val="nil"/>
                  </w:tcBorders>
                  <w:vAlign w:val="center"/>
                </w:tcPr>
                <w:p w14:paraId="7C40DED3">
                  <w:pPr>
                    <w:pStyle w:val="30"/>
                    <w:rPr>
                      <w:color w:val="auto"/>
                    </w:rPr>
                  </w:pPr>
                  <w:r>
                    <w:rPr>
                      <w:rFonts w:hint="eastAsia"/>
                      <w:color w:val="auto"/>
                    </w:rPr>
                    <w:t>环境管控单元名称</w:t>
                  </w:r>
                </w:p>
              </w:tc>
              <w:tc>
                <w:tcPr>
                  <w:tcW w:w="1065" w:type="dxa"/>
                  <w:gridSpan w:val="2"/>
                  <w:tcBorders>
                    <w:tl2br w:val="nil"/>
                    <w:tr2bl w:val="nil"/>
                  </w:tcBorders>
                  <w:vAlign w:val="center"/>
                </w:tcPr>
                <w:p w14:paraId="5FB14FB8">
                  <w:pPr>
                    <w:pStyle w:val="30"/>
                    <w:rPr>
                      <w:color w:val="auto"/>
                    </w:rPr>
                  </w:pPr>
                  <w:r>
                    <w:rPr>
                      <w:rFonts w:hint="eastAsia"/>
                      <w:color w:val="auto"/>
                    </w:rPr>
                    <w:t>管控单元分类</w:t>
                  </w:r>
                </w:p>
              </w:tc>
              <w:tc>
                <w:tcPr>
                  <w:tcW w:w="3930" w:type="dxa"/>
                  <w:tcBorders>
                    <w:tl2br w:val="nil"/>
                    <w:tr2bl w:val="nil"/>
                  </w:tcBorders>
                  <w:vAlign w:val="center"/>
                </w:tcPr>
                <w:p w14:paraId="304C247B">
                  <w:pPr>
                    <w:pStyle w:val="30"/>
                    <w:rPr>
                      <w:color w:val="auto"/>
                    </w:rPr>
                  </w:pPr>
                  <w:r>
                    <w:rPr>
                      <w:rFonts w:hint="eastAsia"/>
                      <w:color w:val="auto"/>
                    </w:rPr>
                    <w:t>管控要求</w:t>
                  </w:r>
                </w:p>
              </w:tc>
              <w:tc>
                <w:tcPr>
                  <w:tcW w:w="1304" w:type="dxa"/>
                  <w:tcBorders>
                    <w:tl2br w:val="nil"/>
                    <w:tr2bl w:val="nil"/>
                  </w:tcBorders>
                  <w:vAlign w:val="center"/>
                </w:tcPr>
                <w:p w14:paraId="742045F7">
                  <w:pPr>
                    <w:pStyle w:val="30"/>
                    <w:rPr>
                      <w:color w:val="auto"/>
                    </w:rPr>
                  </w:pPr>
                  <w:r>
                    <w:rPr>
                      <w:rFonts w:hint="eastAsia"/>
                      <w:color w:val="auto"/>
                    </w:rPr>
                    <w:t>符合性分析</w:t>
                  </w:r>
                </w:p>
              </w:tc>
            </w:tr>
            <w:tr w14:paraId="639F3E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7" w:type="dxa"/>
                  <w:vMerge w:val="restart"/>
                  <w:tcBorders>
                    <w:tl2br w:val="nil"/>
                    <w:tr2bl w:val="nil"/>
                  </w:tcBorders>
                  <w:vAlign w:val="center"/>
                </w:tcPr>
                <w:p w14:paraId="64BB9F11">
                  <w:pPr>
                    <w:pStyle w:val="30"/>
                    <w:rPr>
                      <w:color w:val="auto"/>
                    </w:rPr>
                  </w:pPr>
                  <w:r>
                    <w:rPr>
                      <w:rFonts w:hint="eastAsia"/>
                      <w:color w:val="auto"/>
                    </w:rPr>
                    <w:t>ZH23052120002</w:t>
                  </w:r>
                </w:p>
              </w:tc>
              <w:tc>
                <w:tcPr>
                  <w:tcW w:w="465" w:type="dxa"/>
                  <w:vMerge w:val="restart"/>
                  <w:tcBorders>
                    <w:tl2br w:val="nil"/>
                    <w:tr2bl w:val="nil"/>
                  </w:tcBorders>
                  <w:vAlign w:val="center"/>
                </w:tcPr>
                <w:p w14:paraId="0CD24D0F">
                  <w:pPr>
                    <w:pStyle w:val="30"/>
                    <w:rPr>
                      <w:color w:val="auto"/>
                    </w:rPr>
                  </w:pPr>
                  <w:r>
                    <w:rPr>
                      <w:rFonts w:hint="eastAsia"/>
                      <w:color w:val="auto"/>
                    </w:rPr>
                    <w:t>集贤县城镇空间</w:t>
                  </w:r>
                </w:p>
              </w:tc>
              <w:tc>
                <w:tcPr>
                  <w:tcW w:w="405" w:type="dxa"/>
                  <w:vMerge w:val="restart"/>
                  <w:tcBorders>
                    <w:tl2br w:val="nil"/>
                    <w:tr2bl w:val="nil"/>
                  </w:tcBorders>
                  <w:vAlign w:val="center"/>
                </w:tcPr>
                <w:p w14:paraId="7AE2F1EA">
                  <w:pPr>
                    <w:pStyle w:val="30"/>
                    <w:rPr>
                      <w:color w:val="auto"/>
                    </w:rPr>
                  </w:pPr>
                  <w:r>
                    <w:rPr>
                      <w:rFonts w:hint="eastAsia"/>
                      <w:color w:val="auto"/>
                    </w:rPr>
                    <w:t>重点管控单元</w:t>
                  </w:r>
                </w:p>
              </w:tc>
              <w:tc>
                <w:tcPr>
                  <w:tcW w:w="660" w:type="dxa"/>
                  <w:tcBorders>
                    <w:tl2br w:val="nil"/>
                    <w:tr2bl w:val="nil"/>
                  </w:tcBorders>
                  <w:vAlign w:val="center"/>
                </w:tcPr>
                <w:p w14:paraId="6F67AA6C">
                  <w:pPr>
                    <w:pStyle w:val="30"/>
                    <w:rPr>
                      <w:color w:val="auto"/>
                    </w:rPr>
                  </w:pPr>
                  <w:r>
                    <w:rPr>
                      <w:rFonts w:hint="eastAsia"/>
                      <w:color w:val="auto"/>
                    </w:rPr>
                    <w:t>空间布局约束</w:t>
                  </w:r>
                </w:p>
              </w:tc>
              <w:tc>
                <w:tcPr>
                  <w:tcW w:w="3930" w:type="dxa"/>
                  <w:tcBorders>
                    <w:tl2br w:val="nil"/>
                    <w:tr2bl w:val="nil"/>
                  </w:tcBorders>
                  <w:vAlign w:val="center"/>
                </w:tcPr>
                <w:p w14:paraId="7701DA5B">
                  <w:pPr>
                    <w:pStyle w:val="30"/>
                    <w:rPr>
                      <w:rFonts w:ascii="宋体" w:hAnsi="宋体" w:cs="宋体"/>
                      <w:color w:val="auto"/>
                    </w:rPr>
                  </w:pPr>
                  <w:r>
                    <w:rPr>
                      <w:color w:val="auto"/>
                    </w:rPr>
                    <w:t>1.执行</w:t>
                  </w:r>
                  <w:r>
                    <w:rPr>
                      <w:rFonts w:hint="eastAsia" w:ascii="宋体" w:hAnsi="宋体" w:cs="宋体"/>
                      <w:color w:val="auto"/>
                    </w:rPr>
                    <w:t>“</w:t>
                  </w:r>
                  <w:r>
                    <w:rPr>
                      <w:color w:val="auto"/>
                    </w:rPr>
                    <w:t>1）严禁在人口密集区新建危险化学品生产项目，城镇人口密集区危险化学品生产企业应搬迁改造。2）禁止在城镇居民区、文化教育科学研究区等人口集中区域建设畜禽养殖场、养殖小区。</w:t>
                  </w:r>
                  <w:r>
                    <w:rPr>
                      <w:rFonts w:hint="eastAsia" w:ascii="宋体" w:hAnsi="宋体" w:cs="宋体"/>
                      <w:color w:val="auto"/>
                    </w:rPr>
                    <w:t>”</w:t>
                  </w:r>
                </w:p>
                <w:p w14:paraId="1D22CF45">
                  <w:pPr>
                    <w:pStyle w:val="30"/>
                    <w:rPr>
                      <w:color w:val="auto"/>
                    </w:rPr>
                  </w:pPr>
                  <w:r>
                    <w:rPr>
                      <w:color w:val="auto"/>
                    </w:rPr>
                    <w:t>2.大气环境布局敏感重点管控区同时执行</w:t>
                  </w:r>
                  <w:r>
                    <w:rPr>
                      <w:rFonts w:hint="eastAsia" w:ascii="宋体" w:hAnsi="宋体" w:cs="宋体"/>
                      <w:color w:val="auto"/>
                    </w:rPr>
                    <w:t>“</w:t>
                  </w:r>
                  <w:r>
                    <w:rPr>
                      <w:color w:val="auto"/>
                    </w:rPr>
                    <w:t>1）</w:t>
                  </w:r>
                  <w:r>
                    <w:rPr>
                      <w:rFonts w:hint="eastAsia" w:ascii="宋体" w:hAnsi="宋体" w:cs="宋体"/>
                      <w:color w:val="auto"/>
                    </w:rPr>
                    <w:t>严控“两高”行业产能。严格执行钢铁、水泥、平板玻璃等行业产能置换实施办法。</w:t>
                  </w:r>
                  <w:r>
                    <w:rPr>
                      <w:color w:val="auto"/>
                    </w:rPr>
                    <w:t>2）</w:t>
                  </w:r>
                  <w:r>
                    <w:rPr>
                      <w:rFonts w:hint="eastAsia" w:ascii="宋体" w:hAnsi="宋体" w:cs="宋体"/>
                      <w:color w:val="auto"/>
                    </w:rPr>
                    <w:t>利用水泥窑协同处置城市生活垃圾、危险废弃物、电石渣等固废伴生水泥项目，必须依托现有新型干法水泥熟料生产线进行不扩产能改造。”</w:t>
                  </w:r>
                </w:p>
              </w:tc>
              <w:tc>
                <w:tcPr>
                  <w:tcW w:w="1304" w:type="dxa"/>
                  <w:tcBorders>
                    <w:tl2br w:val="nil"/>
                    <w:tr2bl w:val="nil"/>
                  </w:tcBorders>
                  <w:vAlign w:val="center"/>
                </w:tcPr>
                <w:p w14:paraId="5B76476E">
                  <w:pPr>
                    <w:pStyle w:val="30"/>
                    <w:rPr>
                      <w:color w:val="auto"/>
                    </w:rPr>
                  </w:pPr>
                  <w:r>
                    <w:rPr>
                      <w:color w:val="auto"/>
                    </w:rPr>
                    <w:t>本项目属于</w:t>
                  </w:r>
                  <w:r>
                    <w:rPr>
                      <w:rFonts w:hint="eastAsia"/>
                      <w:color w:val="auto"/>
                    </w:rPr>
                    <w:t>铁路</w:t>
                  </w:r>
                  <w:r>
                    <w:rPr>
                      <w:color w:val="auto"/>
                    </w:rPr>
                    <w:t>专用线大修工程，</w:t>
                  </w:r>
                  <w:r>
                    <w:rPr>
                      <w:rFonts w:hint="eastAsia"/>
                      <w:color w:val="auto"/>
                    </w:rPr>
                    <w:t>不新建危险化学品生产项目，不涉及畜牧业，</w:t>
                  </w:r>
                  <w:r>
                    <w:rPr>
                      <w:color w:val="auto"/>
                    </w:rPr>
                    <w:t>不需要新征用地。</w:t>
                  </w:r>
                  <w:r>
                    <w:rPr>
                      <w:rFonts w:hint="eastAsia"/>
                      <w:color w:val="auto"/>
                    </w:rPr>
                    <w:t>符合空间布局约束要求。</w:t>
                  </w:r>
                </w:p>
              </w:tc>
            </w:tr>
            <w:tr w14:paraId="4F942F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7" w:type="dxa"/>
                  <w:vMerge w:val="continue"/>
                  <w:tcBorders>
                    <w:tl2br w:val="nil"/>
                    <w:tr2bl w:val="nil"/>
                  </w:tcBorders>
                  <w:vAlign w:val="center"/>
                </w:tcPr>
                <w:p w14:paraId="6F1E1793">
                  <w:pPr>
                    <w:pStyle w:val="30"/>
                    <w:rPr>
                      <w:color w:val="auto"/>
                    </w:rPr>
                  </w:pPr>
                </w:p>
              </w:tc>
              <w:tc>
                <w:tcPr>
                  <w:tcW w:w="465" w:type="dxa"/>
                  <w:vMerge w:val="continue"/>
                  <w:tcBorders>
                    <w:tl2br w:val="nil"/>
                    <w:tr2bl w:val="nil"/>
                  </w:tcBorders>
                  <w:vAlign w:val="center"/>
                </w:tcPr>
                <w:p w14:paraId="707B6214">
                  <w:pPr>
                    <w:pStyle w:val="30"/>
                    <w:rPr>
                      <w:color w:val="auto"/>
                    </w:rPr>
                  </w:pPr>
                </w:p>
              </w:tc>
              <w:tc>
                <w:tcPr>
                  <w:tcW w:w="405" w:type="dxa"/>
                  <w:vMerge w:val="continue"/>
                  <w:tcBorders>
                    <w:tl2br w:val="nil"/>
                    <w:tr2bl w:val="nil"/>
                  </w:tcBorders>
                  <w:vAlign w:val="center"/>
                </w:tcPr>
                <w:p w14:paraId="486E86E3">
                  <w:pPr>
                    <w:pStyle w:val="30"/>
                    <w:rPr>
                      <w:color w:val="auto"/>
                    </w:rPr>
                  </w:pPr>
                </w:p>
              </w:tc>
              <w:tc>
                <w:tcPr>
                  <w:tcW w:w="660" w:type="dxa"/>
                  <w:tcBorders>
                    <w:tl2br w:val="nil"/>
                    <w:tr2bl w:val="nil"/>
                  </w:tcBorders>
                  <w:vAlign w:val="center"/>
                </w:tcPr>
                <w:p w14:paraId="5339826A">
                  <w:pPr>
                    <w:pStyle w:val="30"/>
                    <w:rPr>
                      <w:color w:val="auto"/>
                    </w:rPr>
                  </w:pPr>
                  <w:r>
                    <w:rPr>
                      <w:rFonts w:hint="eastAsia"/>
                      <w:color w:val="auto"/>
                    </w:rPr>
                    <w:t>污染物排放管控</w:t>
                  </w:r>
                </w:p>
              </w:tc>
              <w:tc>
                <w:tcPr>
                  <w:tcW w:w="3930" w:type="dxa"/>
                  <w:tcBorders>
                    <w:tl2br w:val="nil"/>
                    <w:tr2bl w:val="nil"/>
                  </w:tcBorders>
                  <w:vAlign w:val="center"/>
                </w:tcPr>
                <w:p w14:paraId="604CEF14">
                  <w:pPr>
                    <w:pStyle w:val="30"/>
                    <w:rPr>
                      <w:rFonts w:ascii="宋体" w:hAnsi="宋体" w:cs="宋体"/>
                      <w:color w:val="auto"/>
                    </w:rPr>
                  </w:pPr>
                  <w:r>
                    <w:rPr>
                      <w:color w:val="auto"/>
                    </w:rPr>
                    <w:t>1.执行</w:t>
                  </w:r>
                  <w:r>
                    <w:rPr>
                      <w:rFonts w:hint="eastAsia" w:ascii="宋体" w:hAnsi="宋体" w:cs="宋体"/>
                      <w:color w:val="auto"/>
                    </w:rPr>
                    <w:t>“</w:t>
                  </w:r>
                  <w:r>
                    <w:rPr>
                      <w:color w:val="auto"/>
                    </w:rPr>
                    <w:t>加快65t／h以上燃煤锅炉（含电力）超低排放改造。</w:t>
                  </w:r>
                  <w:r>
                    <w:rPr>
                      <w:rFonts w:hint="eastAsia" w:ascii="宋体" w:hAnsi="宋体" w:cs="宋体"/>
                      <w:color w:val="auto"/>
                    </w:rPr>
                    <w:t>”</w:t>
                  </w:r>
                </w:p>
                <w:p w14:paraId="027CB28D">
                  <w:pPr>
                    <w:pStyle w:val="30"/>
                    <w:rPr>
                      <w:color w:val="auto"/>
                    </w:rPr>
                  </w:pPr>
                  <w:r>
                    <w:rPr>
                      <w:color w:val="auto"/>
                    </w:rPr>
                    <w:t>2.大气环境布局敏感重点管控区同时执行</w:t>
                  </w:r>
                  <w:r>
                    <w:rPr>
                      <w:rFonts w:hint="eastAsia" w:ascii="宋体" w:hAnsi="宋体" w:cs="宋体"/>
                      <w:color w:val="auto"/>
                    </w:rPr>
                    <w:t>“</w:t>
                  </w:r>
                  <w:r>
                    <w:rPr>
                      <w:color w:val="auto"/>
                    </w:rPr>
                    <w:t>1）对以煤、石焦油、渣油、重油等为燃料的锅炉和工业炉窑，加快使用清洁低碳能源以及工厂余热、电力热力等进行替代。2）到2025年，在用65蒸吨/小时以上的燃煤锅炉（含电力）实现超低排放，钢铁企业基本实现超低排放。</w:t>
                  </w:r>
                  <w:r>
                    <w:rPr>
                      <w:rFonts w:hint="eastAsia" w:ascii="宋体" w:hAnsi="宋体" w:cs="宋体"/>
                      <w:color w:val="auto"/>
                    </w:rPr>
                    <w:t>”</w:t>
                  </w:r>
                  <w:r>
                    <w:rPr>
                      <w:color w:val="auto"/>
                    </w:rPr>
                    <w:t>（含电力）实现超低排放，钢铁企业基本实现超低排放。</w:t>
                  </w:r>
                  <w:r>
                    <w:rPr>
                      <w:rFonts w:hint="eastAsia" w:ascii="宋体" w:hAnsi="宋体" w:cs="宋体"/>
                      <w:color w:val="auto"/>
                    </w:rPr>
                    <w:t>”</w:t>
                  </w:r>
                </w:p>
              </w:tc>
              <w:tc>
                <w:tcPr>
                  <w:tcW w:w="1304" w:type="dxa"/>
                  <w:tcBorders>
                    <w:tl2br w:val="nil"/>
                    <w:tr2bl w:val="nil"/>
                  </w:tcBorders>
                  <w:vAlign w:val="center"/>
                </w:tcPr>
                <w:p w14:paraId="04DA8E5D">
                  <w:pPr>
                    <w:pStyle w:val="30"/>
                    <w:rPr>
                      <w:color w:val="auto"/>
                    </w:rPr>
                  </w:pPr>
                  <w:r>
                    <w:rPr>
                      <w:color w:val="auto"/>
                    </w:rPr>
                    <w:t>本项目属于专用线大修工程，</w:t>
                  </w:r>
                  <w:r>
                    <w:rPr>
                      <w:rFonts w:hint="eastAsia"/>
                      <w:color w:val="auto"/>
                    </w:rPr>
                    <w:t>不涉及锅炉燃烧，不使用煤作为燃料，福利屯站污水排入市政污水管网。符合污染物排放管控要求。</w:t>
                  </w:r>
                </w:p>
              </w:tc>
            </w:tr>
            <w:tr w14:paraId="70905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7" w:type="dxa"/>
                  <w:vMerge w:val="continue"/>
                  <w:tcBorders>
                    <w:tl2br w:val="nil"/>
                    <w:tr2bl w:val="nil"/>
                  </w:tcBorders>
                  <w:vAlign w:val="center"/>
                </w:tcPr>
                <w:p w14:paraId="02F5B890">
                  <w:pPr>
                    <w:pStyle w:val="30"/>
                    <w:rPr>
                      <w:color w:val="auto"/>
                    </w:rPr>
                  </w:pPr>
                </w:p>
              </w:tc>
              <w:tc>
                <w:tcPr>
                  <w:tcW w:w="465" w:type="dxa"/>
                  <w:vMerge w:val="continue"/>
                  <w:tcBorders>
                    <w:tl2br w:val="nil"/>
                    <w:tr2bl w:val="nil"/>
                  </w:tcBorders>
                  <w:vAlign w:val="center"/>
                </w:tcPr>
                <w:p w14:paraId="27B623C3">
                  <w:pPr>
                    <w:pStyle w:val="30"/>
                    <w:rPr>
                      <w:color w:val="auto"/>
                    </w:rPr>
                  </w:pPr>
                </w:p>
              </w:tc>
              <w:tc>
                <w:tcPr>
                  <w:tcW w:w="405" w:type="dxa"/>
                  <w:vMerge w:val="continue"/>
                  <w:tcBorders>
                    <w:tl2br w:val="nil"/>
                    <w:tr2bl w:val="nil"/>
                  </w:tcBorders>
                  <w:vAlign w:val="center"/>
                </w:tcPr>
                <w:p w14:paraId="1186B335">
                  <w:pPr>
                    <w:pStyle w:val="30"/>
                    <w:rPr>
                      <w:color w:val="auto"/>
                    </w:rPr>
                  </w:pPr>
                </w:p>
              </w:tc>
              <w:tc>
                <w:tcPr>
                  <w:tcW w:w="660" w:type="dxa"/>
                  <w:tcBorders>
                    <w:tl2br w:val="nil"/>
                    <w:tr2bl w:val="nil"/>
                  </w:tcBorders>
                  <w:vAlign w:val="center"/>
                </w:tcPr>
                <w:p w14:paraId="7795A7AE">
                  <w:pPr>
                    <w:pStyle w:val="30"/>
                    <w:rPr>
                      <w:color w:val="auto"/>
                    </w:rPr>
                  </w:pPr>
                  <w:r>
                    <w:rPr>
                      <w:rFonts w:hint="eastAsia"/>
                      <w:color w:val="auto"/>
                    </w:rPr>
                    <w:t>环境风险防控</w:t>
                  </w:r>
                </w:p>
              </w:tc>
              <w:tc>
                <w:tcPr>
                  <w:tcW w:w="3930" w:type="dxa"/>
                  <w:tcBorders>
                    <w:tl2br w:val="nil"/>
                    <w:tr2bl w:val="nil"/>
                  </w:tcBorders>
                  <w:vAlign w:val="center"/>
                </w:tcPr>
                <w:p w14:paraId="434EBD97">
                  <w:pPr>
                    <w:pStyle w:val="30"/>
                    <w:rPr>
                      <w:rFonts w:ascii="宋体" w:hAnsi="宋体" w:cs="宋体"/>
                      <w:color w:val="auto"/>
                    </w:rPr>
                  </w:pPr>
                  <w:r>
                    <w:rPr>
                      <w:color w:val="auto"/>
                    </w:rPr>
                    <w:t>1.执行</w:t>
                  </w:r>
                  <w:r>
                    <w:rPr>
                      <w:rFonts w:hint="eastAsia" w:ascii="宋体" w:hAnsi="宋体" w:cs="宋体"/>
                      <w:color w:val="auto"/>
                    </w:rPr>
                    <w:t>“</w:t>
                  </w:r>
                  <w:r>
                    <w:rPr>
                      <w:color w:val="auto"/>
                    </w:rPr>
                    <w:t>化工园区与城市建成区、人员密集场所、重要设施、敏感目标等应当保持规定的安全距离，相对封闭，不应保留常住居民，非关联企业和产业要逐步搬迁或退出，妥善防范化解</w:t>
                  </w:r>
                  <w:r>
                    <w:rPr>
                      <w:rFonts w:hint="eastAsia" w:ascii="宋体" w:hAnsi="宋体" w:cs="宋体"/>
                      <w:color w:val="auto"/>
                    </w:rPr>
                    <w:t>“邻避”问题。严禁在松花江干流及一级支流沿岸</w:t>
                  </w:r>
                  <w:r>
                    <w:rPr>
                      <w:color w:val="auto"/>
                    </w:rPr>
                    <w:t>1</w:t>
                  </w:r>
                  <w:r>
                    <w:rPr>
                      <w:rFonts w:hint="eastAsia" w:ascii="宋体" w:hAnsi="宋体" w:cs="宋体"/>
                      <w:color w:val="auto"/>
                    </w:rPr>
                    <w:t>公里范围内布局化工园区。”</w:t>
                  </w:r>
                </w:p>
                <w:p w14:paraId="3ECC1B9A">
                  <w:pPr>
                    <w:pStyle w:val="30"/>
                    <w:rPr>
                      <w:color w:val="auto"/>
                    </w:rPr>
                  </w:pPr>
                  <w:r>
                    <w:rPr>
                      <w:color w:val="auto"/>
                    </w:rPr>
                    <w:t>2.大气环境布局敏感重点管控区同时执行</w:t>
                  </w:r>
                  <w:r>
                    <w:rPr>
                      <w:rFonts w:hint="eastAsia" w:ascii="宋体" w:hAnsi="宋体" w:cs="宋体"/>
                      <w:color w:val="auto"/>
                    </w:rPr>
                    <w:t>“禁止在居民区、学校、医疗和养老机构等周边新建有色金属冶炼、焦化等行业企业。”</w:t>
                  </w:r>
                </w:p>
              </w:tc>
              <w:tc>
                <w:tcPr>
                  <w:tcW w:w="1304" w:type="dxa"/>
                  <w:tcBorders>
                    <w:tl2br w:val="nil"/>
                    <w:tr2bl w:val="nil"/>
                  </w:tcBorders>
                  <w:vAlign w:val="center"/>
                </w:tcPr>
                <w:p w14:paraId="374BC34E">
                  <w:pPr>
                    <w:pStyle w:val="30"/>
                    <w:rPr>
                      <w:color w:val="auto"/>
                    </w:rPr>
                  </w:pPr>
                  <w:r>
                    <w:rPr>
                      <w:rFonts w:hint="eastAsia"/>
                      <w:color w:val="auto"/>
                    </w:rPr>
                    <w:t>本项目属于专用线大修工程，不属于重点管控单元禁入项目符合，符合环境风险防控要求。</w:t>
                  </w:r>
                </w:p>
              </w:tc>
            </w:tr>
            <w:tr w14:paraId="630A06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7" w:type="dxa"/>
                  <w:vMerge w:val="continue"/>
                  <w:tcBorders>
                    <w:tl2br w:val="nil"/>
                    <w:tr2bl w:val="nil"/>
                  </w:tcBorders>
                  <w:vAlign w:val="center"/>
                </w:tcPr>
                <w:p w14:paraId="6B91282D">
                  <w:pPr>
                    <w:pStyle w:val="30"/>
                    <w:rPr>
                      <w:color w:val="auto"/>
                    </w:rPr>
                  </w:pPr>
                </w:p>
              </w:tc>
              <w:tc>
                <w:tcPr>
                  <w:tcW w:w="465" w:type="dxa"/>
                  <w:vMerge w:val="continue"/>
                  <w:tcBorders>
                    <w:tl2br w:val="nil"/>
                    <w:tr2bl w:val="nil"/>
                  </w:tcBorders>
                  <w:vAlign w:val="center"/>
                </w:tcPr>
                <w:p w14:paraId="3ABF352B">
                  <w:pPr>
                    <w:pStyle w:val="30"/>
                    <w:rPr>
                      <w:color w:val="auto"/>
                    </w:rPr>
                  </w:pPr>
                </w:p>
              </w:tc>
              <w:tc>
                <w:tcPr>
                  <w:tcW w:w="405" w:type="dxa"/>
                  <w:vMerge w:val="continue"/>
                  <w:tcBorders>
                    <w:tl2br w:val="nil"/>
                    <w:tr2bl w:val="nil"/>
                  </w:tcBorders>
                  <w:vAlign w:val="center"/>
                </w:tcPr>
                <w:p w14:paraId="54677EF9">
                  <w:pPr>
                    <w:pStyle w:val="30"/>
                    <w:rPr>
                      <w:color w:val="auto"/>
                    </w:rPr>
                  </w:pPr>
                </w:p>
              </w:tc>
              <w:tc>
                <w:tcPr>
                  <w:tcW w:w="660" w:type="dxa"/>
                  <w:tcBorders>
                    <w:tl2br w:val="nil"/>
                    <w:tr2bl w:val="nil"/>
                  </w:tcBorders>
                  <w:vAlign w:val="center"/>
                </w:tcPr>
                <w:p w14:paraId="217EF3D2">
                  <w:pPr>
                    <w:pStyle w:val="30"/>
                    <w:rPr>
                      <w:color w:val="auto"/>
                    </w:rPr>
                  </w:pPr>
                  <w:r>
                    <w:rPr>
                      <w:rFonts w:hint="eastAsia"/>
                      <w:color w:val="auto"/>
                    </w:rPr>
                    <w:t>资源开发效率要求</w:t>
                  </w:r>
                </w:p>
              </w:tc>
              <w:tc>
                <w:tcPr>
                  <w:tcW w:w="3930" w:type="dxa"/>
                  <w:tcBorders>
                    <w:tl2br w:val="nil"/>
                    <w:tr2bl w:val="nil"/>
                  </w:tcBorders>
                  <w:vAlign w:val="center"/>
                </w:tcPr>
                <w:p w14:paraId="1E5C7F35">
                  <w:pPr>
                    <w:pStyle w:val="30"/>
                    <w:rPr>
                      <w:color w:val="auto"/>
                    </w:rPr>
                  </w:pPr>
                  <w:r>
                    <w:rPr>
                      <w:color w:val="auto"/>
                    </w:rPr>
                    <w:t>执行</w:t>
                  </w:r>
                  <w:r>
                    <w:rPr>
                      <w:rFonts w:hint="eastAsia" w:ascii="宋体" w:hAnsi="宋体" w:cs="宋体"/>
                      <w:color w:val="auto"/>
                    </w:rPr>
                    <w:t>“</w:t>
                  </w:r>
                  <w:r>
                    <w:rPr>
                      <w:color w:val="auto"/>
                    </w:rPr>
                    <w:t>1）推进污水再生利用设施建设。2）公共建筑必须采用节水器具，限期淘汰公共建筑中不符合节水标准的水嘴、便器水箱等生活用水器具。</w:t>
                  </w:r>
                  <w:r>
                    <w:rPr>
                      <w:rFonts w:hint="eastAsia" w:ascii="宋体" w:hAnsi="宋体" w:cs="宋体"/>
                      <w:color w:val="auto"/>
                    </w:rPr>
                    <w:t>”</w:t>
                  </w:r>
                </w:p>
              </w:tc>
              <w:tc>
                <w:tcPr>
                  <w:tcW w:w="1304" w:type="dxa"/>
                  <w:tcBorders>
                    <w:tl2br w:val="nil"/>
                    <w:tr2bl w:val="nil"/>
                  </w:tcBorders>
                  <w:vAlign w:val="center"/>
                </w:tcPr>
                <w:p w14:paraId="5D88C568">
                  <w:pPr>
                    <w:pStyle w:val="30"/>
                    <w:rPr>
                      <w:color w:val="auto"/>
                    </w:rPr>
                  </w:pPr>
                  <w:r>
                    <w:rPr>
                      <w:color w:val="auto"/>
                    </w:rPr>
                    <w:t>本项目属于专用线大修工程</w:t>
                  </w:r>
                  <w:r>
                    <w:rPr>
                      <w:rFonts w:hint="eastAsia"/>
                      <w:color w:val="auto"/>
                    </w:rPr>
                    <w:t>，福利屯站污水排入市政污水管网。符合资源开发效率要求。</w:t>
                  </w:r>
                </w:p>
              </w:tc>
            </w:tr>
            <w:tr w14:paraId="09CA5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7" w:type="dxa"/>
                  <w:vMerge w:val="restart"/>
                  <w:tcBorders>
                    <w:tl2br w:val="nil"/>
                    <w:tr2bl w:val="nil"/>
                  </w:tcBorders>
                  <w:vAlign w:val="center"/>
                </w:tcPr>
                <w:p w14:paraId="12AC9B17">
                  <w:pPr>
                    <w:pStyle w:val="30"/>
                    <w:rPr>
                      <w:color w:val="auto"/>
                    </w:rPr>
                  </w:pPr>
                  <w:r>
                    <w:rPr>
                      <w:rFonts w:hint="eastAsia"/>
                      <w:color w:val="auto"/>
                    </w:rPr>
                    <w:t>ZH23052120003</w:t>
                  </w:r>
                </w:p>
              </w:tc>
              <w:tc>
                <w:tcPr>
                  <w:tcW w:w="465" w:type="dxa"/>
                  <w:vMerge w:val="restart"/>
                  <w:tcBorders>
                    <w:tl2br w:val="nil"/>
                    <w:tr2bl w:val="nil"/>
                  </w:tcBorders>
                  <w:vAlign w:val="center"/>
                </w:tcPr>
                <w:p w14:paraId="02C683F9">
                  <w:pPr>
                    <w:pStyle w:val="30"/>
                    <w:rPr>
                      <w:color w:val="auto"/>
                    </w:rPr>
                  </w:pPr>
                  <w:r>
                    <w:rPr>
                      <w:rFonts w:hint="eastAsia"/>
                      <w:color w:val="auto"/>
                    </w:rPr>
                    <w:t>集贤县大气环境布局敏感重点管控区</w:t>
                  </w:r>
                </w:p>
              </w:tc>
              <w:tc>
                <w:tcPr>
                  <w:tcW w:w="405" w:type="dxa"/>
                  <w:vMerge w:val="continue"/>
                  <w:tcBorders>
                    <w:tl2br w:val="nil"/>
                    <w:tr2bl w:val="nil"/>
                  </w:tcBorders>
                  <w:vAlign w:val="center"/>
                </w:tcPr>
                <w:p w14:paraId="14C186EE">
                  <w:pPr>
                    <w:pStyle w:val="30"/>
                    <w:rPr>
                      <w:color w:val="auto"/>
                    </w:rPr>
                  </w:pPr>
                </w:p>
              </w:tc>
              <w:tc>
                <w:tcPr>
                  <w:tcW w:w="660" w:type="dxa"/>
                  <w:tcBorders>
                    <w:tl2br w:val="nil"/>
                    <w:tr2bl w:val="nil"/>
                  </w:tcBorders>
                  <w:vAlign w:val="center"/>
                </w:tcPr>
                <w:p w14:paraId="5F621707">
                  <w:pPr>
                    <w:pStyle w:val="30"/>
                    <w:rPr>
                      <w:color w:val="auto"/>
                    </w:rPr>
                  </w:pPr>
                  <w:r>
                    <w:rPr>
                      <w:rFonts w:hint="eastAsia"/>
                      <w:color w:val="auto"/>
                    </w:rPr>
                    <w:t>空间布局约束</w:t>
                  </w:r>
                </w:p>
              </w:tc>
              <w:tc>
                <w:tcPr>
                  <w:tcW w:w="3930" w:type="dxa"/>
                  <w:tcBorders>
                    <w:tl2br w:val="nil"/>
                    <w:tr2bl w:val="nil"/>
                  </w:tcBorders>
                  <w:vAlign w:val="center"/>
                </w:tcPr>
                <w:p w14:paraId="511A4BB9">
                  <w:pPr>
                    <w:pStyle w:val="30"/>
                    <w:rPr>
                      <w:color w:val="auto"/>
                    </w:rPr>
                  </w:pPr>
                  <w:r>
                    <w:rPr>
                      <w:color w:val="auto"/>
                    </w:rPr>
                    <w:t>执行</w:t>
                  </w:r>
                  <w:r>
                    <w:rPr>
                      <w:rFonts w:hint="eastAsia" w:ascii="宋体" w:hAnsi="宋体" w:cs="宋体"/>
                      <w:color w:val="auto"/>
                    </w:rPr>
                    <w:t>“</w:t>
                  </w:r>
                  <w:r>
                    <w:rPr>
                      <w:color w:val="auto"/>
                    </w:rPr>
                    <w:t>1）</w:t>
                  </w:r>
                  <w:r>
                    <w:rPr>
                      <w:rFonts w:hint="eastAsia" w:ascii="宋体" w:hAnsi="宋体" w:cs="宋体"/>
                      <w:color w:val="auto"/>
                    </w:rPr>
                    <w:t>严控“两高”行业产能</w:t>
                  </w:r>
                  <w:r>
                    <w:rPr>
                      <w:color w:val="auto"/>
                    </w:rPr>
                    <w:t>。严格执行钢铁、水泥、平板玻璃等行业产能置换实施办法。2）利用水泥窑协同处置城市生活垃圾、危险废弃物、电石渣等固废伴生水泥项目，必须依托现有新型干法水泥熟料生产线进行不扩产能改造。</w:t>
                  </w:r>
                  <w:r>
                    <w:rPr>
                      <w:rFonts w:hint="eastAsia" w:ascii="宋体" w:hAnsi="宋体" w:cs="宋体"/>
                      <w:color w:val="auto"/>
                    </w:rPr>
                    <w:t>”</w:t>
                  </w:r>
                </w:p>
              </w:tc>
              <w:tc>
                <w:tcPr>
                  <w:tcW w:w="1304" w:type="dxa"/>
                  <w:tcBorders>
                    <w:tl2br w:val="nil"/>
                    <w:tr2bl w:val="nil"/>
                  </w:tcBorders>
                  <w:vAlign w:val="center"/>
                </w:tcPr>
                <w:p w14:paraId="78D7CC6C">
                  <w:pPr>
                    <w:pStyle w:val="30"/>
                    <w:rPr>
                      <w:color w:val="auto"/>
                    </w:rPr>
                  </w:pPr>
                  <w:r>
                    <w:rPr>
                      <w:color w:val="auto"/>
                    </w:rPr>
                    <w:t>本项目属于专用线大修工程</w:t>
                  </w:r>
                  <w:r>
                    <w:rPr>
                      <w:rFonts w:hint="eastAsia"/>
                      <w:color w:val="auto"/>
                    </w:rPr>
                    <w:t>，不属于钢铁、水泥、平板玻璃等行业，不涉及拌合水泥。符合空间布局约束要求。</w:t>
                  </w:r>
                </w:p>
              </w:tc>
            </w:tr>
            <w:tr w14:paraId="5C7BE3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7" w:type="dxa"/>
                  <w:vMerge w:val="continue"/>
                  <w:tcBorders>
                    <w:tl2br w:val="nil"/>
                    <w:tr2bl w:val="nil"/>
                  </w:tcBorders>
                  <w:vAlign w:val="center"/>
                </w:tcPr>
                <w:p w14:paraId="31AE4E92">
                  <w:pPr>
                    <w:pStyle w:val="30"/>
                    <w:rPr>
                      <w:color w:val="auto"/>
                    </w:rPr>
                  </w:pPr>
                </w:p>
              </w:tc>
              <w:tc>
                <w:tcPr>
                  <w:tcW w:w="465" w:type="dxa"/>
                  <w:vMerge w:val="continue"/>
                  <w:tcBorders>
                    <w:tl2br w:val="nil"/>
                    <w:tr2bl w:val="nil"/>
                  </w:tcBorders>
                  <w:vAlign w:val="center"/>
                </w:tcPr>
                <w:p w14:paraId="07091680">
                  <w:pPr>
                    <w:pStyle w:val="30"/>
                    <w:rPr>
                      <w:color w:val="auto"/>
                    </w:rPr>
                  </w:pPr>
                </w:p>
              </w:tc>
              <w:tc>
                <w:tcPr>
                  <w:tcW w:w="405" w:type="dxa"/>
                  <w:vMerge w:val="continue"/>
                  <w:tcBorders>
                    <w:tl2br w:val="nil"/>
                    <w:tr2bl w:val="nil"/>
                  </w:tcBorders>
                  <w:vAlign w:val="center"/>
                </w:tcPr>
                <w:p w14:paraId="02B0EFB7">
                  <w:pPr>
                    <w:pStyle w:val="30"/>
                    <w:rPr>
                      <w:color w:val="auto"/>
                    </w:rPr>
                  </w:pPr>
                </w:p>
              </w:tc>
              <w:tc>
                <w:tcPr>
                  <w:tcW w:w="660" w:type="dxa"/>
                  <w:tcBorders>
                    <w:tl2br w:val="nil"/>
                    <w:tr2bl w:val="nil"/>
                  </w:tcBorders>
                  <w:vAlign w:val="center"/>
                </w:tcPr>
                <w:p w14:paraId="58E8F055">
                  <w:pPr>
                    <w:pStyle w:val="30"/>
                    <w:rPr>
                      <w:color w:val="auto"/>
                    </w:rPr>
                  </w:pPr>
                  <w:r>
                    <w:rPr>
                      <w:rFonts w:hint="eastAsia"/>
                      <w:color w:val="auto"/>
                    </w:rPr>
                    <w:t>污染物排放管控</w:t>
                  </w:r>
                </w:p>
              </w:tc>
              <w:tc>
                <w:tcPr>
                  <w:tcW w:w="3930" w:type="dxa"/>
                  <w:tcBorders>
                    <w:tl2br w:val="nil"/>
                    <w:tr2bl w:val="nil"/>
                  </w:tcBorders>
                  <w:vAlign w:val="center"/>
                </w:tcPr>
                <w:p w14:paraId="7B58D734">
                  <w:pPr>
                    <w:pStyle w:val="30"/>
                    <w:rPr>
                      <w:color w:val="auto"/>
                    </w:rPr>
                  </w:pPr>
                  <w:r>
                    <w:rPr>
                      <w:color w:val="auto"/>
                    </w:rPr>
                    <w:t>执行</w:t>
                  </w:r>
                  <w:r>
                    <w:rPr>
                      <w:rFonts w:hint="eastAsia" w:ascii="宋体" w:hAnsi="宋体" w:cs="宋体"/>
                      <w:color w:val="auto"/>
                    </w:rPr>
                    <w:t>“</w:t>
                  </w:r>
                  <w:r>
                    <w:rPr>
                      <w:color w:val="auto"/>
                    </w:rPr>
                    <w:t>1）对以煤、石焦油、渣油、重油等为燃料的锅炉和工业炉窑，加快使用清洁低碳能源以及工厂余热、电力热力等进行替代。2）到2025年，在用65蒸吨/小时以上的燃煤锅炉（含电力）实现超低排放，钢铁企业基本实现超低排放。</w:t>
                  </w:r>
                  <w:r>
                    <w:rPr>
                      <w:rFonts w:hint="eastAsia" w:ascii="宋体" w:hAnsi="宋体" w:cs="宋体"/>
                      <w:color w:val="auto"/>
                    </w:rPr>
                    <w:t>”</w:t>
                  </w:r>
                  <w:r>
                    <w:rPr>
                      <w:color w:val="auto"/>
                    </w:rPr>
                    <w:t>（含电力）实现超低排放，钢铁企业基本实现超低排放。</w:t>
                  </w:r>
                  <w:r>
                    <w:rPr>
                      <w:rFonts w:hint="eastAsia" w:ascii="宋体" w:hAnsi="宋体" w:cs="宋体"/>
                      <w:color w:val="auto"/>
                    </w:rPr>
                    <w:t>”</w:t>
                  </w:r>
                </w:p>
              </w:tc>
              <w:tc>
                <w:tcPr>
                  <w:tcW w:w="1304" w:type="dxa"/>
                  <w:tcBorders>
                    <w:tl2br w:val="nil"/>
                    <w:tr2bl w:val="nil"/>
                  </w:tcBorders>
                  <w:vAlign w:val="center"/>
                </w:tcPr>
                <w:p w14:paraId="1A44CD12">
                  <w:pPr>
                    <w:pStyle w:val="30"/>
                    <w:rPr>
                      <w:color w:val="auto"/>
                    </w:rPr>
                  </w:pPr>
                  <w:r>
                    <w:rPr>
                      <w:color w:val="auto"/>
                    </w:rPr>
                    <w:t>本项目属于专用线大修工程，不使用煤作为燃料，</w:t>
                  </w:r>
                  <w:r>
                    <w:rPr>
                      <w:rFonts w:hint="eastAsia"/>
                      <w:color w:val="auto"/>
                    </w:rPr>
                    <w:t>符合污染物排放管控要求。</w:t>
                  </w:r>
                </w:p>
              </w:tc>
            </w:tr>
            <w:tr w14:paraId="7DB795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7" w:type="dxa"/>
                  <w:vMerge w:val="continue"/>
                  <w:tcBorders>
                    <w:tl2br w:val="nil"/>
                    <w:tr2bl w:val="nil"/>
                  </w:tcBorders>
                  <w:vAlign w:val="center"/>
                </w:tcPr>
                <w:p w14:paraId="17D9A61C">
                  <w:pPr>
                    <w:pStyle w:val="30"/>
                    <w:rPr>
                      <w:color w:val="auto"/>
                    </w:rPr>
                  </w:pPr>
                </w:p>
              </w:tc>
              <w:tc>
                <w:tcPr>
                  <w:tcW w:w="465" w:type="dxa"/>
                  <w:vMerge w:val="continue"/>
                  <w:tcBorders>
                    <w:tl2br w:val="nil"/>
                    <w:tr2bl w:val="nil"/>
                  </w:tcBorders>
                  <w:vAlign w:val="center"/>
                </w:tcPr>
                <w:p w14:paraId="13C6403D">
                  <w:pPr>
                    <w:pStyle w:val="30"/>
                    <w:rPr>
                      <w:color w:val="auto"/>
                    </w:rPr>
                  </w:pPr>
                </w:p>
              </w:tc>
              <w:tc>
                <w:tcPr>
                  <w:tcW w:w="405" w:type="dxa"/>
                  <w:vMerge w:val="continue"/>
                  <w:tcBorders>
                    <w:tl2br w:val="nil"/>
                    <w:tr2bl w:val="nil"/>
                  </w:tcBorders>
                  <w:vAlign w:val="center"/>
                </w:tcPr>
                <w:p w14:paraId="379B2340">
                  <w:pPr>
                    <w:pStyle w:val="30"/>
                    <w:rPr>
                      <w:color w:val="auto"/>
                    </w:rPr>
                  </w:pPr>
                </w:p>
              </w:tc>
              <w:tc>
                <w:tcPr>
                  <w:tcW w:w="660" w:type="dxa"/>
                  <w:tcBorders>
                    <w:tl2br w:val="nil"/>
                    <w:tr2bl w:val="nil"/>
                  </w:tcBorders>
                  <w:vAlign w:val="center"/>
                </w:tcPr>
                <w:p w14:paraId="55A425D7">
                  <w:pPr>
                    <w:pStyle w:val="30"/>
                    <w:rPr>
                      <w:color w:val="auto"/>
                    </w:rPr>
                  </w:pPr>
                  <w:r>
                    <w:rPr>
                      <w:rFonts w:hint="eastAsia"/>
                      <w:color w:val="auto"/>
                    </w:rPr>
                    <w:t>环境风险防控</w:t>
                  </w:r>
                </w:p>
              </w:tc>
              <w:tc>
                <w:tcPr>
                  <w:tcW w:w="3930" w:type="dxa"/>
                  <w:tcBorders>
                    <w:tl2br w:val="nil"/>
                    <w:tr2bl w:val="nil"/>
                  </w:tcBorders>
                  <w:vAlign w:val="center"/>
                </w:tcPr>
                <w:p w14:paraId="154C8FE9">
                  <w:pPr>
                    <w:pStyle w:val="30"/>
                    <w:rPr>
                      <w:color w:val="auto"/>
                    </w:rPr>
                  </w:pPr>
                  <w:r>
                    <w:rPr>
                      <w:color w:val="auto"/>
                    </w:rPr>
                    <w:t>执行</w:t>
                  </w:r>
                  <w:r>
                    <w:rPr>
                      <w:rFonts w:hint="eastAsia" w:ascii="宋体" w:hAnsi="宋体" w:cs="宋体"/>
                      <w:color w:val="auto"/>
                    </w:rPr>
                    <w:t>“</w:t>
                  </w:r>
                  <w:r>
                    <w:rPr>
                      <w:color w:val="auto"/>
                    </w:rPr>
                    <w:t>禁止在居民区、学校、医疗和养老机构等周边新建有色金属冶炼、焦化等行业企业。</w:t>
                  </w:r>
                  <w:r>
                    <w:rPr>
                      <w:rFonts w:hint="eastAsia" w:ascii="宋体" w:hAnsi="宋体" w:cs="宋体"/>
                      <w:color w:val="auto"/>
                    </w:rPr>
                    <w:t>”</w:t>
                  </w:r>
                </w:p>
              </w:tc>
              <w:tc>
                <w:tcPr>
                  <w:tcW w:w="1304" w:type="dxa"/>
                  <w:tcBorders>
                    <w:tl2br w:val="nil"/>
                    <w:tr2bl w:val="nil"/>
                  </w:tcBorders>
                  <w:vAlign w:val="center"/>
                </w:tcPr>
                <w:p w14:paraId="35399937">
                  <w:pPr>
                    <w:pStyle w:val="30"/>
                    <w:rPr>
                      <w:color w:val="auto"/>
                    </w:rPr>
                  </w:pPr>
                  <w:r>
                    <w:rPr>
                      <w:rFonts w:hint="eastAsia"/>
                      <w:color w:val="auto"/>
                    </w:rPr>
                    <w:t>本项目属于专用线大修工程，不属于有色金属冶炼和焦化等行业。符合环境风险防控要求。</w:t>
                  </w:r>
                </w:p>
              </w:tc>
            </w:tr>
          </w:tbl>
          <w:p w14:paraId="4E6C1F2E">
            <w:pPr>
              <w:ind w:firstLine="480"/>
            </w:pPr>
            <w:r>
              <w:rPr>
                <w:color w:val="auto"/>
              </w:rPr>
              <w:t>本项目为</w:t>
            </w:r>
            <w:r>
              <w:rPr>
                <w:rFonts w:hint="eastAsia"/>
                <w:color w:val="auto"/>
              </w:rPr>
              <w:t>油库铁路</w:t>
            </w:r>
            <w:r>
              <w:rPr>
                <w:color w:val="auto"/>
              </w:rPr>
              <w:t>专用线</w:t>
            </w:r>
            <w:r>
              <w:rPr>
                <w:rFonts w:hint="eastAsia"/>
                <w:color w:val="auto"/>
              </w:rPr>
              <w:t>大修工程</w:t>
            </w:r>
            <w:r>
              <w:rPr>
                <w:color w:val="auto"/>
              </w:rPr>
              <w:t>建设项目</w:t>
            </w:r>
            <w:r>
              <w:rPr>
                <w:rFonts w:hint="eastAsia"/>
                <w:color w:val="auto"/>
              </w:rPr>
              <w:t>，根据《双鸭山市生态环境准入清单》（2023年版）《黑龙江省人民政府关于实施“三线一单”生态环境分区管控的意见》（黑政发〔2020〕14号）以及关于《双鸭山市人民政府关于实施“三线一单”生态环境分区管控的意见》（双政规〔2021〕2号）本项目建设符合要求。</w:t>
            </w:r>
          </w:p>
        </w:tc>
      </w:tr>
    </w:tbl>
    <w:p w14:paraId="65B6B67D">
      <w:pPr>
        <w:ind w:firstLine="600"/>
        <w:rPr>
          <w:rFonts w:eastAsia="黑体"/>
          <w:sz w:val="30"/>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2D83C529">
      <w:pPr>
        <w:pStyle w:val="21"/>
        <w:ind w:firstLine="0" w:firstLineChars="0"/>
        <w:jc w:val="center"/>
        <w:outlineLvl w:val="0"/>
        <w:rPr>
          <w:rFonts w:ascii="Times New Roman" w:hAnsi="Times New Roman" w:eastAsia="黑体"/>
          <w:snapToGrid w:val="0"/>
          <w:sz w:val="30"/>
          <w:szCs w:val="30"/>
        </w:rPr>
      </w:pPr>
      <w:bookmarkStart w:id="10" w:name="_Toc30767"/>
      <w:r>
        <w:rPr>
          <w:rFonts w:ascii="Times New Roman" w:hAnsi="Times New Roman" w:eastAsia="黑体"/>
          <w:snapToGrid w:val="0"/>
          <w:sz w:val="30"/>
          <w:szCs w:val="30"/>
        </w:rPr>
        <w:t>二、建设内容</w:t>
      </w:r>
      <w:bookmarkEnd w:id="10"/>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91"/>
        <w:gridCol w:w="7431"/>
      </w:tblGrid>
      <w:tr w14:paraId="6FC89C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640" w:type="pct"/>
            <w:vAlign w:val="center"/>
          </w:tcPr>
          <w:p w14:paraId="332F7104">
            <w:pPr>
              <w:adjustRightInd w:val="0"/>
              <w:snapToGrid w:val="0"/>
              <w:ind w:firstLine="0" w:firstLineChars="0"/>
              <w:jc w:val="center"/>
              <w:rPr>
                <w:kern w:val="0"/>
              </w:rPr>
            </w:pPr>
            <w:r>
              <w:rPr>
                <w:kern w:val="0"/>
              </w:rPr>
              <w:t>地理位置</w:t>
            </w:r>
          </w:p>
        </w:tc>
        <w:tc>
          <w:tcPr>
            <w:tcW w:w="4359" w:type="pct"/>
            <w:vAlign w:val="center"/>
          </w:tcPr>
          <w:p w14:paraId="3E0F65FE">
            <w:pPr>
              <w:ind w:firstLine="480"/>
            </w:pPr>
            <w:r>
              <w:t>本项目位于黑龙江省</w:t>
            </w:r>
            <w:r>
              <w:rPr>
                <w:rFonts w:hint="eastAsia"/>
              </w:rPr>
              <w:t>双鸭山市</w:t>
            </w:r>
            <w:r>
              <w:t>集贤县福利屯</w:t>
            </w:r>
            <w:r>
              <w:rPr>
                <w:rFonts w:hint="eastAsia"/>
              </w:rPr>
              <w:t>站</w:t>
            </w:r>
            <w:r>
              <w:t>，车站中心里程为佳富线K62+243、福前线K0+000。油库专用线在福利屯站佳木斯侧咽喉区接轨，北侧为繁荣街、西侧为西环路，南侧为居民区。</w:t>
            </w:r>
          </w:p>
        </w:tc>
      </w:tr>
      <w:tr w14:paraId="09A5A2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640" w:type="pct"/>
            <w:shd w:val="clear" w:color="auto" w:fill="auto"/>
            <w:vAlign w:val="center"/>
          </w:tcPr>
          <w:p w14:paraId="7E217722">
            <w:pPr>
              <w:adjustRightInd w:val="0"/>
              <w:snapToGrid w:val="0"/>
              <w:ind w:firstLine="0" w:firstLineChars="0"/>
              <w:jc w:val="center"/>
              <w:rPr>
                <w:kern w:val="0"/>
                <w:szCs w:val="21"/>
              </w:rPr>
            </w:pPr>
            <w:r>
              <w:rPr>
                <w:kern w:val="0"/>
                <w:szCs w:val="21"/>
              </w:rPr>
              <w:t>项目组成及规模</w:t>
            </w:r>
          </w:p>
        </w:tc>
        <w:tc>
          <w:tcPr>
            <w:tcW w:w="4359" w:type="pct"/>
            <w:shd w:val="clear" w:color="auto" w:fill="auto"/>
            <w:vAlign w:val="center"/>
          </w:tcPr>
          <w:p w14:paraId="64E45E0B">
            <w:pPr>
              <w:ind w:firstLine="482"/>
            </w:pPr>
            <w:r>
              <w:rPr>
                <w:b/>
                <w:bCs/>
              </w:rPr>
              <w:t>1.基本情况</w:t>
            </w:r>
          </w:p>
          <w:p w14:paraId="27F8AE3B">
            <w:pPr>
              <w:ind w:firstLine="480"/>
            </w:pPr>
            <w:r>
              <w:t>（1）项目名称：黑龙江省中国石油福利屯油库铁路专用线大修工程</w:t>
            </w:r>
            <w:r>
              <w:rPr>
                <w:rFonts w:hint="eastAsia"/>
              </w:rPr>
              <w:t>；</w:t>
            </w:r>
          </w:p>
          <w:p w14:paraId="0A40C5EF">
            <w:pPr>
              <w:ind w:firstLine="480"/>
            </w:pPr>
            <w:r>
              <w:t>（2）建设性质：改建</w:t>
            </w:r>
            <w:r>
              <w:rPr>
                <w:rFonts w:hint="eastAsia"/>
              </w:rPr>
              <w:t>；</w:t>
            </w:r>
          </w:p>
          <w:p w14:paraId="71F613A6">
            <w:pPr>
              <w:ind w:firstLine="480"/>
            </w:pPr>
            <w:r>
              <w:t>（3）建设单位：双鸭山远东创投国际物流有限公司</w:t>
            </w:r>
            <w:r>
              <w:rPr>
                <w:rFonts w:hint="eastAsia"/>
              </w:rPr>
              <w:t>；</w:t>
            </w:r>
          </w:p>
          <w:p w14:paraId="085CBF7E">
            <w:pPr>
              <w:ind w:firstLine="480"/>
            </w:pPr>
            <w:r>
              <w:t>（4）总投资：800.72万元</w:t>
            </w:r>
            <w:r>
              <w:rPr>
                <w:rFonts w:hint="eastAsia"/>
              </w:rPr>
              <w:t>；</w:t>
            </w:r>
          </w:p>
          <w:p w14:paraId="692B05BC">
            <w:pPr>
              <w:ind w:firstLine="480"/>
            </w:pPr>
            <w:r>
              <w:t>（5）施工期：2025.5-2025.10，</w:t>
            </w:r>
            <w:r>
              <w:rPr>
                <w:rFonts w:hint="eastAsia"/>
              </w:rPr>
              <w:t>施工</w:t>
            </w:r>
            <w:r>
              <w:t>工期</w:t>
            </w:r>
            <w:r>
              <w:rPr>
                <w:rFonts w:hint="eastAsia"/>
              </w:rPr>
              <w:t>6</w:t>
            </w:r>
            <w:r>
              <w:t>个月。</w:t>
            </w:r>
          </w:p>
          <w:p w14:paraId="3287E9A5">
            <w:pPr>
              <w:ind w:firstLine="482"/>
            </w:pPr>
            <w:r>
              <w:rPr>
                <w:b/>
                <w:bCs/>
              </w:rPr>
              <w:t>2.</w:t>
            </w:r>
            <w:r>
              <w:rPr>
                <w:rFonts w:hint="eastAsia"/>
                <w:b/>
                <w:bCs/>
                <w:lang w:val="en-US" w:eastAsia="zh-CN"/>
              </w:rPr>
              <w:t>项目由来及</w:t>
            </w:r>
            <w:r>
              <w:rPr>
                <w:b/>
                <w:bCs/>
              </w:rPr>
              <w:t>建设规模</w:t>
            </w:r>
          </w:p>
          <w:p w14:paraId="6F86115E">
            <w:pPr>
              <w:ind w:firstLine="480"/>
              <w:rPr>
                <w:rFonts w:hint="default" w:eastAsia="宋体"/>
                <w:color w:val="auto"/>
                <w:lang w:val="en-US"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lang w:val="en-US" w:eastAsia="zh-CN"/>
              </w:rPr>
              <w:t>项目由来</w:t>
            </w:r>
          </w:p>
          <w:p w14:paraId="76DCD7AC">
            <w:pPr>
              <w:ind w:firstLine="480"/>
              <w:rPr>
                <w:color w:val="auto"/>
              </w:rPr>
            </w:pPr>
            <w:r>
              <w:rPr>
                <w:rFonts w:hint="eastAsia"/>
                <w:color w:val="auto"/>
              </w:rPr>
              <w:t>油库专用线自1995年建成以来已服役多年。既有轨道类型为43kg/m钢轨，混凝土轨枕，扣板扣件，道岔为43kg/m木岔枕单开道岔。目前，油库专用线内仅有走行线和油库装卸线处于使用状态，库外装卸线3道、4道由于年久失修，现已不停车。既有3道和4道钢轨损耗、轨枕开裂、扣配件损坏缺失问题严重，为保证走行线安全，17#与19#接轨道岔也在近期被拆除，并放置在路基外侧。铁路路基被杂草覆盖。</w:t>
            </w:r>
          </w:p>
          <w:p w14:paraId="06844B84">
            <w:pPr>
              <w:ind w:firstLine="480"/>
              <w:rPr>
                <w:color w:val="auto"/>
              </w:rPr>
            </w:pPr>
            <w:r>
              <w:rPr>
                <w:rFonts w:hint="eastAsia"/>
                <w:color w:val="auto"/>
              </w:rPr>
              <w:t>结合</w:t>
            </w:r>
            <w:r>
              <w:rPr>
                <w:color w:val="auto"/>
              </w:rPr>
              <w:t>双鸭山远东创投国际物流有限公司</w:t>
            </w:r>
            <w:r>
              <w:rPr>
                <w:rFonts w:hint="eastAsia"/>
                <w:color w:val="auto"/>
              </w:rPr>
              <w:t>对线路的需求及线路现状，亟需对油库专用线3道、4道线路及其接轨道岔进行大修，以提高线路运行状态，确保取送车作业安全</w:t>
            </w:r>
            <w:r>
              <w:rPr>
                <w:color w:val="auto"/>
              </w:rPr>
              <w:t>。</w:t>
            </w:r>
          </w:p>
          <w:p w14:paraId="2BD9D36A">
            <w:pPr>
              <w:ind w:firstLine="480"/>
              <w:rPr>
                <w:rFonts w:hint="default" w:eastAsia="宋体"/>
                <w:color w:val="auto"/>
                <w:lang w:val="en-US" w:eastAsia="zh-CN"/>
              </w:rPr>
            </w:pPr>
            <w:r>
              <w:rPr>
                <w:color w:val="auto"/>
              </w:rPr>
              <w:t>（</w:t>
            </w:r>
            <w:r>
              <w:rPr>
                <w:rFonts w:hint="eastAsia"/>
                <w:color w:val="auto"/>
                <w:lang w:val="en-US" w:eastAsia="zh-CN"/>
              </w:rPr>
              <w:t>2</w:t>
            </w:r>
            <w:r>
              <w:rPr>
                <w:color w:val="auto"/>
              </w:rPr>
              <w:t>）</w:t>
            </w:r>
            <w:r>
              <w:rPr>
                <w:rFonts w:hint="eastAsia"/>
                <w:color w:val="auto"/>
                <w:lang w:val="en-US" w:eastAsia="zh-CN"/>
              </w:rPr>
              <w:t>本项目建设内容</w:t>
            </w:r>
          </w:p>
          <w:p w14:paraId="6417E0D0">
            <w:pPr>
              <w:ind w:firstLine="480"/>
              <w:rPr>
                <w:color w:val="auto"/>
              </w:rPr>
            </w:pPr>
            <w:r>
              <w:rPr>
                <w:rFonts w:hint="eastAsia"/>
                <w:color w:val="auto"/>
              </w:rPr>
              <w:t>本</w:t>
            </w:r>
            <w:r>
              <w:rPr>
                <w:rFonts w:hint="eastAsia"/>
                <w:color w:val="auto"/>
                <w:lang w:val="en-US" w:eastAsia="zh-CN"/>
              </w:rPr>
              <w:t>项目</w:t>
            </w:r>
            <w:r>
              <w:rPr>
                <w:rFonts w:hint="eastAsia"/>
                <w:color w:val="auto"/>
              </w:rPr>
              <w:t>在油库专用线走行线上重新插入17#和19#道岔，分别连通3道和4道，总长度为1.038km。本次研究为既有线路大修，新铺线路基本位于既有路基范围内。本专用线近、远期取送作业次数均为1次/天。拆除走行线YK0+501.25~YK0+590.22之间、既有3道和4道43kg/m钢轨，更换为50kg/m-25m钢轨。走行线在既有1#岔首和新铺17#道岔间、新铺19#道岔末端与既有43kg/m钢轨间分别铺设12.5m长43kg/m-50kg/m异型轨。</w:t>
            </w:r>
          </w:p>
          <w:p w14:paraId="0318784A">
            <w:pPr>
              <w:ind w:firstLine="480"/>
              <w:rPr>
                <w:color w:val="auto"/>
              </w:rPr>
            </w:pPr>
            <w:r>
              <w:rPr>
                <w:rFonts w:hint="eastAsia"/>
                <w:color w:val="auto"/>
              </w:rPr>
              <w:t>项目组成及建设规模见表2-1。</w:t>
            </w:r>
          </w:p>
          <w:p w14:paraId="5CCB5180">
            <w:pPr>
              <w:pStyle w:val="33"/>
              <w:rPr>
                <w:color w:val="auto"/>
              </w:rPr>
            </w:pPr>
            <w:r>
              <w:rPr>
                <w:color w:val="auto"/>
              </w:rPr>
              <w:t>表2-1</w:t>
            </w:r>
            <w:r>
              <w:rPr>
                <w:rFonts w:hint="eastAsia"/>
                <w:color w:val="auto"/>
              </w:rPr>
              <w:t xml:space="preserve"> </w:t>
            </w:r>
            <w:r>
              <w:rPr>
                <w:color w:val="auto"/>
              </w:rPr>
              <w:t>工程组成一览表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9"/>
              <w:gridCol w:w="965"/>
              <w:gridCol w:w="365"/>
              <w:gridCol w:w="4617"/>
              <w:gridCol w:w="665"/>
            </w:tblGrid>
            <w:tr w14:paraId="3B893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7" w:type="pct"/>
                  <w:gridSpan w:val="3"/>
                  <w:tcBorders>
                    <w:tl2br w:val="nil"/>
                    <w:tr2bl w:val="nil"/>
                  </w:tcBorders>
                  <w:vAlign w:val="center"/>
                </w:tcPr>
                <w:p w14:paraId="7F027231">
                  <w:pPr>
                    <w:pStyle w:val="30"/>
                    <w:rPr>
                      <w:color w:val="auto"/>
                    </w:rPr>
                  </w:pPr>
                  <w:r>
                    <w:rPr>
                      <w:color w:val="auto"/>
                    </w:rPr>
                    <w:t>工程类型</w:t>
                  </w:r>
                </w:p>
              </w:tc>
              <w:tc>
                <w:tcPr>
                  <w:tcW w:w="3201" w:type="pct"/>
                  <w:tcBorders>
                    <w:tl2br w:val="nil"/>
                    <w:tr2bl w:val="nil"/>
                  </w:tcBorders>
                  <w:vAlign w:val="center"/>
                </w:tcPr>
                <w:p w14:paraId="1BE3B8B7">
                  <w:pPr>
                    <w:pStyle w:val="30"/>
                    <w:rPr>
                      <w:color w:val="auto"/>
                    </w:rPr>
                  </w:pPr>
                  <w:r>
                    <w:rPr>
                      <w:color w:val="auto"/>
                    </w:rPr>
                    <w:t>具体建设内容</w:t>
                  </w:r>
                </w:p>
              </w:tc>
              <w:tc>
                <w:tcPr>
                  <w:tcW w:w="461" w:type="pct"/>
                  <w:tcBorders>
                    <w:tl2br w:val="nil"/>
                    <w:tr2bl w:val="nil"/>
                  </w:tcBorders>
                  <w:shd w:val="clear" w:color="auto" w:fill="auto"/>
                  <w:vAlign w:val="center"/>
                </w:tcPr>
                <w:p w14:paraId="0A320226">
                  <w:pPr>
                    <w:pStyle w:val="30"/>
                    <w:rPr>
                      <w:color w:val="auto"/>
                    </w:rPr>
                  </w:pPr>
                  <w:r>
                    <w:rPr>
                      <w:color w:val="auto"/>
                    </w:rPr>
                    <w:t>备注</w:t>
                  </w:r>
                </w:p>
              </w:tc>
            </w:tr>
            <w:tr w14:paraId="51358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restart"/>
                  <w:tcBorders>
                    <w:tl2br w:val="nil"/>
                    <w:tr2bl w:val="nil"/>
                  </w:tcBorders>
                  <w:vAlign w:val="center"/>
                </w:tcPr>
                <w:p w14:paraId="19535E5F">
                  <w:pPr>
                    <w:pStyle w:val="30"/>
                    <w:rPr>
                      <w:color w:val="auto"/>
                    </w:rPr>
                  </w:pPr>
                  <w:r>
                    <w:rPr>
                      <w:color w:val="auto"/>
                    </w:rPr>
                    <w:t>主体</w:t>
                  </w:r>
                </w:p>
                <w:p w14:paraId="2E5816F7">
                  <w:pPr>
                    <w:pStyle w:val="30"/>
                    <w:rPr>
                      <w:color w:val="auto"/>
                    </w:rPr>
                  </w:pPr>
                  <w:r>
                    <w:rPr>
                      <w:color w:val="auto"/>
                    </w:rPr>
                    <w:t>工程</w:t>
                  </w:r>
                </w:p>
              </w:tc>
              <w:tc>
                <w:tcPr>
                  <w:tcW w:w="669" w:type="pct"/>
                  <w:vMerge w:val="restart"/>
                  <w:tcBorders>
                    <w:tl2br w:val="nil"/>
                    <w:tr2bl w:val="nil"/>
                  </w:tcBorders>
                  <w:vAlign w:val="center"/>
                </w:tcPr>
                <w:p w14:paraId="0475BAE8">
                  <w:pPr>
                    <w:pStyle w:val="30"/>
                    <w:rPr>
                      <w:color w:val="auto"/>
                    </w:rPr>
                  </w:pPr>
                  <w:r>
                    <w:rPr>
                      <w:rFonts w:hint="eastAsia"/>
                      <w:color w:val="auto"/>
                    </w:rPr>
                    <w:t>站场</w:t>
                  </w:r>
                </w:p>
              </w:tc>
              <w:tc>
                <w:tcPr>
                  <w:tcW w:w="253" w:type="pct"/>
                  <w:tcBorders>
                    <w:tl2br w:val="nil"/>
                    <w:tr2bl w:val="nil"/>
                  </w:tcBorders>
                  <w:vAlign w:val="center"/>
                </w:tcPr>
                <w:p w14:paraId="338FFA19">
                  <w:pPr>
                    <w:pStyle w:val="30"/>
                    <w:rPr>
                      <w:color w:val="auto"/>
                    </w:rPr>
                  </w:pPr>
                  <w:r>
                    <w:rPr>
                      <w:rFonts w:hint="eastAsia"/>
                      <w:color w:val="auto"/>
                    </w:rPr>
                    <w:t>铁路专用线</w:t>
                  </w:r>
                </w:p>
              </w:tc>
              <w:tc>
                <w:tcPr>
                  <w:tcW w:w="3201" w:type="pct"/>
                  <w:tcBorders>
                    <w:tl2br w:val="nil"/>
                    <w:tr2bl w:val="nil"/>
                  </w:tcBorders>
                  <w:vAlign w:val="center"/>
                </w:tcPr>
                <w:p w14:paraId="357A642E">
                  <w:pPr>
                    <w:pStyle w:val="30"/>
                    <w:rPr>
                      <w:color w:val="auto"/>
                    </w:rPr>
                  </w:pPr>
                  <w:r>
                    <w:rPr>
                      <w:rFonts w:hint="eastAsia"/>
                      <w:color w:val="auto"/>
                    </w:rPr>
                    <w:t>本次研究在油库专用线走行线上重新插入17#和19#道岔，分别连通3道和4道，总长度为1.038km。</w:t>
                  </w:r>
                  <w:r>
                    <w:rPr>
                      <w:color w:val="auto"/>
                    </w:rPr>
                    <w:t>本次研究3道曲线半径由510m调整为500m，线路有效长为346m，装卸长度为301m。4道曲线半径由280m调整为240m，线路有效长为508m，装卸长度为313m。</w:t>
                  </w:r>
                  <w:r>
                    <w:rPr>
                      <w:rFonts w:hint="eastAsia"/>
                      <w:color w:val="auto"/>
                    </w:rPr>
                    <w:t>福利屯机务段借用混凝土构件，无鸣笛。</w:t>
                  </w:r>
                  <w:r>
                    <w:rPr>
                      <w:color w:val="auto"/>
                    </w:rPr>
                    <w:t>4道半径240m曲线范围内每25m设置10根轨距杆。</w:t>
                  </w:r>
                </w:p>
              </w:tc>
              <w:tc>
                <w:tcPr>
                  <w:tcW w:w="461" w:type="pct"/>
                  <w:tcBorders>
                    <w:tl2br w:val="nil"/>
                    <w:tr2bl w:val="nil"/>
                  </w:tcBorders>
                  <w:shd w:val="clear" w:color="auto" w:fill="auto"/>
                  <w:vAlign w:val="center"/>
                </w:tcPr>
                <w:p w14:paraId="3361FD0C">
                  <w:pPr>
                    <w:pStyle w:val="30"/>
                    <w:rPr>
                      <w:color w:val="auto"/>
                    </w:rPr>
                  </w:pPr>
                  <w:r>
                    <w:rPr>
                      <w:rFonts w:hint="eastAsia"/>
                      <w:color w:val="auto"/>
                    </w:rPr>
                    <w:t>改建</w:t>
                  </w:r>
                </w:p>
              </w:tc>
            </w:tr>
            <w:tr w14:paraId="09A25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continue"/>
                  <w:tcBorders>
                    <w:tl2br w:val="nil"/>
                    <w:tr2bl w:val="nil"/>
                  </w:tcBorders>
                  <w:vAlign w:val="center"/>
                </w:tcPr>
                <w:p w14:paraId="0CC97FF7">
                  <w:pPr>
                    <w:pStyle w:val="30"/>
                    <w:rPr>
                      <w:color w:val="auto"/>
                    </w:rPr>
                  </w:pPr>
                </w:p>
              </w:tc>
              <w:tc>
                <w:tcPr>
                  <w:tcW w:w="669" w:type="pct"/>
                  <w:vMerge w:val="continue"/>
                  <w:tcBorders>
                    <w:tl2br w:val="nil"/>
                    <w:tr2bl w:val="nil"/>
                  </w:tcBorders>
                  <w:vAlign w:val="center"/>
                </w:tcPr>
                <w:p w14:paraId="293ED629">
                  <w:pPr>
                    <w:pStyle w:val="30"/>
                    <w:rPr>
                      <w:color w:val="auto"/>
                    </w:rPr>
                  </w:pPr>
                </w:p>
              </w:tc>
              <w:tc>
                <w:tcPr>
                  <w:tcW w:w="253" w:type="pct"/>
                  <w:tcBorders>
                    <w:tl2br w:val="nil"/>
                    <w:tr2bl w:val="nil"/>
                  </w:tcBorders>
                  <w:vAlign w:val="center"/>
                </w:tcPr>
                <w:p w14:paraId="6AAABBE8">
                  <w:pPr>
                    <w:pStyle w:val="30"/>
                    <w:rPr>
                      <w:color w:val="auto"/>
                    </w:rPr>
                  </w:pPr>
                  <w:r>
                    <w:rPr>
                      <w:rFonts w:hint="eastAsia"/>
                      <w:color w:val="auto"/>
                    </w:rPr>
                    <w:t>路基</w:t>
                  </w:r>
                </w:p>
              </w:tc>
              <w:tc>
                <w:tcPr>
                  <w:tcW w:w="3201" w:type="pct"/>
                  <w:tcBorders>
                    <w:tl2br w:val="nil"/>
                    <w:tr2bl w:val="nil"/>
                  </w:tcBorders>
                  <w:vAlign w:val="center"/>
                </w:tcPr>
                <w:p w14:paraId="32F7AB64">
                  <w:pPr>
                    <w:pStyle w:val="30"/>
                    <w:rPr>
                      <w:color w:val="auto"/>
                    </w:rPr>
                  </w:pPr>
                  <w:r>
                    <w:rPr>
                      <w:rFonts w:hint="eastAsia"/>
                      <w:color w:val="auto"/>
                    </w:rPr>
                    <w:t>本次研究为既有线路大修，新铺线路基本位于既有路基范围内。因路基面杂草丛生，需对表层路基进行换填，路基表层采用B组填料，厚度为0.3m。车站路基面应设有倾向排水系统的横向坡度，可设计为一面坡、两面坡或锯齿形坡。路基面的横向坡度不宜倾向正线。3道和4道线路大修范围内清除地表杂填土，按设计高程换填路基。</w:t>
                  </w:r>
                  <w:r>
                    <w:rPr>
                      <w:color w:val="auto"/>
                    </w:rPr>
                    <w:t>拆除既有路基排水沟，在路基两侧新设排水沟各一条。</w:t>
                  </w:r>
                  <w:r>
                    <w:rPr>
                      <w:rFonts w:hint="eastAsia"/>
                      <w:color w:val="auto"/>
                    </w:rPr>
                    <w:t>本次研究3道大修后在线路两侧路肩外分别新设钢筋混凝土矩形盖板排水沟1条。排水沟通过横向排水槽穿越3道线路引至铁路路基范围外侧散排。</w:t>
                  </w:r>
                </w:p>
              </w:tc>
              <w:tc>
                <w:tcPr>
                  <w:tcW w:w="461" w:type="pct"/>
                  <w:tcBorders>
                    <w:tl2br w:val="nil"/>
                    <w:tr2bl w:val="nil"/>
                  </w:tcBorders>
                  <w:shd w:val="clear" w:color="auto" w:fill="auto"/>
                  <w:vAlign w:val="center"/>
                </w:tcPr>
                <w:p w14:paraId="6276FBAF">
                  <w:pPr>
                    <w:pStyle w:val="30"/>
                    <w:rPr>
                      <w:color w:val="auto"/>
                    </w:rPr>
                  </w:pPr>
                  <w:r>
                    <w:rPr>
                      <w:rFonts w:hint="eastAsia"/>
                      <w:color w:val="auto"/>
                    </w:rPr>
                    <w:t>新建</w:t>
                  </w:r>
                </w:p>
              </w:tc>
            </w:tr>
            <w:tr w14:paraId="1E2E5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15" w:type="pct"/>
                  <w:vMerge w:val="continue"/>
                  <w:tcBorders>
                    <w:tl2br w:val="nil"/>
                    <w:tr2bl w:val="nil"/>
                  </w:tcBorders>
                  <w:vAlign w:val="center"/>
                </w:tcPr>
                <w:p w14:paraId="343EC720">
                  <w:pPr>
                    <w:pStyle w:val="30"/>
                    <w:rPr>
                      <w:color w:val="auto"/>
                    </w:rPr>
                  </w:pPr>
                </w:p>
              </w:tc>
              <w:tc>
                <w:tcPr>
                  <w:tcW w:w="669" w:type="pct"/>
                  <w:vMerge w:val="continue"/>
                  <w:tcBorders>
                    <w:tl2br w:val="nil"/>
                    <w:tr2bl w:val="nil"/>
                  </w:tcBorders>
                  <w:vAlign w:val="center"/>
                </w:tcPr>
                <w:p w14:paraId="6769DF14">
                  <w:pPr>
                    <w:pStyle w:val="30"/>
                    <w:rPr>
                      <w:color w:val="auto"/>
                    </w:rPr>
                  </w:pPr>
                </w:p>
              </w:tc>
              <w:tc>
                <w:tcPr>
                  <w:tcW w:w="253" w:type="pct"/>
                  <w:tcBorders>
                    <w:tl2br w:val="nil"/>
                    <w:tr2bl w:val="nil"/>
                  </w:tcBorders>
                  <w:vAlign w:val="center"/>
                </w:tcPr>
                <w:p w14:paraId="639FF4E7">
                  <w:pPr>
                    <w:pStyle w:val="30"/>
                    <w:rPr>
                      <w:color w:val="auto"/>
                    </w:rPr>
                  </w:pPr>
                  <w:r>
                    <w:rPr>
                      <w:rFonts w:hint="eastAsia"/>
                      <w:color w:val="auto"/>
                    </w:rPr>
                    <w:t>运输能力</w:t>
                  </w:r>
                </w:p>
              </w:tc>
              <w:tc>
                <w:tcPr>
                  <w:tcW w:w="3201" w:type="pct"/>
                  <w:tcBorders>
                    <w:tl2br w:val="nil"/>
                    <w:tr2bl w:val="nil"/>
                  </w:tcBorders>
                  <w:vAlign w:val="center"/>
                </w:tcPr>
                <w:p w14:paraId="0A833EAD">
                  <w:pPr>
                    <w:pStyle w:val="30"/>
                    <w:rPr>
                      <w:color w:val="auto"/>
                    </w:rPr>
                  </w:pPr>
                  <w:r>
                    <w:rPr>
                      <w:rFonts w:hint="eastAsia"/>
                      <w:color w:val="auto"/>
                    </w:rPr>
                    <w:t>本专用线近、远期取送作业次数均为1次/天。</w:t>
                  </w:r>
                </w:p>
              </w:tc>
              <w:tc>
                <w:tcPr>
                  <w:tcW w:w="461" w:type="pct"/>
                  <w:tcBorders>
                    <w:tl2br w:val="nil"/>
                    <w:tr2bl w:val="nil"/>
                  </w:tcBorders>
                  <w:shd w:val="clear" w:color="auto" w:fill="auto"/>
                  <w:vAlign w:val="center"/>
                </w:tcPr>
                <w:p w14:paraId="680836E1">
                  <w:pPr>
                    <w:pStyle w:val="30"/>
                    <w:rPr>
                      <w:color w:val="auto"/>
                    </w:rPr>
                  </w:pPr>
                  <w:r>
                    <w:rPr>
                      <w:rFonts w:hint="eastAsia"/>
                      <w:color w:val="auto"/>
                    </w:rPr>
                    <w:t>/</w:t>
                  </w:r>
                </w:p>
              </w:tc>
            </w:tr>
            <w:tr w14:paraId="1FF878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15" w:type="pct"/>
                  <w:vMerge w:val="restart"/>
                  <w:tcBorders>
                    <w:tl2br w:val="nil"/>
                    <w:tr2bl w:val="nil"/>
                  </w:tcBorders>
                  <w:vAlign w:val="center"/>
                </w:tcPr>
                <w:p w14:paraId="33568213">
                  <w:pPr>
                    <w:pStyle w:val="30"/>
                    <w:rPr>
                      <w:rFonts w:hint="eastAsia" w:eastAsia="宋体"/>
                      <w:color w:val="auto"/>
                      <w:lang w:val="en-US" w:eastAsia="zh-CN"/>
                    </w:rPr>
                  </w:pPr>
                  <w:r>
                    <w:rPr>
                      <w:rFonts w:hint="eastAsia"/>
                      <w:color w:val="auto"/>
                      <w:lang w:val="en-US" w:eastAsia="zh-CN"/>
                    </w:rPr>
                    <w:t>占地工程</w:t>
                  </w:r>
                </w:p>
              </w:tc>
              <w:tc>
                <w:tcPr>
                  <w:tcW w:w="669" w:type="pct"/>
                  <w:tcBorders>
                    <w:tl2br w:val="nil"/>
                    <w:tr2bl w:val="nil"/>
                  </w:tcBorders>
                  <w:vAlign w:val="center"/>
                </w:tcPr>
                <w:p w14:paraId="275B951B">
                  <w:pPr>
                    <w:pStyle w:val="30"/>
                    <w:rPr>
                      <w:rFonts w:hint="eastAsia" w:eastAsia="宋体"/>
                      <w:color w:val="auto"/>
                      <w:lang w:val="en-US" w:eastAsia="zh-CN"/>
                    </w:rPr>
                  </w:pPr>
                  <w:r>
                    <w:rPr>
                      <w:rFonts w:hint="eastAsia"/>
                      <w:color w:val="auto"/>
                      <w:lang w:val="en-US" w:eastAsia="zh-CN"/>
                    </w:rPr>
                    <w:t>永久占地</w:t>
                  </w:r>
                </w:p>
              </w:tc>
              <w:tc>
                <w:tcPr>
                  <w:tcW w:w="3454" w:type="pct"/>
                  <w:gridSpan w:val="2"/>
                  <w:tcBorders>
                    <w:tl2br w:val="nil"/>
                    <w:tr2bl w:val="nil"/>
                  </w:tcBorders>
                  <w:vAlign w:val="center"/>
                </w:tcPr>
                <w:p w14:paraId="11B48F36">
                  <w:pPr>
                    <w:pStyle w:val="30"/>
                    <w:rPr>
                      <w:rFonts w:hint="eastAsia"/>
                      <w:color w:val="auto"/>
                    </w:rPr>
                  </w:pPr>
                  <w:r>
                    <w:rPr>
                      <w:rFonts w:hint="eastAsia"/>
                      <w:color w:val="auto"/>
                      <w:lang w:val="en-US" w:eastAsia="zh-CN"/>
                    </w:rPr>
                    <w:t>本工程永久占地土地类型为铁路用地，不新增永久占地，占地面积为70470m</w:t>
                  </w:r>
                  <w:r>
                    <w:rPr>
                      <w:rFonts w:hint="eastAsia"/>
                      <w:color w:val="auto"/>
                      <w:vertAlign w:val="superscript"/>
                      <w:lang w:val="en-US" w:eastAsia="zh-CN"/>
                    </w:rPr>
                    <w:t>2</w:t>
                  </w:r>
                  <w:r>
                    <w:rPr>
                      <w:rFonts w:hint="eastAsia"/>
                      <w:color w:val="auto"/>
                      <w:lang w:val="en-US" w:eastAsia="zh-CN"/>
                    </w:rPr>
                    <w:t>。</w:t>
                  </w:r>
                </w:p>
              </w:tc>
              <w:tc>
                <w:tcPr>
                  <w:tcW w:w="461" w:type="pct"/>
                  <w:tcBorders>
                    <w:tl2br w:val="nil"/>
                    <w:tr2bl w:val="nil"/>
                  </w:tcBorders>
                  <w:shd w:val="clear" w:color="auto" w:fill="auto"/>
                  <w:vAlign w:val="center"/>
                </w:tcPr>
                <w:p w14:paraId="3EB550F7">
                  <w:pPr>
                    <w:pStyle w:val="30"/>
                    <w:rPr>
                      <w:rFonts w:hint="eastAsia" w:eastAsia="宋体"/>
                      <w:color w:val="auto"/>
                      <w:lang w:val="en-US" w:eastAsia="zh-CN"/>
                    </w:rPr>
                  </w:pPr>
                  <w:r>
                    <w:rPr>
                      <w:rFonts w:hint="eastAsia"/>
                      <w:color w:val="auto"/>
                      <w:lang w:val="en-US" w:eastAsia="zh-CN"/>
                    </w:rPr>
                    <w:t>/</w:t>
                  </w:r>
                </w:p>
              </w:tc>
            </w:tr>
            <w:tr w14:paraId="25EA34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15" w:type="pct"/>
                  <w:vMerge w:val="continue"/>
                  <w:tcBorders>
                    <w:tl2br w:val="nil"/>
                    <w:tr2bl w:val="nil"/>
                  </w:tcBorders>
                  <w:vAlign w:val="center"/>
                </w:tcPr>
                <w:p w14:paraId="209647B6">
                  <w:pPr>
                    <w:pStyle w:val="30"/>
                    <w:rPr>
                      <w:rFonts w:hint="eastAsia"/>
                      <w:color w:val="auto"/>
                      <w:lang w:val="en-US" w:eastAsia="zh-CN"/>
                    </w:rPr>
                  </w:pPr>
                </w:p>
              </w:tc>
              <w:tc>
                <w:tcPr>
                  <w:tcW w:w="669" w:type="pct"/>
                  <w:tcBorders>
                    <w:tl2br w:val="nil"/>
                    <w:tr2bl w:val="nil"/>
                  </w:tcBorders>
                  <w:vAlign w:val="center"/>
                </w:tcPr>
                <w:p w14:paraId="020ACC47">
                  <w:pPr>
                    <w:pStyle w:val="30"/>
                    <w:rPr>
                      <w:rFonts w:hint="eastAsia" w:eastAsia="宋体"/>
                      <w:color w:val="auto"/>
                      <w:lang w:val="en-US" w:eastAsia="zh-CN"/>
                    </w:rPr>
                  </w:pPr>
                  <w:r>
                    <w:rPr>
                      <w:rFonts w:hint="eastAsia"/>
                      <w:color w:val="auto"/>
                      <w:lang w:val="en-US" w:eastAsia="zh-CN"/>
                    </w:rPr>
                    <w:t>临时占地</w:t>
                  </w:r>
                </w:p>
              </w:tc>
              <w:tc>
                <w:tcPr>
                  <w:tcW w:w="3454" w:type="pct"/>
                  <w:gridSpan w:val="2"/>
                  <w:tcBorders>
                    <w:tl2br w:val="nil"/>
                    <w:tr2bl w:val="nil"/>
                  </w:tcBorders>
                  <w:vAlign w:val="center"/>
                </w:tcPr>
                <w:p w14:paraId="6DC13415">
                  <w:pPr>
                    <w:pStyle w:val="30"/>
                    <w:rPr>
                      <w:rFonts w:hint="eastAsia"/>
                      <w:color w:val="auto"/>
                      <w:lang w:val="en-US" w:eastAsia="zh-CN"/>
                    </w:rPr>
                  </w:pPr>
                  <w:r>
                    <w:rPr>
                      <w:rFonts w:hint="eastAsia"/>
                      <w:color w:val="auto"/>
                      <w:lang w:val="en-US" w:eastAsia="zh-CN"/>
                    </w:rPr>
                    <w:t>本项目不设集中取、弃土场，拆除后的混凝土及残土等土石方破碎后部分用于路基填筑，拆除专用线道岔的钢筋、钢材部分可回收利用；部分不能回收利用的建筑垃圾去往填埋场。</w:t>
                  </w:r>
                </w:p>
                <w:p w14:paraId="7EADB285">
                  <w:pPr>
                    <w:pStyle w:val="30"/>
                    <w:rPr>
                      <w:rFonts w:hint="eastAsia"/>
                      <w:color w:val="auto"/>
                    </w:rPr>
                  </w:pPr>
                  <w:r>
                    <w:rPr>
                      <w:rFonts w:hint="eastAsia"/>
                      <w:color w:val="auto"/>
                    </w:rPr>
                    <w:t>本项目临时占地共计19267m</w:t>
                  </w:r>
                  <w:r>
                    <w:rPr>
                      <w:rFonts w:hint="eastAsia"/>
                      <w:color w:val="auto"/>
                      <w:vertAlign w:val="superscript"/>
                    </w:rPr>
                    <w:t>2</w:t>
                  </w:r>
                  <w:r>
                    <w:rPr>
                      <w:rFonts w:hint="eastAsia"/>
                      <w:color w:val="auto"/>
                    </w:rPr>
                    <w:t>，其中施工场地7027m</w:t>
                  </w:r>
                  <w:r>
                    <w:rPr>
                      <w:rFonts w:hint="eastAsia"/>
                      <w:color w:val="auto"/>
                      <w:vertAlign w:val="superscript"/>
                    </w:rPr>
                    <w:t>2</w:t>
                  </w:r>
                  <w:r>
                    <w:rPr>
                      <w:rFonts w:hint="eastAsia"/>
                      <w:color w:val="auto"/>
                    </w:rPr>
                    <w:t>，在专用线一侧设置，占地类型为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；临时堆土场6300m</w:t>
                  </w:r>
                  <w:r>
                    <w:rPr>
                      <w:rFonts w:hint="eastAsia"/>
                      <w:color w:val="auto"/>
                      <w:vertAlign w:val="superscript"/>
                    </w:rPr>
                    <w:t>2</w:t>
                  </w:r>
                  <w:r>
                    <w:rPr>
                      <w:rFonts w:hint="eastAsia"/>
                      <w:color w:val="auto"/>
                    </w:rPr>
                    <w:t>，设在铁路</w:t>
                  </w:r>
                  <w:r>
                    <w:rPr>
                      <w:rFonts w:hint="eastAsia"/>
                      <w:color w:val="auto"/>
                      <w:lang w:val="en-US" w:eastAsia="zh-CN"/>
                    </w:rPr>
                    <w:t>一</w:t>
                  </w:r>
                  <w:r>
                    <w:rPr>
                      <w:rFonts w:hint="eastAsia"/>
                      <w:color w:val="auto"/>
                    </w:rPr>
                    <w:t>侧，占地类型为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，确保耕地面积不减少、质量不降低；临时施工便道5940m</w:t>
                  </w:r>
                  <w:r>
                    <w:rPr>
                      <w:rFonts w:hint="eastAsia"/>
                      <w:color w:val="auto"/>
                      <w:vertAlign w:val="superscript"/>
                    </w:rPr>
                    <w:t>2</w:t>
                  </w:r>
                  <w:r>
                    <w:rPr>
                      <w:rFonts w:hint="eastAsia"/>
                      <w:color w:val="auto"/>
                    </w:rPr>
                    <w:t>，长度850m，占地类型为耕地，施工结束后恢复为耕地。</w:t>
                  </w:r>
                </w:p>
              </w:tc>
              <w:tc>
                <w:tcPr>
                  <w:tcW w:w="461" w:type="pct"/>
                  <w:tcBorders>
                    <w:tl2br w:val="nil"/>
                    <w:tr2bl w:val="nil"/>
                  </w:tcBorders>
                  <w:shd w:val="clear" w:color="auto" w:fill="auto"/>
                  <w:vAlign w:val="center"/>
                </w:tcPr>
                <w:p w14:paraId="6347DEF2">
                  <w:pPr>
                    <w:pStyle w:val="30"/>
                    <w:rPr>
                      <w:rFonts w:hint="eastAsia" w:eastAsia="宋体"/>
                      <w:color w:val="auto"/>
                      <w:lang w:val="en-US" w:eastAsia="zh-CN"/>
                    </w:rPr>
                  </w:pPr>
                  <w:r>
                    <w:rPr>
                      <w:rFonts w:hint="eastAsia"/>
                      <w:color w:val="auto"/>
                      <w:lang w:val="en-US" w:eastAsia="zh-CN"/>
                    </w:rPr>
                    <w:t>新建</w:t>
                  </w:r>
                </w:p>
              </w:tc>
            </w:tr>
            <w:tr w14:paraId="2AC387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415" w:type="pct"/>
                  <w:vMerge w:val="restart"/>
                  <w:tcBorders>
                    <w:tl2br w:val="nil"/>
                    <w:tr2bl w:val="nil"/>
                  </w:tcBorders>
                  <w:vAlign w:val="center"/>
                </w:tcPr>
                <w:p w14:paraId="723C54E0">
                  <w:pPr>
                    <w:pStyle w:val="30"/>
                    <w:rPr>
                      <w:color w:val="auto"/>
                    </w:rPr>
                  </w:pPr>
                  <w:r>
                    <w:rPr>
                      <w:rFonts w:hint="eastAsia"/>
                      <w:color w:val="auto"/>
                    </w:rPr>
                    <w:t>辅助工程</w:t>
                  </w:r>
                </w:p>
              </w:tc>
              <w:tc>
                <w:tcPr>
                  <w:tcW w:w="669" w:type="pct"/>
                  <w:vMerge w:val="restart"/>
                  <w:tcBorders>
                    <w:tl2br w:val="nil"/>
                    <w:tr2bl w:val="nil"/>
                  </w:tcBorders>
                  <w:vAlign w:val="center"/>
                </w:tcPr>
                <w:p w14:paraId="0F911009">
                  <w:pPr>
                    <w:pStyle w:val="30"/>
                    <w:rPr>
                      <w:color w:val="auto"/>
                    </w:rPr>
                  </w:pPr>
                  <w:r>
                    <w:rPr>
                      <w:rFonts w:hint="eastAsia"/>
                      <w:color w:val="auto"/>
                    </w:rPr>
                    <w:t>其他相关技术设备配置</w:t>
                  </w:r>
                </w:p>
              </w:tc>
              <w:tc>
                <w:tcPr>
                  <w:tcW w:w="253" w:type="pct"/>
                  <w:tcBorders>
                    <w:tl2br w:val="nil"/>
                    <w:tr2bl w:val="nil"/>
                  </w:tcBorders>
                  <w:vAlign w:val="center"/>
                </w:tcPr>
                <w:p w14:paraId="4B20EA15">
                  <w:pPr>
                    <w:pStyle w:val="30"/>
                    <w:rPr>
                      <w:color w:val="auto"/>
                    </w:rPr>
                  </w:pPr>
                  <w:r>
                    <w:rPr>
                      <w:rFonts w:hint="eastAsia"/>
                      <w:color w:val="auto"/>
                    </w:rPr>
                    <w:t>道岔</w:t>
                  </w:r>
                </w:p>
              </w:tc>
              <w:tc>
                <w:tcPr>
                  <w:tcW w:w="3201" w:type="pct"/>
                  <w:tcBorders>
                    <w:tl2br w:val="nil"/>
                    <w:tr2bl w:val="nil"/>
                  </w:tcBorders>
                  <w:vAlign w:val="center"/>
                </w:tcPr>
                <w:p w14:paraId="48C1060A">
                  <w:pPr>
                    <w:pStyle w:val="30"/>
                    <w:rPr>
                      <w:color w:val="auto"/>
                    </w:rPr>
                  </w:pPr>
                  <w:r>
                    <w:rPr>
                      <w:rFonts w:hint="eastAsia"/>
                      <w:color w:val="auto"/>
                    </w:rPr>
                    <w:t>改建铁路拆除油库专用线3道和4道，重新设置17#和19#道岔，既有油库专用线采用43kg/m钢轨木枕道岔，道岔连续布置，道岔前后未设置间距，新设道岔采用50kg/m钢轨混凝土岔枕道岔，需要根据《铁路专用线设计规范（试行）》（TB10638-2019）中关于道岔间插入钢轨最小长度要求调整道岔间距。道岔间距调整后，改造岔后曲线并重新连接3道和4道。</w:t>
                  </w:r>
                </w:p>
              </w:tc>
              <w:tc>
                <w:tcPr>
                  <w:tcW w:w="461" w:type="pct"/>
                  <w:tcBorders>
                    <w:tl2br w:val="nil"/>
                    <w:tr2bl w:val="nil"/>
                  </w:tcBorders>
                  <w:shd w:val="clear" w:color="auto" w:fill="auto"/>
                  <w:vAlign w:val="center"/>
                </w:tcPr>
                <w:p w14:paraId="30118261">
                  <w:pPr>
                    <w:pStyle w:val="30"/>
                    <w:rPr>
                      <w:color w:val="auto"/>
                    </w:rPr>
                  </w:pPr>
                  <w:r>
                    <w:rPr>
                      <w:rFonts w:hint="eastAsia"/>
                      <w:color w:val="auto"/>
                    </w:rPr>
                    <w:t>改建</w:t>
                  </w:r>
                </w:p>
              </w:tc>
            </w:tr>
            <w:tr w14:paraId="4FCB1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415" w:type="pct"/>
                  <w:vMerge w:val="continue"/>
                  <w:tcBorders>
                    <w:tl2br w:val="nil"/>
                    <w:tr2bl w:val="nil"/>
                  </w:tcBorders>
                  <w:vAlign w:val="center"/>
                </w:tcPr>
                <w:p w14:paraId="2A2F1F50">
                  <w:pPr>
                    <w:pStyle w:val="30"/>
                    <w:rPr>
                      <w:color w:val="auto"/>
                    </w:rPr>
                  </w:pPr>
                </w:p>
              </w:tc>
              <w:tc>
                <w:tcPr>
                  <w:tcW w:w="669" w:type="pct"/>
                  <w:vMerge w:val="continue"/>
                  <w:tcBorders>
                    <w:tl2br w:val="nil"/>
                    <w:tr2bl w:val="nil"/>
                  </w:tcBorders>
                  <w:vAlign w:val="center"/>
                </w:tcPr>
                <w:p w14:paraId="6CD11B2C">
                  <w:pPr>
                    <w:pStyle w:val="30"/>
                    <w:rPr>
                      <w:color w:val="auto"/>
                    </w:rPr>
                  </w:pPr>
                </w:p>
              </w:tc>
              <w:tc>
                <w:tcPr>
                  <w:tcW w:w="253" w:type="pct"/>
                  <w:tcBorders>
                    <w:tl2br w:val="nil"/>
                    <w:tr2bl w:val="nil"/>
                  </w:tcBorders>
                  <w:vAlign w:val="center"/>
                </w:tcPr>
                <w:p w14:paraId="2D0C6265">
                  <w:pPr>
                    <w:pStyle w:val="30"/>
                    <w:rPr>
                      <w:color w:val="auto"/>
                    </w:rPr>
                  </w:pPr>
                  <w:r>
                    <w:rPr>
                      <w:rFonts w:hint="eastAsia"/>
                      <w:color w:val="auto"/>
                    </w:rPr>
                    <w:t>钢轨</w:t>
                  </w:r>
                </w:p>
              </w:tc>
              <w:tc>
                <w:tcPr>
                  <w:tcW w:w="3201" w:type="pct"/>
                  <w:tcBorders>
                    <w:tl2br w:val="nil"/>
                    <w:tr2bl w:val="nil"/>
                  </w:tcBorders>
                  <w:vAlign w:val="center"/>
                </w:tcPr>
                <w:p w14:paraId="4F277676">
                  <w:pPr>
                    <w:pStyle w:val="30"/>
                    <w:rPr>
                      <w:color w:val="auto"/>
                    </w:rPr>
                  </w:pPr>
                  <w:r>
                    <w:rPr>
                      <w:rFonts w:hint="eastAsia"/>
                      <w:color w:val="auto"/>
                    </w:rPr>
                    <w:t>拆除走行线YK0+501.25~YK0+590.22之间、既有3道和4道43kg/m钢轨，更换为50kg/m-25m钢轨。走行线在既有1#岔首和新铺17#道岔间、新铺19#道岔末端与既有43kg/m钢轨间分别铺设12.5m长43kg/m-50kg/m异型轨。</w:t>
                  </w:r>
                </w:p>
              </w:tc>
              <w:tc>
                <w:tcPr>
                  <w:tcW w:w="461" w:type="pct"/>
                  <w:tcBorders>
                    <w:tl2br w:val="nil"/>
                    <w:tr2bl w:val="nil"/>
                  </w:tcBorders>
                  <w:shd w:val="clear" w:color="auto" w:fill="auto"/>
                  <w:vAlign w:val="center"/>
                </w:tcPr>
                <w:p w14:paraId="37F8686E">
                  <w:pPr>
                    <w:pStyle w:val="30"/>
                    <w:rPr>
                      <w:color w:val="auto"/>
                    </w:rPr>
                  </w:pPr>
                  <w:r>
                    <w:rPr>
                      <w:rFonts w:hint="eastAsia"/>
                      <w:color w:val="auto"/>
                    </w:rPr>
                    <w:t>改建/新建</w:t>
                  </w:r>
                </w:p>
              </w:tc>
            </w:tr>
            <w:tr w14:paraId="0B77D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415" w:type="pct"/>
                  <w:vMerge w:val="continue"/>
                  <w:tcBorders>
                    <w:tl2br w:val="nil"/>
                    <w:tr2bl w:val="nil"/>
                  </w:tcBorders>
                  <w:vAlign w:val="center"/>
                </w:tcPr>
                <w:p w14:paraId="3E0F5579">
                  <w:pPr>
                    <w:pStyle w:val="30"/>
                    <w:rPr>
                      <w:color w:val="auto"/>
                    </w:rPr>
                  </w:pPr>
                </w:p>
              </w:tc>
              <w:tc>
                <w:tcPr>
                  <w:tcW w:w="669" w:type="pct"/>
                  <w:vMerge w:val="continue"/>
                  <w:tcBorders>
                    <w:tl2br w:val="nil"/>
                    <w:tr2bl w:val="nil"/>
                  </w:tcBorders>
                  <w:vAlign w:val="center"/>
                </w:tcPr>
                <w:p w14:paraId="6D4ED9CC">
                  <w:pPr>
                    <w:pStyle w:val="30"/>
                    <w:rPr>
                      <w:color w:val="auto"/>
                    </w:rPr>
                  </w:pPr>
                </w:p>
              </w:tc>
              <w:tc>
                <w:tcPr>
                  <w:tcW w:w="253" w:type="pct"/>
                  <w:tcBorders>
                    <w:tl2br w:val="nil"/>
                    <w:tr2bl w:val="nil"/>
                  </w:tcBorders>
                  <w:vAlign w:val="center"/>
                </w:tcPr>
                <w:p w14:paraId="050654F5">
                  <w:pPr>
                    <w:pStyle w:val="30"/>
                    <w:rPr>
                      <w:color w:val="auto"/>
                    </w:rPr>
                  </w:pPr>
                  <w:r>
                    <w:rPr>
                      <w:rFonts w:hint="eastAsia"/>
                      <w:color w:val="auto"/>
                    </w:rPr>
                    <w:t>轨枕及扣件</w:t>
                  </w:r>
                </w:p>
              </w:tc>
              <w:tc>
                <w:tcPr>
                  <w:tcW w:w="3201" w:type="pct"/>
                  <w:tcBorders>
                    <w:tl2br w:val="nil"/>
                    <w:tr2bl w:val="nil"/>
                  </w:tcBorders>
                  <w:vAlign w:val="center"/>
                </w:tcPr>
                <w:p w14:paraId="5EF5F991">
                  <w:pPr>
                    <w:pStyle w:val="30"/>
                    <w:rPr>
                      <w:color w:val="auto"/>
                    </w:rPr>
                  </w:pPr>
                  <w:r>
                    <w:rPr>
                      <w:rFonts w:hint="eastAsia"/>
                      <w:color w:val="auto"/>
                    </w:rPr>
                    <w:t>新铺线路范围内将既有混凝土轨枕更换为新</w:t>
                  </w:r>
                  <w:r>
                    <w:rPr>
                      <w:color w:val="auto"/>
                    </w:rPr>
                    <w:t>Ⅱ</w:t>
                  </w:r>
                  <w:r>
                    <w:rPr>
                      <w:rFonts w:hint="eastAsia"/>
                      <w:color w:val="auto"/>
                    </w:rPr>
                    <w:t>型混凝土枕，直线地段轨枕根数按照1600根/km配置，半径小于300m的地段铺设小半径曲线用混凝土轨枕。</w:t>
                  </w:r>
                </w:p>
              </w:tc>
              <w:tc>
                <w:tcPr>
                  <w:tcW w:w="461" w:type="pct"/>
                  <w:tcBorders>
                    <w:tl2br w:val="nil"/>
                    <w:tr2bl w:val="nil"/>
                  </w:tcBorders>
                  <w:shd w:val="clear" w:color="auto" w:fill="auto"/>
                  <w:vAlign w:val="center"/>
                </w:tcPr>
                <w:p w14:paraId="1D742338">
                  <w:pPr>
                    <w:pStyle w:val="30"/>
                    <w:rPr>
                      <w:color w:val="auto"/>
                    </w:rPr>
                  </w:pPr>
                  <w:r>
                    <w:rPr>
                      <w:rFonts w:hint="eastAsia"/>
                      <w:color w:val="auto"/>
                    </w:rPr>
                    <w:t>改建</w:t>
                  </w:r>
                </w:p>
              </w:tc>
            </w:tr>
            <w:tr w14:paraId="0B656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415" w:type="pct"/>
                  <w:vMerge w:val="continue"/>
                  <w:tcBorders>
                    <w:tl2br w:val="nil"/>
                    <w:tr2bl w:val="nil"/>
                  </w:tcBorders>
                  <w:vAlign w:val="center"/>
                </w:tcPr>
                <w:p w14:paraId="0ECA5A04">
                  <w:pPr>
                    <w:pStyle w:val="30"/>
                    <w:rPr>
                      <w:color w:val="auto"/>
                    </w:rPr>
                  </w:pPr>
                </w:p>
              </w:tc>
              <w:tc>
                <w:tcPr>
                  <w:tcW w:w="669" w:type="pct"/>
                  <w:vMerge w:val="continue"/>
                  <w:tcBorders>
                    <w:tl2br w:val="nil"/>
                    <w:tr2bl w:val="nil"/>
                  </w:tcBorders>
                  <w:vAlign w:val="center"/>
                </w:tcPr>
                <w:p w14:paraId="03EC00BB">
                  <w:pPr>
                    <w:pStyle w:val="30"/>
                    <w:rPr>
                      <w:color w:val="auto"/>
                    </w:rPr>
                  </w:pPr>
                </w:p>
              </w:tc>
              <w:tc>
                <w:tcPr>
                  <w:tcW w:w="253" w:type="pct"/>
                  <w:tcBorders>
                    <w:tl2br w:val="nil"/>
                    <w:tr2bl w:val="nil"/>
                  </w:tcBorders>
                  <w:vAlign w:val="center"/>
                </w:tcPr>
                <w:p w14:paraId="0FE4BF08">
                  <w:pPr>
                    <w:pStyle w:val="30"/>
                    <w:rPr>
                      <w:color w:val="auto"/>
                    </w:rPr>
                  </w:pPr>
                  <w:r>
                    <w:rPr>
                      <w:rFonts w:hint="eastAsia"/>
                      <w:color w:val="auto"/>
                    </w:rPr>
                    <w:t>道床</w:t>
                  </w:r>
                </w:p>
              </w:tc>
              <w:tc>
                <w:tcPr>
                  <w:tcW w:w="3201" w:type="pct"/>
                  <w:tcBorders>
                    <w:tl2br w:val="nil"/>
                    <w:tr2bl w:val="nil"/>
                  </w:tcBorders>
                  <w:vAlign w:val="center"/>
                </w:tcPr>
                <w:p w14:paraId="5581591E">
                  <w:pPr>
                    <w:pStyle w:val="30"/>
                    <w:rPr>
                      <w:color w:val="auto"/>
                    </w:rPr>
                  </w:pPr>
                  <w:r>
                    <w:rPr>
                      <w:rFonts w:hint="eastAsia"/>
                      <w:color w:val="auto"/>
                    </w:rPr>
                    <w:t>走行线改造范围内既有为混砂道床，3道和4道既有无道床。本次研究走行线改造范围内挖除YK0+501.25~YK0+590.22之间既有混砂道床，在该范围内新铺碎石道床。3道和4道沿改造线位新铺碎石道床。</w:t>
                  </w:r>
                </w:p>
              </w:tc>
              <w:tc>
                <w:tcPr>
                  <w:tcW w:w="461" w:type="pct"/>
                  <w:tcBorders>
                    <w:tl2br w:val="nil"/>
                    <w:tr2bl w:val="nil"/>
                  </w:tcBorders>
                  <w:shd w:val="clear" w:color="auto" w:fill="auto"/>
                  <w:vAlign w:val="center"/>
                </w:tcPr>
                <w:p w14:paraId="5E44AB1D">
                  <w:pPr>
                    <w:pStyle w:val="30"/>
                    <w:rPr>
                      <w:color w:val="auto"/>
                    </w:rPr>
                  </w:pPr>
                  <w:r>
                    <w:rPr>
                      <w:rFonts w:hint="eastAsia"/>
                      <w:color w:val="auto"/>
                    </w:rPr>
                    <w:t>新建</w:t>
                  </w:r>
                </w:p>
              </w:tc>
            </w:tr>
            <w:tr w14:paraId="1EEBC9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15" w:type="pct"/>
                  <w:vMerge w:val="continue"/>
                  <w:tcBorders>
                    <w:tl2br w:val="nil"/>
                    <w:tr2bl w:val="nil"/>
                  </w:tcBorders>
                  <w:vAlign w:val="center"/>
                </w:tcPr>
                <w:p w14:paraId="4B680518">
                  <w:pPr>
                    <w:pStyle w:val="30"/>
                    <w:rPr>
                      <w:color w:val="auto"/>
                    </w:rPr>
                  </w:pPr>
                </w:p>
              </w:tc>
              <w:tc>
                <w:tcPr>
                  <w:tcW w:w="669" w:type="pct"/>
                  <w:tcBorders>
                    <w:tl2br w:val="nil"/>
                    <w:tr2bl w:val="nil"/>
                  </w:tcBorders>
                  <w:vAlign w:val="center"/>
                </w:tcPr>
                <w:p w14:paraId="70985131">
                  <w:pPr>
                    <w:pStyle w:val="30"/>
                    <w:rPr>
                      <w:color w:val="auto"/>
                    </w:rPr>
                  </w:pPr>
                  <w:r>
                    <w:rPr>
                      <w:rFonts w:hint="eastAsia"/>
                      <w:color w:val="auto"/>
                    </w:rPr>
                    <w:t>桥涵工程</w:t>
                  </w:r>
                </w:p>
              </w:tc>
              <w:tc>
                <w:tcPr>
                  <w:tcW w:w="3454" w:type="pct"/>
                  <w:gridSpan w:val="2"/>
                  <w:tcBorders>
                    <w:tl2br w:val="nil"/>
                    <w:tr2bl w:val="nil"/>
                  </w:tcBorders>
                  <w:vAlign w:val="center"/>
                </w:tcPr>
                <w:p w14:paraId="1E6FBF16">
                  <w:pPr>
                    <w:pStyle w:val="30"/>
                    <w:rPr>
                      <w:color w:val="auto"/>
                    </w:rPr>
                  </w:pPr>
                  <w:r>
                    <w:rPr>
                      <w:color w:val="auto"/>
                    </w:rPr>
                    <w:t>本线无桥梁跨越的河流。</w:t>
                  </w:r>
                  <w:r>
                    <w:rPr>
                      <w:rFonts w:hint="eastAsia"/>
                      <w:color w:val="auto"/>
                    </w:rPr>
                    <w:t>拆除一座废弃圆涵。</w:t>
                  </w:r>
                </w:p>
                <w:p w14:paraId="40027341">
                  <w:pPr>
                    <w:pStyle w:val="30"/>
                    <w:rPr>
                      <w:color w:val="auto"/>
                    </w:rPr>
                  </w:pPr>
                  <w:r>
                    <w:rPr>
                      <w:color w:val="auto"/>
                    </w:rPr>
                    <w:t>1)本工程新建涵洞采用框架涵，涵洞孔径为</w:t>
                  </w:r>
                  <w:r>
                    <w:rPr>
                      <w:rFonts w:hint="eastAsia"/>
                      <w:color w:val="auto"/>
                    </w:rPr>
                    <w:t>1.0m</w:t>
                  </w:r>
                  <w:r>
                    <w:rPr>
                      <w:color w:val="auto"/>
                    </w:rPr>
                    <w:t>。</w:t>
                  </w:r>
                </w:p>
                <w:p w14:paraId="390C4A4C">
                  <w:pPr>
                    <w:pStyle w:val="30"/>
                    <w:rPr>
                      <w:color w:val="auto"/>
                    </w:rPr>
                  </w:pPr>
                  <w:r>
                    <w:rPr>
                      <w:rFonts w:hint="eastAsia"/>
                      <w:color w:val="auto"/>
                    </w:rPr>
                    <w:t>2</w:t>
                  </w:r>
                  <w:r>
                    <w:rPr>
                      <w:color w:val="auto"/>
                    </w:rPr>
                    <w:t>)涵洞斜交法向夹角不大于45°，涵洞斜交斜做。</w:t>
                  </w:r>
                </w:p>
                <w:p w14:paraId="278B1C9A">
                  <w:pPr>
                    <w:pStyle w:val="30"/>
                    <w:rPr>
                      <w:color w:val="auto"/>
                    </w:rPr>
                  </w:pPr>
                  <w:r>
                    <w:rPr>
                      <w:rFonts w:hint="eastAsia"/>
                      <w:color w:val="auto"/>
                    </w:rPr>
                    <w:t>3</w:t>
                  </w:r>
                  <w:r>
                    <w:rPr>
                      <w:color w:val="auto"/>
                    </w:rPr>
                    <w:t>)新建涵洞轨底至顶板顶高度不小于1.2m，困难时顶板顶不高于路肩。</w:t>
                  </w:r>
                </w:p>
                <w:p w14:paraId="1ED5155E">
                  <w:pPr>
                    <w:pStyle w:val="30"/>
                    <w:rPr>
                      <w:color w:val="auto"/>
                    </w:rPr>
                  </w:pPr>
                  <w:r>
                    <w:rPr>
                      <w:rFonts w:hint="eastAsia"/>
                      <w:color w:val="auto"/>
                    </w:rPr>
                    <w:t>4</w:t>
                  </w:r>
                  <w:r>
                    <w:rPr>
                      <w:color w:val="auto"/>
                    </w:rPr>
                    <w:t>)涵洞基础基底设计应力应小于地基的容许承载力，当检算结果不符合要求时，应采用地基加固措施，涵洞地基加固处理措施应与相邻路基一致。</w:t>
                  </w:r>
                </w:p>
              </w:tc>
              <w:tc>
                <w:tcPr>
                  <w:tcW w:w="461" w:type="pct"/>
                  <w:tcBorders>
                    <w:tl2br w:val="nil"/>
                    <w:tr2bl w:val="nil"/>
                  </w:tcBorders>
                  <w:shd w:val="clear" w:color="auto" w:fill="auto"/>
                  <w:vAlign w:val="center"/>
                </w:tcPr>
                <w:p w14:paraId="6FA16D52">
                  <w:pPr>
                    <w:pStyle w:val="30"/>
                    <w:rPr>
                      <w:color w:val="auto"/>
                    </w:rPr>
                  </w:pPr>
                  <w:r>
                    <w:rPr>
                      <w:rFonts w:hint="eastAsia"/>
                      <w:color w:val="auto"/>
                    </w:rPr>
                    <w:t>改建</w:t>
                  </w:r>
                </w:p>
              </w:tc>
            </w:tr>
            <w:tr w14:paraId="7A8806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15" w:type="pct"/>
                  <w:vMerge w:val="continue"/>
                  <w:tcBorders>
                    <w:tl2br w:val="nil"/>
                    <w:tr2bl w:val="nil"/>
                  </w:tcBorders>
                  <w:vAlign w:val="center"/>
                </w:tcPr>
                <w:p w14:paraId="569048B6">
                  <w:pPr>
                    <w:pStyle w:val="30"/>
                    <w:rPr>
                      <w:color w:val="auto"/>
                    </w:rPr>
                  </w:pPr>
                </w:p>
              </w:tc>
              <w:tc>
                <w:tcPr>
                  <w:tcW w:w="669" w:type="pct"/>
                  <w:tcBorders>
                    <w:tl2br w:val="nil"/>
                    <w:tr2bl w:val="nil"/>
                  </w:tcBorders>
                  <w:vAlign w:val="center"/>
                </w:tcPr>
                <w:p w14:paraId="784257C3">
                  <w:pPr>
                    <w:pStyle w:val="30"/>
                    <w:rPr>
                      <w:color w:val="auto"/>
                    </w:rPr>
                  </w:pPr>
                  <w:r>
                    <w:rPr>
                      <w:rFonts w:hint="eastAsia"/>
                      <w:color w:val="auto"/>
                    </w:rPr>
                    <w:t>信号</w:t>
                  </w:r>
                </w:p>
              </w:tc>
              <w:tc>
                <w:tcPr>
                  <w:tcW w:w="3454" w:type="pct"/>
                  <w:gridSpan w:val="2"/>
                  <w:tcBorders>
                    <w:tl2br w:val="nil"/>
                    <w:tr2bl w:val="nil"/>
                  </w:tcBorders>
                  <w:vAlign w:val="center"/>
                </w:tcPr>
                <w:p w14:paraId="242DD864">
                  <w:pPr>
                    <w:pStyle w:val="30"/>
                    <w:rPr>
                      <w:color w:val="auto"/>
                    </w:rPr>
                  </w:pPr>
                  <w:r>
                    <w:rPr>
                      <w:color w:val="auto"/>
                    </w:rPr>
                    <w:t>本次各信号设备改造按《铁路信号设计规范》（TB10007-2017）中相关规定执行。</w:t>
                  </w:r>
                </w:p>
              </w:tc>
              <w:tc>
                <w:tcPr>
                  <w:tcW w:w="461" w:type="pct"/>
                  <w:tcBorders>
                    <w:tl2br w:val="nil"/>
                    <w:tr2bl w:val="nil"/>
                  </w:tcBorders>
                  <w:shd w:val="clear" w:color="auto" w:fill="auto"/>
                  <w:vAlign w:val="center"/>
                </w:tcPr>
                <w:p w14:paraId="0DD3343F">
                  <w:pPr>
                    <w:pStyle w:val="30"/>
                    <w:rPr>
                      <w:color w:val="auto"/>
                    </w:rPr>
                  </w:pPr>
                  <w:r>
                    <w:rPr>
                      <w:rFonts w:hint="eastAsia"/>
                      <w:color w:val="auto"/>
                    </w:rPr>
                    <w:t>改建</w:t>
                  </w:r>
                </w:p>
              </w:tc>
            </w:tr>
            <w:tr w14:paraId="3E9035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15" w:type="pct"/>
                  <w:vMerge w:val="continue"/>
                  <w:tcBorders>
                    <w:tl2br w:val="nil"/>
                    <w:tr2bl w:val="nil"/>
                  </w:tcBorders>
                  <w:vAlign w:val="center"/>
                </w:tcPr>
                <w:p w14:paraId="4F5C8D77">
                  <w:pPr>
                    <w:pStyle w:val="30"/>
                    <w:rPr>
                      <w:color w:val="auto"/>
                    </w:rPr>
                  </w:pPr>
                </w:p>
              </w:tc>
              <w:tc>
                <w:tcPr>
                  <w:tcW w:w="669" w:type="pct"/>
                  <w:tcBorders>
                    <w:tl2br w:val="nil"/>
                    <w:tr2bl w:val="nil"/>
                  </w:tcBorders>
                  <w:vAlign w:val="center"/>
                </w:tcPr>
                <w:p w14:paraId="2CABF45C">
                  <w:pPr>
                    <w:pStyle w:val="30"/>
                    <w:rPr>
                      <w:color w:val="auto"/>
                    </w:rPr>
                  </w:pPr>
                  <w:r>
                    <w:rPr>
                      <w:rFonts w:hint="eastAsia"/>
                      <w:color w:val="auto"/>
                    </w:rPr>
                    <w:t>电力</w:t>
                  </w:r>
                </w:p>
              </w:tc>
              <w:tc>
                <w:tcPr>
                  <w:tcW w:w="3454" w:type="pct"/>
                  <w:gridSpan w:val="2"/>
                  <w:tcBorders>
                    <w:tl2br w:val="nil"/>
                    <w:tr2bl w:val="nil"/>
                  </w:tcBorders>
                  <w:vAlign w:val="center"/>
                </w:tcPr>
                <w:p w14:paraId="5BCA3700">
                  <w:pPr>
                    <w:pStyle w:val="30"/>
                    <w:rPr>
                      <w:color w:val="auto"/>
                    </w:rPr>
                  </w:pPr>
                  <w:r>
                    <w:rPr>
                      <w:color w:val="auto"/>
                    </w:rPr>
                    <w:t>厂区附近既有国网10kV集粮线、农电10kV福茂线。福利屯车站内既有铁路10kV配电所一座、125+125kVA通号箱变一座。</w:t>
                  </w:r>
                  <w:r>
                    <w:rPr>
                      <w:rFonts w:hint="eastAsia"/>
                      <w:color w:val="auto"/>
                    </w:rPr>
                    <w:t>本工程无新增用电负荷。</w:t>
                  </w:r>
                </w:p>
              </w:tc>
              <w:tc>
                <w:tcPr>
                  <w:tcW w:w="461" w:type="pct"/>
                  <w:tcBorders>
                    <w:tl2br w:val="nil"/>
                    <w:tr2bl w:val="nil"/>
                  </w:tcBorders>
                  <w:shd w:val="clear" w:color="auto" w:fill="auto"/>
                  <w:vAlign w:val="center"/>
                </w:tcPr>
                <w:p w14:paraId="77ACE313">
                  <w:pPr>
                    <w:pStyle w:val="30"/>
                    <w:rPr>
                      <w:color w:val="auto"/>
                    </w:rPr>
                  </w:pPr>
                  <w:r>
                    <w:rPr>
                      <w:rFonts w:hint="eastAsia"/>
                      <w:color w:val="auto"/>
                    </w:rPr>
                    <w:t>依托</w:t>
                  </w:r>
                </w:p>
              </w:tc>
            </w:tr>
            <w:tr w14:paraId="09BC1E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415" w:type="pct"/>
                  <w:vMerge w:val="restart"/>
                  <w:tcBorders>
                    <w:tl2br w:val="nil"/>
                    <w:tr2bl w:val="nil"/>
                  </w:tcBorders>
                  <w:vAlign w:val="center"/>
                </w:tcPr>
                <w:p w14:paraId="3D55FBE9">
                  <w:pPr>
                    <w:pStyle w:val="30"/>
                    <w:jc w:val="both"/>
                    <w:rPr>
                      <w:color w:val="auto"/>
                    </w:rPr>
                  </w:pPr>
                  <w:r>
                    <w:rPr>
                      <w:color w:val="auto"/>
                    </w:rPr>
                    <w:t>临时工程</w:t>
                  </w:r>
                </w:p>
              </w:tc>
              <w:tc>
                <w:tcPr>
                  <w:tcW w:w="669" w:type="pct"/>
                  <w:tcBorders>
                    <w:tl2br w:val="nil"/>
                    <w:tr2bl w:val="nil"/>
                  </w:tcBorders>
                  <w:vAlign w:val="center"/>
                </w:tcPr>
                <w:p w14:paraId="26ADE254">
                  <w:pPr>
                    <w:pStyle w:val="30"/>
                    <w:rPr>
                      <w:color w:val="auto"/>
                    </w:rPr>
                  </w:pPr>
                  <w:r>
                    <w:rPr>
                      <w:rFonts w:hint="eastAsia"/>
                      <w:color w:val="auto"/>
                    </w:rPr>
                    <w:t>取土场</w:t>
                  </w:r>
                </w:p>
              </w:tc>
              <w:tc>
                <w:tcPr>
                  <w:tcW w:w="3454" w:type="pct"/>
                  <w:gridSpan w:val="2"/>
                  <w:tcBorders>
                    <w:tl2br w:val="nil"/>
                    <w:tr2bl w:val="nil"/>
                  </w:tcBorders>
                  <w:vAlign w:val="center"/>
                </w:tcPr>
                <w:p w14:paraId="77D06B55">
                  <w:pPr>
                    <w:pStyle w:val="30"/>
                    <w:rPr>
                      <w:color w:val="auto"/>
                    </w:rPr>
                  </w:pPr>
                  <w:r>
                    <w:rPr>
                      <w:rFonts w:hint="eastAsia"/>
                      <w:color w:val="auto"/>
                    </w:rPr>
                    <w:t>本项目挖方远大于填方，不设置取土场。</w:t>
                  </w:r>
                </w:p>
              </w:tc>
              <w:tc>
                <w:tcPr>
                  <w:tcW w:w="461" w:type="pct"/>
                  <w:tcBorders>
                    <w:tl2br w:val="nil"/>
                    <w:tr2bl w:val="nil"/>
                  </w:tcBorders>
                  <w:shd w:val="clear" w:color="auto" w:fill="auto"/>
                  <w:vAlign w:val="center"/>
                </w:tcPr>
                <w:p w14:paraId="11B28C46">
                  <w:pPr>
                    <w:pStyle w:val="30"/>
                    <w:rPr>
                      <w:color w:val="auto"/>
                    </w:rPr>
                  </w:pPr>
                  <w:r>
                    <w:rPr>
                      <w:rFonts w:hint="eastAsia"/>
                      <w:color w:val="auto"/>
                    </w:rPr>
                    <w:t>/</w:t>
                  </w:r>
                </w:p>
              </w:tc>
            </w:tr>
            <w:tr w14:paraId="65E3F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415" w:type="pct"/>
                  <w:vMerge w:val="continue"/>
                  <w:tcBorders>
                    <w:tl2br w:val="nil"/>
                    <w:tr2bl w:val="nil"/>
                  </w:tcBorders>
                  <w:vAlign w:val="center"/>
                </w:tcPr>
                <w:p w14:paraId="10EE536F">
                  <w:pPr>
                    <w:pStyle w:val="30"/>
                    <w:rPr>
                      <w:color w:val="auto"/>
                    </w:rPr>
                  </w:pPr>
                </w:p>
              </w:tc>
              <w:tc>
                <w:tcPr>
                  <w:tcW w:w="669" w:type="pct"/>
                  <w:tcBorders>
                    <w:tl2br w:val="nil"/>
                    <w:tr2bl w:val="nil"/>
                  </w:tcBorders>
                  <w:vAlign w:val="center"/>
                </w:tcPr>
                <w:p w14:paraId="2203953B">
                  <w:pPr>
                    <w:pStyle w:val="30"/>
                    <w:rPr>
                      <w:color w:val="auto"/>
                    </w:rPr>
                  </w:pPr>
                  <w:r>
                    <w:rPr>
                      <w:rFonts w:hint="eastAsia"/>
                      <w:color w:val="auto"/>
                    </w:rPr>
                    <w:t>弃土场</w:t>
                  </w:r>
                </w:p>
              </w:tc>
              <w:tc>
                <w:tcPr>
                  <w:tcW w:w="3454" w:type="pct"/>
                  <w:gridSpan w:val="2"/>
                  <w:tcBorders>
                    <w:tl2br w:val="nil"/>
                    <w:tr2bl w:val="nil"/>
                  </w:tcBorders>
                  <w:vAlign w:val="center"/>
                </w:tcPr>
                <w:p w14:paraId="7E80ABFB">
                  <w:pPr>
                    <w:pStyle w:val="30"/>
                    <w:rPr>
                      <w:color w:val="auto"/>
                    </w:rPr>
                  </w:pPr>
                  <w:r>
                    <w:rPr>
                      <w:rFonts w:hint="eastAsia"/>
                      <w:color w:val="auto"/>
                    </w:rPr>
                    <w:t>本项目不设置弃土场，拆除后的混凝土及残土等土石方破碎后部分用于两侧引道工程的路基填筑，拆除专用线道岔的钢筋、钢材部分可回收利用；部分不能回收利用的建筑垃圾去往填埋场。</w:t>
                  </w:r>
                </w:p>
              </w:tc>
              <w:tc>
                <w:tcPr>
                  <w:tcW w:w="461" w:type="pct"/>
                  <w:tcBorders>
                    <w:tl2br w:val="nil"/>
                    <w:tr2bl w:val="nil"/>
                  </w:tcBorders>
                  <w:shd w:val="clear" w:color="auto" w:fill="auto"/>
                  <w:vAlign w:val="center"/>
                </w:tcPr>
                <w:p w14:paraId="2952BB30">
                  <w:pPr>
                    <w:pStyle w:val="30"/>
                    <w:rPr>
                      <w:color w:val="auto"/>
                    </w:rPr>
                  </w:pPr>
                  <w:r>
                    <w:rPr>
                      <w:rFonts w:hint="eastAsia"/>
                      <w:color w:val="auto"/>
                    </w:rPr>
                    <w:t>/</w:t>
                  </w:r>
                </w:p>
              </w:tc>
            </w:tr>
            <w:tr w14:paraId="36CA6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22" w:hRule="atLeast"/>
                <w:jc w:val="center"/>
              </w:trPr>
              <w:tc>
                <w:tcPr>
                  <w:tcW w:w="415" w:type="pct"/>
                  <w:vMerge w:val="continue"/>
                  <w:tcBorders>
                    <w:tl2br w:val="nil"/>
                    <w:tr2bl w:val="nil"/>
                  </w:tcBorders>
                  <w:vAlign w:val="center"/>
                </w:tcPr>
                <w:p w14:paraId="7558CF39">
                  <w:pPr>
                    <w:pStyle w:val="30"/>
                    <w:rPr>
                      <w:color w:val="auto"/>
                    </w:rPr>
                  </w:pPr>
                </w:p>
              </w:tc>
              <w:tc>
                <w:tcPr>
                  <w:tcW w:w="669" w:type="pct"/>
                  <w:tcBorders>
                    <w:tl2br w:val="nil"/>
                    <w:tr2bl w:val="nil"/>
                  </w:tcBorders>
                  <w:vAlign w:val="center"/>
                </w:tcPr>
                <w:p w14:paraId="6B12A82E">
                  <w:pPr>
                    <w:pStyle w:val="30"/>
                    <w:rPr>
                      <w:color w:val="auto"/>
                    </w:rPr>
                  </w:pPr>
                  <w:r>
                    <w:rPr>
                      <w:rFonts w:hint="eastAsia"/>
                      <w:color w:val="auto"/>
                    </w:rPr>
                    <w:t>土石方量</w:t>
                  </w:r>
                </w:p>
              </w:tc>
              <w:tc>
                <w:tcPr>
                  <w:tcW w:w="3454" w:type="pct"/>
                  <w:gridSpan w:val="2"/>
                  <w:tcBorders>
                    <w:tl2br w:val="nil"/>
                    <w:tr2bl w:val="nil"/>
                  </w:tcBorders>
                  <w:vAlign w:val="center"/>
                </w:tcPr>
                <w:p w14:paraId="45CACAE5">
                  <w:pPr>
                    <w:pStyle w:val="30"/>
                    <w:rPr>
                      <w:color w:val="auto"/>
                    </w:rPr>
                  </w:pPr>
                  <w:r>
                    <w:rPr>
                      <w:rFonts w:hint="eastAsia"/>
                      <w:color w:val="auto"/>
                    </w:rPr>
                    <w:t>本项目土石方挖方总量为8440m</w:t>
                  </w:r>
                  <w:r>
                    <w:rPr>
                      <w:rFonts w:hint="eastAsia"/>
                      <w:color w:val="auto"/>
                      <w:vertAlign w:val="superscript"/>
                    </w:rPr>
                    <w:t>3</w:t>
                  </w:r>
                  <w:r>
                    <w:rPr>
                      <w:rFonts w:hint="eastAsia"/>
                      <w:color w:val="auto"/>
                    </w:rPr>
                    <w:t>，填方总量为16184m</w:t>
                  </w:r>
                  <w:r>
                    <w:rPr>
                      <w:rFonts w:hint="eastAsia"/>
                      <w:color w:val="auto"/>
                      <w:vertAlign w:val="superscript"/>
                    </w:rPr>
                    <w:t>3</w:t>
                  </w:r>
                  <w:r>
                    <w:rPr>
                      <w:rFonts w:hint="eastAsia"/>
                      <w:color w:val="auto"/>
                    </w:rPr>
                    <w:t>，借方总量为9674m</w:t>
                  </w:r>
                  <w:r>
                    <w:rPr>
                      <w:rFonts w:hint="eastAsia"/>
                      <w:color w:val="auto"/>
                      <w:vertAlign w:val="superscript"/>
                    </w:rPr>
                    <w:t>3</w:t>
                  </w:r>
                  <w:r>
                    <w:rPr>
                      <w:rFonts w:hint="eastAsia"/>
                      <w:color w:val="auto"/>
                    </w:rPr>
                    <w:t>，</w:t>
                  </w:r>
                  <w:r>
                    <w:rPr>
                      <w:rFonts w:hint="eastAsia"/>
                      <w:color w:val="auto"/>
                      <w:lang w:eastAsia="zh-CN"/>
                    </w:rPr>
                    <w:t>弃方</w:t>
                  </w:r>
                  <w:r>
                    <w:rPr>
                      <w:rFonts w:hint="eastAsia"/>
                      <w:color w:val="auto"/>
                    </w:rPr>
                    <w:t>总量为304m</w:t>
                  </w:r>
                  <w:r>
                    <w:rPr>
                      <w:rFonts w:hint="eastAsia"/>
                      <w:color w:val="auto"/>
                      <w:vertAlign w:val="superscript"/>
                    </w:rPr>
                    <w:t>3</w:t>
                  </w:r>
                  <w:r>
                    <w:rPr>
                      <w:rFonts w:hint="eastAsia"/>
                      <w:color w:val="auto"/>
                    </w:rPr>
                    <w:t>。借方全部为碎石、中粗砂，砂料主要以河砂为主，石料以碎石为主，考虑从附近石场供应，本项目不设取</w:t>
                  </w:r>
                  <w:r>
                    <w:rPr>
                      <w:rFonts w:hint="eastAsia"/>
                      <w:color w:val="auto"/>
                      <w:lang w:eastAsia="zh-CN"/>
                    </w:rPr>
                    <w:t>、</w:t>
                  </w:r>
                  <w:r>
                    <w:rPr>
                      <w:rFonts w:hint="eastAsia"/>
                      <w:color w:val="auto"/>
                      <w:lang w:val="en-US" w:eastAsia="zh-CN"/>
                    </w:rPr>
                    <w:t>弃</w:t>
                  </w:r>
                  <w:r>
                    <w:rPr>
                      <w:rFonts w:hint="eastAsia"/>
                      <w:color w:val="auto"/>
                    </w:rPr>
                    <w:t>土场。</w:t>
                  </w:r>
                  <w:r>
                    <w:rPr>
                      <w:rFonts w:hint="eastAsia"/>
                      <w:color w:val="auto"/>
                      <w:lang w:val="en-US" w:eastAsia="zh-CN"/>
                    </w:rPr>
                    <w:t>本项目路基工程主要以填方段为主，部分路段为挖方段，土石方主要是路基开挖、场地平整和排水沟开挖等。站场工程土石方主要是场地平整、建构筑物基础开挖和管沟开挖等。桥涵工程土石方主要包括场地平整。弃方为拆除后的混凝土及残土等，土石方破碎后部分用于路基填筑，拆除专用线道岔的钢筋、钢材部分可回收利用；部分不能回收利用的建筑垃圾去往填埋场。</w:t>
                  </w:r>
                </w:p>
              </w:tc>
              <w:tc>
                <w:tcPr>
                  <w:tcW w:w="461" w:type="pct"/>
                  <w:tcBorders>
                    <w:tl2br w:val="nil"/>
                    <w:tr2bl w:val="nil"/>
                  </w:tcBorders>
                  <w:shd w:val="clear" w:color="auto" w:fill="auto"/>
                  <w:vAlign w:val="center"/>
                </w:tcPr>
                <w:p w14:paraId="0FD69979">
                  <w:pPr>
                    <w:pStyle w:val="30"/>
                    <w:rPr>
                      <w:color w:val="auto"/>
                    </w:rPr>
                  </w:pPr>
                  <w:r>
                    <w:rPr>
                      <w:rFonts w:hint="eastAsia"/>
                      <w:color w:val="auto"/>
                    </w:rPr>
                    <w:t>新建</w:t>
                  </w:r>
                </w:p>
              </w:tc>
            </w:tr>
            <w:tr w14:paraId="543958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restart"/>
                  <w:tcBorders>
                    <w:tl2br w:val="nil"/>
                    <w:tr2bl w:val="nil"/>
                  </w:tcBorders>
                  <w:vAlign w:val="center"/>
                </w:tcPr>
                <w:p w14:paraId="0E08DA02">
                  <w:pPr>
                    <w:pStyle w:val="30"/>
                    <w:rPr>
                      <w:color w:val="auto"/>
                    </w:rPr>
                  </w:pPr>
                  <w:r>
                    <w:rPr>
                      <w:color w:val="auto"/>
                    </w:rPr>
                    <w:t>公用</w:t>
                  </w:r>
                </w:p>
                <w:p w14:paraId="04A03E6B">
                  <w:pPr>
                    <w:pStyle w:val="30"/>
                    <w:rPr>
                      <w:color w:val="auto"/>
                    </w:rPr>
                  </w:pPr>
                  <w:r>
                    <w:rPr>
                      <w:color w:val="auto"/>
                    </w:rPr>
                    <w:t>工程</w:t>
                  </w:r>
                </w:p>
              </w:tc>
              <w:tc>
                <w:tcPr>
                  <w:tcW w:w="669" w:type="pct"/>
                  <w:tcBorders>
                    <w:tl2br w:val="nil"/>
                    <w:tr2bl w:val="nil"/>
                  </w:tcBorders>
                  <w:vAlign w:val="center"/>
                </w:tcPr>
                <w:p w14:paraId="1287517C">
                  <w:pPr>
                    <w:pStyle w:val="30"/>
                    <w:rPr>
                      <w:color w:val="auto"/>
                    </w:rPr>
                  </w:pPr>
                  <w:r>
                    <w:rPr>
                      <w:color w:val="auto"/>
                    </w:rPr>
                    <w:t>供水</w:t>
                  </w:r>
                </w:p>
              </w:tc>
              <w:tc>
                <w:tcPr>
                  <w:tcW w:w="3454" w:type="pct"/>
                  <w:gridSpan w:val="2"/>
                  <w:tcBorders>
                    <w:tl2br w:val="nil"/>
                    <w:tr2bl w:val="nil"/>
                  </w:tcBorders>
                  <w:vAlign w:val="center"/>
                </w:tcPr>
                <w:p w14:paraId="6C4DC7E1">
                  <w:pPr>
                    <w:pStyle w:val="30"/>
                    <w:rPr>
                      <w:color w:val="auto"/>
                    </w:rPr>
                  </w:pPr>
                  <w:r>
                    <w:rPr>
                      <w:color w:val="auto"/>
                    </w:rPr>
                    <w:t>本项目用水由市政供水管网提供</w:t>
                  </w:r>
                </w:p>
              </w:tc>
              <w:tc>
                <w:tcPr>
                  <w:tcW w:w="461" w:type="pct"/>
                  <w:tcBorders>
                    <w:tl2br w:val="nil"/>
                    <w:tr2bl w:val="nil"/>
                  </w:tcBorders>
                  <w:shd w:val="clear" w:color="auto" w:fill="auto"/>
                  <w:vAlign w:val="center"/>
                </w:tcPr>
                <w:p w14:paraId="7EF9E7AA">
                  <w:pPr>
                    <w:pStyle w:val="30"/>
                    <w:rPr>
                      <w:color w:val="auto"/>
                    </w:rPr>
                  </w:pPr>
                  <w:r>
                    <w:rPr>
                      <w:color w:val="auto"/>
                    </w:rPr>
                    <w:t>依托</w:t>
                  </w:r>
                </w:p>
              </w:tc>
            </w:tr>
            <w:tr w14:paraId="155C0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continue"/>
                  <w:tcBorders>
                    <w:tl2br w:val="nil"/>
                    <w:tr2bl w:val="nil"/>
                  </w:tcBorders>
                  <w:vAlign w:val="center"/>
                </w:tcPr>
                <w:p w14:paraId="370018D7">
                  <w:pPr>
                    <w:pStyle w:val="30"/>
                    <w:rPr>
                      <w:color w:val="auto"/>
                    </w:rPr>
                  </w:pPr>
                </w:p>
              </w:tc>
              <w:tc>
                <w:tcPr>
                  <w:tcW w:w="669" w:type="pct"/>
                  <w:tcBorders>
                    <w:tl2br w:val="nil"/>
                    <w:tr2bl w:val="nil"/>
                  </w:tcBorders>
                  <w:vAlign w:val="center"/>
                </w:tcPr>
                <w:p w14:paraId="19C5D244">
                  <w:pPr>
                    <w:pStyle w:val="30"/>
                    <w:rPr>
                      <w:color w:val="auto"/>
                    </w:rPr>
                  </w:pPr>
                  <w:r>
                    <w:rPr>
                      <w:color w:val="auto"/>
                    </w:rPr>
                    <w:t>排水</w:t>
                  </w:r>
                </w:p>
              </w:tc>
              <w:tc>
                <w:tcPr>
                  <w:tcW w:w="3454" w:type="pct"/>
                  <w:gridSpan w:val="2"/>
                  <w:tcBorders>
                    <w:tl2br w:val="nil"/>
                    <w:tr2bl w:val="nil"/>
                  </w:tcBorders>
                  <w:vAlign w:val="center"/>
                </w:tcPr>
                <w:p w14:paraId="55202C3B">
                  <w:pPr>
                    <w:pStyle w:val="30"/>
                    <w:rPr>
                      <w:color w:val="auto"/>
                    </w:rPr>
                  </w:pPr>
                  <w:r>
                    <w:rPr>
                      <w:rFonts w:hint="eastAsia"/>
                      <w:color w:val="auto"/>
                    </w:rPr>
                    <w:t>施工期</w:t>
                  </w:r>
                  <w:r>
                    <w:rPr>
                      <w:color w:val="auto"/>
                    </w:rPr>
                    <w:t>生活污水由化粪池沉淀后进入市政污水管网</w:t>
                  </w:r>
                  <w:r>
                    <w:rPr>
                      <w:rFonts w:hint="eastAsia"/>
                      <w:color w:val="auto"/>
                    </w:rPr>
                    <w:t>。运营期无新增人员，不涉及排水。</w:t>
                  </w:r>
                </w:p>
              </w:tc>
              <w:tc>
                <w:tcPr>
                  <w:tcW w:w="461" w:type="pct"/>
                  <w:tcBorders>
                    <w:tl2br w:val="nil"/>
                    <w:tr2bl w:val="nil"/>
                  </w:tcBorders>
                  <w:shd w:val="clear" w:color="auto" w:fill="auto"/>
                  <w:vAlign w:val="center"/>
                </w:tcPr>
                <w:p w14:paraId="4E4DAFBF">
                  <w:pPr>
                    <w:pStyle w:val="30"/>
                    <w:rPr>
                      <w:color w:val="auto"/>
                    </w:rPr>
                  </w:pPr>
                  <w:r>
                    <w:rPr>
                      <w:color w:val="auto"/>
                    </w:rPr>
                    <w:t>依托</w:t>
                  </w:r>
                </w:p>
              </w:tc>
            </w:tr>
            <w:tr w14:paraId="193C99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continue"/>
                  <w:tcBorders>
                    <w:tl2br w:val="nil"/>
                    <w:tr2bl w:val="nil"/>
                  </w:tcBorders>
                  <w:vAlign w:val="center"/>
                </w:tcPr>
                <w:p w14:paraId="060BED3B">
                  <w:pPr>
                    <w:pStyle w:val="30"/>
                    <w:rPr>
                      <w:color w:val="auto"/>
                    </w:rPr>
                  </w:pPr>
                </w:p>
              </w:tc>
              <w:tc>
                <w:tcPr>
                  <w:tcW w:w="669" w:type="pct"/>
                  <w:tcBorders>
                    <w:tl2br w:val="nil"/>
                    <w:tr2bl w:val="nil"/>
                  </w:tcBorders>
                  <w:vAlign w:val="center"/>
                </w:tcPr>
                <w:p w14:paraId="1298A4A9">
                  <w:pPr>
                    <w:pStyle w:val="30"/>
                    <w:rPr>
                      <w:color w:val="auto"/>
                    </w:rPr>
                  </w:pPr>
                  <w:r>
                    <w:rPr>
                      <w:color w:val="auto"/>
                    </w:rPr>
                    <w:t>供电</w:t>
                  </w:r>
                </w:p>
              </w:tc>
              <w:tc>
                <w:tcPr>
                  <w:tcW w:w="3454" w:type="pct"/>
                  <w:gridSpan w:val="2"/>
                  <w:tcBorders>
                    <w:tl2br w:val="nil"/>
                    <w:tr2bl w:val="nil"/>
                  </w:tcBorders>
                  <w:vAlign w:val="center"/>
                </w:tcPr>
                <w:p w14:paraId="04F1B207">
                  <w:pPr>
                    <w:pStyle w:val="30"/>
                    <w:rPr>
                      <w:color w:val="auto"/>
                    </w:rPr>
                  </w:pPr>
                  <w:r>
                    <w:rPr>
                      <w:rFonts w:hint="eastAsia"/>
                      <w:color w:val="auto"/>
                    </w:rPr>
                    <w:t>利用附近既有国网10kV集粮线、农电10kV福茂线。福利屯车站内既有铁路10kV配电所一座、125+125kVA通号箱变一座。</w:t>
                  </w:r>
                </w:p>
              </w:tc>
              <w:tc>
                <w:tcPr>
                  <w:tcW w:w="461" w:type="pct"/>
                  <w:tcBorders>
                    <w:tl2br w:val="nil"/>
                    <w:tr2bl w:val="nil"/>
                  </w:tcBorders>
                  <w:shd w:val="clear" w:color="auto" w:fill="auto"/>
                  <w:vAlign w:val="center"/>
                </w:tcPr>
                <w:p w14:paraId="474766B9">
                  <w:pPr>
                    <w:pStyle w:val="30"/>
                    <w:rPr>
                      <w:color w:val="auto"/>
                    </w:rPr>
                  </w:pPr>
                  <w:r>
                    <w:rPr>
                      <w:color w:val="auto"/>
                    </w:rPr>
                    <w:t>依托</w:t>
                  </w:r>
                </w:p>
              </w:tc>
            </w:tr>
            <w:tr w14:paraId="10F86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continue"/>
                  <w:tcBorders>
                    <w:tl2br w:val="nil"/>
                    <w:tr2bl w:val="nil"/>
                  </w:tcBorders>
                  <w:vAlign w:val="center"/>
                </w:tcPr>
                <w:p w14:paraId="44CD489C">
                  <w:pPr>
                    <w:pStyle w:val="30"/>
                    <w:rPr>
                      <w:color w:val="auto"/>
                    </w:rPr>
                  </w:pPr>
                </w:p>
              </w:tc>
              <w:tc>
                <w:tcPr>
                  <w:tcW w:w="669" w:type="pct"/>
                  <w:tcBorders>
                    <w:tl2br w:val="nil"/>
                    <w:tr2bl w:val="nil"/>
                  </w:tcBorders>
                  <w:vAlign w:val="center"/>
                </w:tcPr>
                <w:p w14:paraId="12676CC7">
                  <w:pPr>
                    <w:pStyle w:val="30"/>
                    <w:rPr>
                      <w:color w:val="auto"/>
                    </w:rPr>
                  </w:pPr>
                  <w:r>
                    <w:rPr>
                      <w:color w:val="auto"/>
                    </w:rPr>
                    <w:t>供热</w:t>
                  </w:r>
                </w:p>
              </w:tc>
              <w:tc>
                <w:tcPr>
                  <w:tcW w:w="3454" w:type="pct"/>
                  <w:gridSpan w:val="2"/>
                  <w:tcBorders>
                    <w:tl2br w:val="nil"/>
                    <w:tr2bl w:val="nil"/>
                  </w:tcBorders>
                  <w:vAlign w:val="center"/>
                </w:tcPr>
                <w:p w14:paraId="24C4DB8C">
                  <w:pPr>
                    <w:pStyle w:val="30"/>
                    <w:rPr>
                      <w:color w:val="auto"/>
                    </w:rPr>
                  </w:pPr>
                  <w:r>
                    <w:rPr>
                      <w:rFonts w:hint="eastAsia"/>
                      <w:color w:val="auto"/>
                    </w:rPr>
                    <w:t>市政</w:t>
                  </w:r>
                  <w:r>
                    <w:rPr>
                      <w:color w:val="auto"/>
                    </w:rPr>
                    <w:t>供热管网提供</w:t>
                  </w:r>
                </w:p>
              </w:tc>
              <w:tc>
                <w:tcPr>
                  <w:tcW w:w="461" w:type="pct"/>
                  <w:tcBorders>
                    <w:tl2br w:val="nil"/>
                    <w:tr2bl w:val="nil"/>
                  </w:tcBorders>
                  <w:shd w:val="clear" w:color="auto" w:fill="auto"/>
                  <w:vAlign w:val="center"/>
                </w:tcPr>
                <w:p w14:paraId="2F2747C0">
                  <w:pPr>
                    <w:pStyle w:val="30"/>
                    <w:rPr>
                      <w:color w:val="auto"/>
                    </w:rPr>
                  </w:pPr>
                  <w:r>
                    <w:rPr>
                      <w:color w:val="auto"/>
                    </w:rPr>
                    <w:t>依托</w:t>
                  </w:r>
                </w:p>
              </w:tc>
            </w:tr>
            <w:tr w14:paraId="0698A3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restart"/>
                  <w:tcBorders>
                    <w:tl2br w:val="nil"/>
                    <w:tr2bl w:val="nil"/>
                  </w:tcBorders>
                  <w:vAlign w:val="center"/>
                </w:tcPr>
                <w:p w14:paraId="2551B234">
                  <w:pPr>
                    <w:pStyle w:val="30"/>
                    <w:rPr>
                      <w:color w:val="auto"/>
                    </w:rPr>
                  </w:pPr>
                  <w:r>
                    <w:rPr>
                      <w:color w:val="auto"/>
                    </w:rPr>
                    <w:t>环保</w:t>
                  </w:r>
                </w:p>
                <w:p w14:paraId="4A2E2A77">
                  <w:pPr>
                    <w:pStyle w:val="30"/>
                    <w:rPr>
                      <w:color w:val="auto"/>
                    </w:rPr>
                  </w:pPr>
                  <w:r>
                    <w:rPr>
                      <w:color w:val="auto"/>
                    </w:rPr>
                    <w:t>工程</w:t>
                  </w:r>
                </w:p>
              </w:tc>
              <w:tc>
                <w:tcPr>
                  <w:tcW w:w="669" w:type="pct"/>
                  <w:tcBorders>
                    <w:tl2br w:val="nil"/>
                    <w:tr2bl w:val="nil"/>
                  </w:tcBorders>
                  <w:vAlign w:val="center"/>
                </w:tcPr>
                <w:p w14:paraId="681FEC32">
                  <w:pPr>
                    <w:pStyle w:val="30"/>
                    <w:rPr>
                      <w:color w:val="auto"/>
                    </w:rPr>
                  </w:pPr>
                  <w:r>
                    <w:rPr>
                      <w:color w:val="auto"/>
                    </w:rPr>
                    <w:t>废水处理</w:t>
                  </w:r>
                </w:p>
              </w:tc>
              <w:tc>
                <w:tcPr>
                  <w:tcW w:w="3454" w:type="pct"/>
                  <w:gridSpan w:val="2"/>
                  <w:tcBorders>
                    <w:tl2br w:val="nil"/>
                    <w:tr2bl w:val="nil"/>
                  </w:tcBorders>
                  <w:vAlign w:val="center"/>
                </w:tcPr>
                <w:p w14:paraId="2BB5399E">
                  <w:pPr>
                    <w:pStyle w:val="30"/>
                    <w:rPr>
                      <w:color w:val="auto"/>
                    </w:rPr>
                  </w:pPr>
                  <w:r>
                    <w:rPr>
                      <w:rFonts w:hint="eastAsia"/>
                      <w:color w:val="auto"/>
                    </w:rPr>
                    <w:t>施工期生产废水用于周边洒水抑尘，施工期员工生活污水依托附近村庄排入防渗旱厕。运营期无生产生活污水。</w:t>
                  </w:r>
                </w:p>
              </w:tc>
              <w:tc>
                <w:tcPr>
                  <w:tcW w:w="461" w:type="pct"/>
                  <w:tcBorders>
                    <w:tl2br w:val="nil"/>
                    <w:tr2bl w:val="nil"/>
                  </w:tcBorders>
                  <w:vAlign w:val="center"/>
                </w:tcPr>
                <w:p w14:paraId="62703B1D">
                  <w:pPr>
                    <w:pStyle w:val="30"/>
                    <w:rPr>
                      <w:color w:val="auto"/>
                    </w:rPr>
                  </w:pPr>
                  <w:r>
                    <w:rPr>
                      <w:rFonts w:hint="eastAsia"/>
                      <w:color w:val="auto"/>
                    </w:rPr>
                    <w:t>依托</w:t>
                  </w:r>
                </w:p>
              </w:tc>
            </w:tr>
            <w:tr w14:paraId="2B343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continue"/>
                  <w:tcBorders>
                    <w:tl2br w:val="nil"/>
                    <w:tr2bl w:val="nil"/>
                  </w:tcBorders>
                  <w:vAlign w:val="center"/>
                </w:tcPr>
                <w:p w14:paraId="28CFAD69">
                  <w:pPr>
                    <w:pStyle w:val="30"/>
                    <w:rPr>
                      <w:color w:val="auto"/>
                    </w:rPr>
                  </w:pPr>
                </w:p>
              </w:tc>
              <w:tc>
                <w:tcPr>
                  <w:tcW w:w="669" w:type="pct"/>
                  <w:tcBorders>
                    <w:tl2br w:val="nil"/>
                    <w:tr2bl w:val="nil"/>
                  </w:tcBorders>
                  <w:vAlign w:val="center"/>
                </w:tcPr>
                <w:p w14:paraId="423C5DC0">
                  <w:pPr>
                    <w:pStyle w:val="30"/>
                    <w:rPr>
                      <w:color w:val="auto"/>
                    </w:rPr>
                  </w:pPr>
                  <w:r>
                    <w:rPr>
                      <w:color w:val="auto"/>
                    </w:rPr>
                    <w:t>固废处理</w:t>
                  </w:r>
                </w:p>
              </w:tc>
              <w:tc>
                <w:tcPr>
                  <w:tcW w:w="3454" w:type="pct"/>
                  <w:gridSpan w:val="2"/>
                  <w:tcBorders>
                    <w:tl2br w:val="nil"/>
                    <w:tr2bl w:val="nil"/>
                  </w:tcBorders>
                  <w:vAlign w:val="center"/>
                </w:tcPr>
                <w:p w14:paraId="20E568F7">
                  <w:pPr>
                    <w:pStyle w:val="30"/>
                    <w:rPr>
                      <w:color w:val="auto"/>
                    </w:rPr>
                  </w:pPr>
                  <w:r>
                    <w:rPr>
                      <w:rFonts w:hint="eastAsia"/>
                      <w:color w:val="auto"/>
                    </w:rPr>
                    <w:t>施工期建筑材料按要求规划运输，送至环保指定地点处理，不要随意倾倒建筑垃圾，施工人员的生活垃圾收集到指定的垃圾箱内，由环卫部门统一及时处理。</w:t>
                  </w:r>
                </w:p>
              </w:tc>
              <w:tc>
                <w:tcPr>
                  <w:tcW w:w="461" w:type="pct"/>
                  <w:tcBorders>
                    <w:tl2br w:val="nil"/>
                    <w:tr2bl w:val="nil"/>
                  </w:tcBorders>
                  <w:vAlign w:val="center"/>
                </w:tcPr>
                <w:p w14:paraId="1BF899E2">
                  <w:pPr>
                    <w:pStyle w:val="30"/>
                    <w:rPr>
                      <w:color w:val="auto"/>
                    </w:rPr>
                  </w:pPr>
                  <w:r>
                    <w:rPr>
                      <w:rFonts w:hint="eastAsia"/>
                      <w:color w:val="auto"/>
                    </w:rPr>
                    <w:t>依托</w:t>
                  </w:r>
                </w:p>
              </w:tc>
            </w:tr>
            <w:tr w14:paraId="724C1A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continue"/>
                  <w:tcBorders>
                    <w:tl2br w:val="nil"/>
                    <w:tr2bl w:val="nil"/>
                  </w:tcBorders>
                  <w:vAlign w:val="center"/>
                </w:tcPr>
                <w:p w14:paraId="0D50CF91">
                  <w:pPr>
                    <w:pStyle w:val="30"/>
                    <w:rPr>
                      <w:color w:val="auto"/>
                    </w:rPr>
                  </w:pPr>
                </w:p>
              </w:tc>
              <w:tc>
                <w:tcPr>
                  <w:tcW w:w="669" w:type="pct"/>
                  <w:tcBorders>
                    <w:tl2br w:val="nil"/>
                    <w:tr2bl w:val="nil"/>
                  </w:tcBorders>
                  <w:vAlign w:val="center"/>
                </w:tcPr>
                <w:p w14:paraId="7037A7D1">
                  <w:pPr>
                    <w:pStyle w:val="30"/>
                    <w:rPr>
                      <w:color w:val="auto"/>
                    </w:rPr>
                  </w:pPr>
                  <w:r>
                    <w:rPr>
                      <w:color w:val="auto"/>
                    </w:rPr>
                    <w:t>噪声治理</w:t>
                  </w:r>
                </w:p>
              </w:tc>
              <w:tc>
                <w:tcPr>
                  <w:tcW w:w="3454" w:type="pct"/>
                  <w:gridSpan w:val="2"/>
                  <w:tcBorders>
                    <w:tl2br w:val="nil"/>
                    <w:tr2bl w:val="nil"/>
                  </w:tcBorders>
                  <w:vAlign w:val="center"/>
                </w:tcPr>
                <w:p w14:paraId="222DFB55">
                  <w:pPr>
                    <w:pStyle w:val="30"/>
                    <w:rPr>
                      <w:color w:val="auto"/>
                    </w:rPr>
                  </w:pPr>
                  <w:r>
                    <w:rPr>
                      <w:rFonts w:hint="eastAsia"/>
                      <w:color w:val="auto"/>
                    </w:rPr>
                    <w:t>（1）施工期采用低噪声设备，限制作业时间；</w:t>
                  </w:r>
                </w:p>
                <w:p w14:paraId="590FAFD6">
                  <w:pPr>
                    <w:pStyle w:val="30"/>
                    <w:rPr>
                      <w:color w:val="auto"/>
                    </w:rPr>
                  </w:pPr>
                  <w:r>
                    <w:rPr>
                      <w:color w:val="auto"/>
                    </w:rPr>
                    <w:t>（2）</w:t>
                  </w:r>
                  <w:r>
                    <w:rPr>
                      <w:rFonts w:hint="eastAsia"/>
                      <w:color w:val="auto"/>
                    </w:rPr>
                    <w:t>运营期合理规划布局，加强管理和保养，定期进行轨道打磨和旋轮等，使铁路在较佳的线路条件下运行，控制随机鸣笛噪声等；</w:t>
                  </w:r>
                </w:p>
                <w:p w14:paraId="49D99B47">
                  <w:pPr>
                    <w:pStyle w:val="30"/>
                    <w:rPr>
                      <w:color w:val="auto"/>
                    </w:rPr>
                  </w:pPr>
                  <w:r>
                    <w:rPr>
                      <w:rFonts w:hint="eastAsia"/>
                      <w:color w:val="auto"/>
                    </w:rPr>
                    <w:t>（3）铁路运营期间加强管理、加强监控，如发现噪声超标现象及时采取防护措施；</w:t>
                  </w:r>
                </w:p>
                <w:p w14:paraId="3C26DA45">
                  <w:pPr>
                    <w:pStyle w:val="30"/>
                    <w:rPr>
                      <w:color w:val="auto"/>
                    </w:rPr>
                  </w:pPr>
                  <w:r>
                    <w:rPr>
                      <w:color w:val="auto"/>
                    </w:rPr>
                    <w:t>（4）</w:t>
                  </w:r>
                  <w:r>
                    <w:rPr>
                      <w:rFonts w:hint="eastAsia"/>
                      <w:color w:val="auto"/>
                    </w:rPr>
                    <w:t>叉车、运输机选取低噪声设备、采取减振措施，装卸场厂界声环境可以满足《工业企业厂界环境噪声排放标准》（GB12348-2008）中3类标准。</w:t>
                  </w:r>
                </w:p>
              </w:tc>
              <w:tc>
                <w:tcPr>
                  <w:tcW w:w="461" w:type="pct"/>
                  <w:tcBorders>
                    <w:tl2br w:val="nil"/>
                    <w:tr2bl w:val="nil"/>
                  </w:tcBorders>
                  <w:vAlign w:val="center"/>
                </w:tcPr>
                <w:p w14:paraId="39905CFD">
                  <w:pPr>
                    <w:pStyle w:val="30"/>
                    <w:rPr>
                      <w:color w:val="auto"/>
                    </w:rPr>
                  </w:pPr>
                  <w:r>
                    <w:rPr>
                      <w:rFonts w:hint="eastAsia"/>
                      <w:color w:val="auto"/>
                    </w:rPr>
                    <w:t>新建</w:t>
                  </w:r>
                </w:p>
              </w:tc>
            </w:tr>
            <w:tr w14:paraId="02B72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continue"/>
                  <w:tcBorders>
                    <w:tl2br w:val="nil"/>
                    <w:tr2bl w:val="nil"/>
                  </w:tcBorders>
                  <w:vAlign w:val="center"/>
                </w:tcPr>
                <w:p w14:paraId="6C94CFAA">
                  <w:pPr>
                    <w:pStyle w:val="30"/>
                    <w:rPr>
                      <w:color w:val="auto"/>
                    </w:rPr>
                  </w:pPr>
                </w:p>
              </w:tc>
              <w:tc>
                <w:tcPr>
                  <w:tcW w:w="669" w:type="pct"/>
                  <w:tcBorders>
                    <w:tl2br w:val="nil"/>
                    <w:tr2bl w:val="nil"/>
                  </w:tcBorders>
                  <w:vAlign w:val="center"/>
                </w:tcPr>
                <w:p w14:paraId="23EFAA44">
                  <w:pPr>
                    <w:pStyle w:val="30"/>
                    <w:rPr>
                      <w:color w:val="auto"/>
                    </w:rPr>
                  </w:pPr>
                  <w:r>
                    <w:rPr>
                      <w:rFonts w:hint="eastAsia"/>
                      <w:color w:val="auto"/>
                    </w:rPr>
                    <w:t>振动治理</w:t>
                  </w:r>
                </w:p>
              </w:tc>
              <w:tc>
                <w:tcPr>
                  <w:tcW w:w="3454" w:type="pct"/>
                  <w:gridSpan w:val="2"/>
                  <w:tcBorders>
                    <w:tl2br w:val="nil"/>
                    <w:tr2bl w:val="nil"/>
                  </w:tcBorders>
                  <w:vAlign w:val="center"/>
                </w:tcPr>
                <w:p w14:paraId="3C63AFC5">
                  <w:pPr>
                    <w:pStyle w:val="30"/>
                    <w:rPr>
                      <w:color w:val="auto"/>
                    </w:rPr>
                  </w:pPr>
                  <w:r>
                    <w:rPr>
                      <w:rFonts w:hint="eastAsia"/>
                      <w:color w:val="auto"/>
                    </w:rPr>
                    <w:t>（1）施工期加强设备维护保养，合理安排作业时间；</w:t>
                  </w:r>
                </w:p>
                <w:p w14:paraId="575AF3D4">
                  <w:pPr>
                    <w:pStyle w:val="30"/>
                    <w:rPr>
                      <w:color w:val="auto"/>
                    </w:rPr>
                  </w:pPr>
                  <w:r>
                    <w:rPr>
                      <w:rFonts w:hint="eastAsia"/>
                      <w:color w:val="auto"/>
                    </w:rPr>
                    <w:t>（2）运营期及时修磨轨面和轨道变形的维护，保证钢轨表面的平整光滑，保证各项设备处于良好的运行状态，减少附加振动等；</w:t>
                  </w:r>
                </w:p>
                <w:p w14:paraId="5748EEFF">
                  <w:pPr>
                    <w:pStyle w:val="30"/>
                    <w:rPr>
                      <w:color w:val="auto"/>
                    </w:rPr>
                  </w:pPr>
                  <w:r>
                    <w:rPr>
                      <w:rFonts w:hint="eastAsia"/>
                      <w:color w:val="auto"/>
                    </w:rPr>
                    <w:t>（3）控制行车速度、保持匀速行驶。</w:t>
                  </w:r>
                </w:p>
              </w:tc>
              <w:tc>
                <w:tcPr>
                  <w:tcW w:w="461" w:type="pct"/>
                  <w:tcBorders>
                    <w:tl2br w:val="nil"/>
                    <w:tr2bl w:val="nil"/>
                  </w:tcBorders>
                  <w:vAlign w:val="center"/>
                </w:tcPr>
                <w:p w14:paraId="24058474">
                  <w:pPr>
                    <w:pStyle w:val="30"/>
                    <w:rPr>
                      <w:color w:val="auto"/>
                    </w:rPr>
                  </w:pPr>
                  <w:r>
                    <w:rPr>
                      <w:rFonts w:hint="eastAsia"/>
                      <w:color w:val="auto"/>
                    </w:rPr>
                    <w:t>新建</w:t>
                  </w:r>
                </w:p>
              </w:tc>
            </w:tr>
            <w:tr w14:paraId="53C0CC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continue"/>
                  <w:tcBorders>
                    <w:tl2br w:val="nil"/>
                    <w:tr2bl w:val="nil"/>
                  </w:tcBorders>
                  <w:vAlign w:val="center"/>
                </w:tcPr>
                <w:p w14:paraId="480C099D">
                  <w:pPr>
                    <w:pStyle w:val="30"/>
                    <w:rPr>
                      <w:color w:val="auto"/>
                    </w:rPr>
                  </w:pPr>
                </w:p>
              </w:tc>
              <w:tc>
                <w:tcPr>
                  <w:tcW w:w="669" w:type="pct"/>
                  <w:tcBorders>
                    <w:tl2br w:val="nil"/>
                    <w:tr2bl w:val="nil"/>
                  </w:tcBorders>
                  <w:vAlign w:val="center"/>
                </w:tcPr>
                <w:p w14:paraId="10D9B684">
                  <w:pPr>
                    <w:pStyle w:val="30"/>
                    <w:rPr>
                      <w:color w:val="auto"/>
                    </w:rPr>
                  </w:pPr>
                  <w:r>
                    <w:rPr>
                      <w:color w:val="auto"/>
                    </w:rPr>
                    <w:t>废气处理</w:t>
                  </w:r>
                </w:p>
              </w:tc>
              <w:tc>
                <w:tcPr>
                  <w:tcW w:w="3454" w:type="pct"/>
                  <w:gridSpan w:val="2"/>
                  <w:tcBorders>
                    <w:tl2br w:val="nil"/>
                    <w:tr2bl w:val="nil"/>
                  </w:tcBorders>
                  <w:vAlign w:val="center"/>
                </w:tcPr>
                <w:p w14:paraId="0B3B8E58">
                  <w:pPr>
                    <w:pStyle w:val="30"/>
                    <w:rPr>
                      <w:color w:val="auto"/>
                    </w:rPr>
                  </w:pPr>
                  <w:r>
                    <w:rPr>
                      <w:rFonts w:hint="eastAsia"/>
                      <w:color w:val="auto"/>
                    </w:rPr>
                    <w:t>施工期：施工场地定期洒水降尘、限制车速，散装材料运输及堆存加盖苫布。</w:t>
                  </w:r>
                </w:p>
                <w:p w14:paraId="06D075C7">
                  <w:pPr>
                    <w:pStyle w:val="30"/>
                    <w:rPr>
                      <w:color w:val="auto"/>
                    </w:rPr>
                  </w:pPr>
                  <w:r>
                    <w:rPr>
                      <w:color w:val="auto"/>
                    </w:rPr>
                    <w:t>运营期：</w:t>
                  </w:r>
                  <w:r>
                    <w:rPr>
                      <w:rFonts w:hint="eastAsia"/>
                      <w:color w:val="auto"/>
                    </w:rPr>
                    <w:t>本项目仅是专用线的改线工程，不涉及工艺站场、阀室等附属设施的建设，运营期对内燃机车燃油尾气建立用车定期检测与强制维护制度、加强人员和车辆管理，路段采取加强铁路线沿线绿化等措施；</w:t>
                  </w:r>
                </w:p>
              </w:tc>
              <w:tc>
                <w:tcPr>
                  <w:tcW w:w="461" w:type="pct"/>
                  <w:tcBorders>
                    <w:tl2br w:val="nil"/>
                    <w:tr2bl w:val="nil"/>
                  </w:tcBorders>
                  <w:vAlign w:val="center"/>
                </w:tcPr>
                <w:p w14:paraId="0643026D">
                  <w:pPr>
                    <w:pStyle w:val="30"/>
                    <w:rPr>
                      <w:color w:val="auto"/>
                    </w:rPr>
                  </w:pPr>
                  <w:r>
                    <w:rPr>
                      <w:rFonts w:hint="eastAsia"/>
                      <w:color w:val="auto"/>
                    </w:rPr>
                    <w:t>新建</w:t>
                  </w:r>
                </w:p>
              </w:tc>
            </w:tr>
            <w:tr w14:paraId="7A7959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Merge w:val="continue"/>
                  <w:tcBorders>
                    <w:tl2br w:val="nil"/>
                    <w:tr2bl w:val="nil"/>
                  </w:tcBorders>
                  <w:vAlign w:val="center"/>
                </w:tcPr>
                <w:p w14:paraId="267B50E5">
                  <w:pPr>
                    <w:pStyle w:val="30"/>
                    <w:rPr>
                      <w:color w:val="auto"/>
                    </w:rPr>
                  </w:pPr>
                </w:p>
              </w:tc>
              <w:tc>
                <w:tcPr>
                  <w:tcW w:w="669" w:type="pct"/>
                  <w:tcBorders>
                    <w:tl2br w:val="nil"/>
                    <w:tr2bl w:val="nil"/>
                  </w:tcBorders>
                  <w:vAlign w:val="center"/>
                </w:tcPr>
                <w:p w14:paraId="63DB19AF">
                  <w:pPr>
                    <w:pStyle w:val="30"/>
                    <w:rPr>
                      <w:color w:val="auto"/>
                    </w:rPr>
                  </w:pPr>
                  <w:r>
                    <w:rPr>
                      <w:color w:val="auto"/>
                    </w:rPr>
                    <w:t>生态</w:t>
                  </w:r>
                </w:p>
              </w:tc>
              <w:tc>
                <w:tcPr>
                  <w:tcW w:w="3454" w:type="pct"/>
                  <w:gridSpan w:val="2"/>
                  <w:tcBorders>
                    <w:tl2br w:val="nil"/>
                    <w:tr2bl w:val="nil"/>
                  </w:tcBorders>
                  <w:vAlign w:val="center"/>
                </w:tcPr>
                <w:p w14:paraId="67754D20">
                  <w:pPr>
                    <w:pStyle w:val="30"/>
                    <w:rPr>
                      <w:color w:val="auto"/>
                    </w:rPr>
                  </w:pPr>
                  <w:r>
                    <w:rPr>
                      <w:rFonts w:hint="eastAsia"/>
                      <w:color w:val="auto"/>
                    </w:rPr>
                    <w:t>施工期对占地范围内的表土进行剥离，暂存于表土临时堆场，并采取相应防止水土流失措施，剥离表土土堆采用装土编织袋作临时挡墙，堆置在集中堆放的表层土边缘，防止散土随地表径流流失；堆体表面采取密目网苫盖措施；采用土质排水沟进行排水，避免降水对土堆产生侵蚀。施工结束后临时占地剥离表土层用于本临时占地恢复。</w:t>
                  </w:r>
                </w:p>
                <w:p w14:paraId="1A1CBCD0">
                  <w:pPr>
                    <w:pStyle w:val="30"/>
                    <w:rPr>
                      <w:color w:val="auto"/>
                    </w:rPr>
                  </w:pPr>
                  <w:r>
                    <w:rPr>
                      <w:color w:val="auto"/>
                    </w:rPr>
                    <w:t>运营期临时占地区应及时恢复植被，优先考虑使用本地物种，强化铁路沿线固体废弃物污染治理的监督工作；设计在路基两侧征地界内植树种草，采取乔、灌、草相结合，进行绿色通道建设，树木建议栽种当地主要树种比如杨树，灌木建议栽种丁香、榆叶梅等，草皮建议栽种小叶樟等；制定水土流失防治措施</w:t>
                  </w:r>
                </w:p>
              </w:tc>
              <w:tc>
                <w:tcPr>
                  <w:tcW w:w="461" w:type="pct"/>
                  <w:tcBorders>
                    <w:tl2br w:val="nil"/>
                    <w:tr2bl w:val="nil"/>
                  </w:tcBorders>
                  <w:vAlign w:val="center"/>
                </w:tcPr>
                <w:p w14:paraId="5B843886">
                  <w:pPr>
                    <w:pStyle w:val="30"/>
                    <w:rPr>
                      <w:color w:val="auto"/>
                    </w:rPr>
                  </w:pPr>
                  <w:r>
                    <w:rPr>
                      <w:rFonts w:hint="eastAsia"/>
                      <w:color w:val="auto"/>
                    </w:rPr>
                    <w:t>新建</w:t>
                  </w:r>
                </w:p>
              </w:tc>
            </w:tr>
            <w:tr w14:paraId="60C8C8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415" w:type="pct"/>
                  <w:vMerge w:val="continue"/>
                  <w:tcBorders>
                    <w:tl2br w:val="nil"/>
                    <w:tr2bl w:val="nil"/>
                  </w:tcBorders>
                  <w:vAlign w:val="center"/>
                </w:tcPr>
                <w:p w14:paraId="1C592E0C">
                  <w:pPr>
                    <w:pStyle w:val="30"/>
                    <w:rPr>
                      <w:color w:val="auto"/>
                    </w:rPr>
                  </w:pPr>
                </w:p>
              </w:tc>
              <w:tc>
                <w:tcPr>
                  <w:tcW w:w="669" w:type="pct"/>
                  <w:tcBorders>
                    <w:tl2br w:val="nil"/>
                    <w:tr2bl w:val="nil"/>
                  </w:tcBorders>
                  <w:vAlign w:val="center"/>
                </w:tcPr>
                <w:p w14:paraId="2448475F">
                  <w:pPr>
                    <w:pStyle w:val="30"/>
                    <w:rPr>
                      <w:color w:val="auto"/>
                    </w:rPr>
                  </w:pPr>
                  <w:r>
                    <w:rPr>
                      <w:rFonts w:hint="eastAsia"/>
                      <w:color w:val="auto"/>
                    </w:rPr>
                    <w:t>环境风险防范</w:t>
                  </w:r>
                </w:p>
              </w:tc>
              <w:tc>
                <w:tcPr>
                  <w:tcW w:w="3454" w:type="pct"/>
                  <w:gridSpan w:val="2"/>
                  <w:tcBorders>
                    <w:tl2br w:val="nil"/>
                    <w:tr2bl w:val="nil"/>
                  </w:tcBorders>
                  <w:vAlign w:val="center"/>
                </w:tcPr>
                <w:p w14:paraId="0CD79B60">
                  <w:pPr>
                    <w:pStyle w:val="30"/>
                    <w:bidi w:val="0"/>
                    <w:rPr>
                      <w:rFonts w:hint="default"/>
                      <w:color w:val="auto"/>
                      <w:lang w:val="en-US" w:eastAsia="zh-CN"/>
                    </w:rPr>
                  </w:pPr>
                  <w:r>
                    <w:rPr>
                      <w:rFonts w:hint="eastAsia"/>
                      <w:color w:val="auto"/>
                      <w:lang w:val="en-US" w:eastAsia="zh-CN"/>
                    </w:rPr>
                    <w:t>（1）定期检查与设备更新；</w:t>
                  </w:r>
                  <w:r>
                    <w:rPr>
                      <w:rFonts w:hint="default"/>
                      <w:color w:val="auto"/>
                      <w:lang w:val="en-US" w:eastAsia="zh-CN"/>
                    </w:rPr>
                    <w:t>（2）</w:t>
                  </w:r>
                  <w:r>
                    <w:rPr>
                      <w:rFonts w:hint="eastAsia"/>
                      <w:color w:val="auto"/>
                      <w:lang w:val="en-US" w:eastAsia="zh-CN"/>
                    </w:rPr>
                    <w:t>人员培训与操作规范；</w:t>
                  </w:r>
                  <w:r>
                    <w:rPr>
                      <w:rFonts w:hint="default"/>
                      <w:color w:val="auto"/>
                      <w:lang w:val="en-US" w:eastAsia="zh-CN"/>
                    </w:rPr>
                    <w:t>（3）</w:t>
                  </w:r>
                  <w:r>
                    <w:rPr>
                      <w:rFonts w:hint="eastAsia"/>
                      <w:color w:val="auto"/>
                      <w:lang w:val="en-US" w:eastAsia="zh-CN"/>
                    </w:rPr>
                    <w:t>应急响应与风险预警</w:t>
                  </w:r>
                </w:p>
              </w:tc>
              <w:tc>
                <w:tcPr>
                  <w:tcW w:w="461" w:type="pct"/>
                  <w:tcBorders>
                    <w:tl2br w:val="nil"/>
                    <w:tr2bl w:val="nil"/>
                  </w:tcBorders>
                  <w:vAlign w:val="center"/>
                </w:tcPr>
                <w:p w14:paraId="474C9A50">
                  <w:pPr>
                    <w:pStyle w:val="30"/>
                    <w:rPr>
                      <w:color w:val="auto"/>
                    </w:rPr>
                  </w:pPr>
                  <w:r>
                    <w:rPr>
                      <w:rFonts w:hint="eastAsia"/>
                      <w:color w:val="auto"/>
                    </w:rPr>
                    <w:t>新建</w:t>
                  </w:r>
                </w:p>
              </w:tc>
            </w:tr>
          </w:tbl>
          <w:p w14:paraId="11B638C2">
            <w:pPr>
              <w:pStyle w:val="58"/>
              <w:spacing w:line="360" w:lineRule="auto"/>
              <w:ind w:firstLine="0" w:firstLineChars="0"/>
              <w:rPr>
                <w:rFonts w:cs="Times New Roman"/>
                <w:b/>
                <w:bCs/>
                <w:szCs w:val="22"/>
              </w:rPr>
            </w:pPr>
          </w:p>
          <w:p w14:paraId="16AC1C3B">
            <w:pPr>
              <w:ind w:firstLine="482"/>
            </w:pPr>
            <w:r>
              <w:rPr>
                <w:rFonts w:hint="eastAsia"/>
                <w:b/>
                <w:bCs/>
              </w:rPr>
              <w:t>3.专用线近远期运量</w:t>
            </w:r>
          </w:p>
          <w:p w14:paraId="63C3CE49">
            <w:pPr>
              <w:ind w:firstLine="480"/>
            </w:pPr>
            <w:r>
              <w:rPr>
                <w:rFonts w:hint="eastAsia"/>
              </w:rPr>
              <w:t>货物：近期为50万吨，远期为80万吨，货物品名为石油、柴油。</w:t>
            </w:r>
          </w:p>
          <w:p w14:paraId="69CDB1F7">
            <w:pPr>
              <w:ind w:firstLine="482"/>
              <w:rPr>
                <w:b/>
                <w:bCs/>
              </w:rPr>
            </w:pPr>
            <w:r>
              <w:rPr>
                <w:rFonts w:hint="eastAsia"/>
                <w:b/>
                <w:bCs/>
              </w:rPr>
              <w:t>4</w:t>
            </w:r>
            <w:r>
              <w:rPr>
                <w:b/>
                <w:bCs/>
              </w:rPr>
              <w:t>.技术标准</w:t>
            </w:r>
          </w:p>
          <w:p w14:paraId="13313CB5">
            <w:pPr>
              <w:ind w:firstLine="480"/>
            </w:pPr>
            <w:r>
              <w:rPr>
                <w:rFonts w:hint="eastAsia"/>
              </w:rPr>
              <w:t>（1）</w:t>
            </w:r>
            <w:r>
              <w:t>本次变更主要工程数量表见表2-2。</w:t>
            </w:r>
          </w:p>
          <w:p w14:paraId="62F2956A">
            <w:pPr>
              <w:pStyle w:val="33"/>
            </w:pPr>
            <w:r>
              <w:t>表2-2</w:t>
            </w:r>
            <w:r>
              <w:rPr>
                <w:rFonts w:hint="eastAsia"/>
              </w:rPr>
              <w:t xml:space="preserve"> </w:t>
            </w:r>
            <w:r>
              <w:t>主要工程数量表</w:t>
            </w:r>
          </w:p>
          <w:tbl>
            <w:tblPr>
              <w:tblStyle w:val="2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66"/>
              <w:gridCol w:w="1214"/>
              <w:gridCol w:w="3864"/>
              <w:gridCol w:w="654"/>
              <w:gridCol w:w="817"/>
            </w:tblGrid>
            <w:tr w14:paraId="38ED30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0" w:hRule="exact"/>
                <w:jc w:val="center"/>
              </w:trPr>
              <w:tc>
                <w:tcPr>
                  <w:tcW w:w="461" w:type="pct"/>
                  <w:tcBorders>
                    <w:tl2br w:val="nil"/>
                    <w:tr2bl w:val="nil"/>
                  </w:tcBorders>
                  <w:noWrap/>
                  <w:vAlign w:val="center"/>
                </w:tcPr>
                <w:p w14:paraId="0F5ADD0D">
                  <w:pPr>
                    <w:pStyle w:val="30"/>
                  </w:pPr>
                  <w:r>
                    <w:rPr>
                      <w:rFonts w:hint="eastAsia"/>
                    </w:rPr>
                    <w:t>序号</w:t>
                  </w:r>
                </w:p>
              </w:tc>
              <w:tc>
                <w:tcPr>
                  <w:tcW w:w="841" w:type="pct"/>
                  <w:tcBorders>
                    <w:tl2br w:val="nil"/>
                    <w:tr2bl w:val="nil"/>
                  </w:tcBorders>
                  <w:noWrap/>
                  <w:vAlign w:val="center"/>
                </w:tcPr>
                <w:p w14:paraId="2BDEF186">
                  <w:pPr>
                    <w:pStyle w:val="30"/>
                  </w:pPr>
                  <w:r>
                    <w:rPr>
                      <w:rFonts w:hint="eastAsia"/>
                    </w:rPr>
                    <w:t>工程项目</w:t>
                  </w:r>
                </w:p>
              </w:tc>
              <w:tc>
                <w:tcPr>
                  <w:tcW w:w="2676" w:type="pct"/>
                  <w:tcBorders>
                    <w:tl2br w:val="nil"/>
                    <w:tr2bl w:val="nil"/>
                  </w:tcBorders>
                  <w:noWrap/>
                  <w:vAlign w:val="center"/>
                </w:tcPr>
                <w:p w14:paraId="22E46531">
                  <w:pPr>
                    <w:pStyle w:val="30"/>
                  </w:pPr>
                  <w:r>
                    <w:rPr>
                      <w:rFonts w:hint="eastAsia"/>
                    </w:rPr>
                    <w:t>部位提要及计算列式</w:t>
                  </w:r>
                </w:p>
              </w:tc>
              <w:tc>
                <w:tcPr>
                  <w:tcW w:w="453" w:type="pct"/>
                  <w:tcBorders>
                    <w:tl2br w:val="nil"/>
                    <w:tr2bl w:val="nil"/>
                  </w:tcBorders>
                  <w:noWrap/>
                  <w:vAlign w:val="center"/>
                </w:tcPr>
                <w:p w14:paraId="2F0AD587">
                  <w:pPr>
                    <w:pStyle w:val="30"/>
                  </w:pPr>
                  <w:r>
                    <w:rPr>
                      <w:rFonts w:hint="eastAsia"/>
                    </w:rPr>
                    <w:t>单位</w:t>
                  </w:r>
                </w:p>
              </w:tc>
              <w:tc>
                <w:tcPr>
                  <w:tcW w:w="566" w:type="pct"/>
                  <w:tcBorders>
                    <w:tl2br w:val="nil"/>
                    <w:tr2bl w:val="nil"/>
                  </w:tcBorders>
                  <w:noWrap/>
                  <w:vAlign w:val="center"/>
                </w:tcPr>
                <w:p w14:paraId="4DAE75E2">
                  <w:pPr>
                    <w:pStyle w:val="30"/>
                  </w:pPr>
                  <w:r>
                    <w:rPr>
                      <w:rFonts w:hint="eastAsia"/>
                    </w:rPr>
                    <w:t>数量</w:t>
                  </w:r>
                </w:p>
              </w:tc>
            </w:tr>
            <w:tr w14:paraId="32A096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70" w:hRule="exact"/>
                <w:jc w:val="center"/>
              </w:trPr>
              <w:tc>
                <w:tcPr>
                  <w:tcW w:w="461" w:type="pct"/>
                  <w:tcBorders>
                    <w:tl2br w:val="nil"/>
                    <w:tr2bl w:val="nil"/>
                  </w:tcBorders>
                  <w:noWrap/>
                  <w:vAlign w:val="center"/>
                </w:tcPr>
                <w:p w14:paraId="7E74F551">
                  <w:pPr>
                    <w:pStyle w:val="30"/>
                  </w:pPr>
                  <w:r>
                    <w:t>1</w:t>
                  </w:r>
                </w:p>
              </w:tc>
              <w:tc>
                <w:tcPr>
                  <w:tcW w:w="841" w:type="pct"/>
                  <w:tcBorders>
                    <w:tl2br w:val="nil"/>
                    <w:tr2bl w:val="nil"/>
                  </w:tcBorders>
                  <w:noWrap/>
                  <w:vAlign w:val="center"/>
                </w:tcPr>
                <w:p w14:paraId="67F41903">
                  <w:pPr>
                    <w:pStyle w:val="30"/>
                  </w:pPr>
                  <w:r>
                    <w:t>拆除线路</w:t>
                  </w:r>
                </w:p>
              </w:tc>
              <w:tc>
                <w:tcPr>
                  <w:tcW w:w="2676" w:type="pct"/>
                  <w:tcBorders>
                    <w:tl2br w:val="nil"/>
                    <w:tr2bl w:val="nil"/>
                  </w:tcBorders>
                  <w:noWrap/>
                  <w:vAlign w:val="center"/>
                </w:tcPr>
                <w:p w14:paraId="1A707A35">
                  <w:pPr>
                    <w:pStyle w:val="30"/>
                  </w:pPr>
                  <w:r>
                    <w:t>43kg/m-25m钢轨混凝土枕1600根/km扣板扣件</w:t>
                  </w:r>
                </w:p>
              </w:tc>
              <w:tc>
                <w:tcPr>
                  <w:tcW w:w="453" w:type="pct"/>
                  <w:tcBorders>
                    <w:tl2br w:val="nil"/>
                    <w:tr2bl w:val="nil"/>
                  </w:tcBorders>
                  <w:noWrap/>
                  <w:vAlign w:val="center"/>
                </w:tcPr>
                <w:p w14:paraId="680D0F3B">
                  <w:pPr>
                    <w:pStyle w:val="30"/>
                  </w:pPr>
                  <w:r>
                    <w:t>km</w:t>
                  </w:r>
                </w:p>
              </w:tc>
              <w:tc>
                <w:tcPr>
                  <w:tcW w:w="566" w:type="pct"/>
                  <w:tcBorders>
                    <w:tl2br w:val="nil"/>
                    <w:tr2bl w:val="nil"/>
                  </w:tcBorders>
                  <w:noWrap/>
                  <w:vAlign w:val="center"/>
                </w:tcPr>
                <w:p w14:paraId="580E2B51">
                  <w:pPr>
                    <w:pStyle w:val="30"/>
                  </w:pPr>
                  <w:r>
                    <w:t>1.025</w:t>
                  </w:r>
                </w:p>
              </w:tc>
            </w:tr>
            <w:tr w14:paraId="4752A9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61" w:type="pct"/>
                  <w:vMerge w:val="restart"/>
                  <w:tcBorders>
                    <w:tl2br w:val="nil"/>
                    <w:tr2bl w:val="nil"/>
                  </w:tcBorders>
                  <w:noWrap/>
                  <w:vAlign w:val="center"/>
                </w:tcPr>
                <w:p w14:paraId="55CB978E">
                  <w:pPr>
                    <w:pStyle w:val="30"/>
                  </w:pPr>
                  <w:r>
                    <w:t>2</w:t>
                  </w:r>
                </w:p>
              </w:tc>
              <w:tc>
                <w:tcPr>
                  <w:tcW w:w="841" w:type="pct"/>
                  <w:vMerge w:val="restart"/>
                  <w:tcBorders>
                    <w:tl2br w:val="nil"/>
                    <w:tr2bl w:val="nil"/>
                  </w:tcBorders>
                  <w:noWrap/>
                  <w:vAlign w:val="center"/>
                </w:tcPr>
                <w:p w14:paraId="7E821406">
                  <w:pPr>
                    <w:pStyle w:val="30"/>
                  </w:pPr>
                  <w:r>
                    <w:t>新铺线路</w:t>
                  </w:r>
                </w:p>
              </w:tc>
              <w:tc>
                <w:tcPr>
                  <w:tcW w:w="2676" w:type="pct"/>
                  <w:tcBorders>
                    <w:tl2br w:val="nil"/>
                    <w:tr2bl w:val="nil"/>
                  </w:tcBorders>
                  <w:vAlign w:val="center"/>
                </w:tcPr>
                <w:p w14:paraId="5F472A88">
                  <w:pPr>
                    <w:pStyle w:val="30"/>
                  </w:pPr>
                  <w:r>
                    <w:t>43kg/m-50kg/m异型轨12.5m新Ⅱ型混凝土枕1680根/km弹条Ⅰ型扣件</w:t>
                  </w:r>
                </w:p>
              </w:tc>
              <w:tc>
                <w:tcPr>
                  <w:tcW w:w="453" w:type="pct"/>
                  <w:tcBorders>
                    <w:tl2br w:val="nil"/>
                    <w:tr2bl w:val="nil"/>
                  </w:tcBorders>
                  <w:noWrap/>
                  <w:vAlign w:val="center"/>
                </w:tcPr>
                <w:p w14:paraId="48378317">
                  <w:pPr>
                    <w:pStyle w:val="30"/>
                  </w:pPr>
                  <w:r>
                    <w:t>对</w:t>
                  </w:r>
                </w:p>
              </w:tc>
              <w:tc>
                <w:tcPr>
                  <w:tcW w:w="566" w:type="pct"/>
                  <w:tcBorders>
                    <w:tl2br w:val="nil"/>
                    <w:tr2bl w:val="nil"/>
                  </w:tcBorders>
                  <w:noWrap/>
                  <w:vAlign w:val="center"/>
                </w:tcPr>
                <w:p w14:paraId="14ACE179">
                  <w:pPr>
                    <w:pStyle w:val="30"/>
                  </w:pPr>
                  <w:r>
                    <w:t>2</w:t>
                  </w:r>
                </w:p>
              </w:tc>
            </w:tr>
            <w:tr w14:paraId="42D2B5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0" w:hRule="exact"/>
                <w:jc w:val="center"/>
              </w:trPr>
              <w:tc>
                <w:tcPr>
                  <w:tcW w:w="461" w:type="pct"/>
                  <w:vMerge w:val="continue"/>
                  <w:tcBorders>
                    <w:tl2br w:val="nil"/>
                    <w:tr2bl w:val="nil"/>
                  </w:tcBorders>
                  <w:noWrap/>
                  <w:vAlign w:val="center"/>
                </w:tcPr>
                <w:p w14:paraId="494955A5">
                  <w:pPr>
                    <w:pStyle w:val="30"/>
                  </w:pPr>
                </w:p>
              </w:tc>
              <w:tc>
                <w:tcPr>
                  <w:tcW w:w="841" w:type="pct"/>
                  <w:vMerge w:val="continue"/>
                  <w:tcBorders>
                    <w:tl2br w:val="nil"/>
                    <w:tr2bl w:val="nil"/>
                  </w:tcBorders>
                  <w:noWrap/>
                  <w:vAlign w:val="center"/>
                </w:tcPr>
                <w:p w14:paraId="1D6786EA">
                  <w:pPr>
                    <w:pStyle w:val="30"/>
                  </w:pPr>
                </w:p>
              </w:tc>
              <w:tc>
                <w:tcPr>
                  <w:tcW w:w="2676" w:type="pct"/>
                  <w:tcBorders>
                    <w:tl2br w:val="nil"/>
                    <w:tr2bl w:val="nil"/>
                  </w:tcBorders>
                  <w:noWrap/>
                  <w:vAlign w:val="center"/>
                </w:tcPr>
                <w:p w14:paraId="27AF8F08">
                  <w:pPr>
                    <w:pStyle w:val="30"/>
                  </w:pPr>
                  <w:r>
                    <w:t>50kg/m-25m钢轨新Ⅱ型混凝土枕1680根/km弹条Ⅰ型扣件</w:t>
                  </w:r>
                </w:p>
              </w:tc>
              <w:tc>
                <w:tcPr>
                  <w:tcW w:w="453" w:type="pct"/>
                  <w:tcBorders>
                    <w:tl2br w:val="nil"/>
                    <w:tr2bl w:val="nil"/>
                  </w:tcBorders>
                  <w:noWrap/>
                  <w:vAlign w:val="center"/>
                </w:tcPr>
                <w:p w14:paraId="150EFF73">
                  <w:pPr>
                    <w:pStyle w:val="30"/>
                  </w:pPr>
                  <w:r>
                    <w:t>km</w:t>
                  </w:r>
                </w:p>
              </w:tc>
              <w:tc>
                <w:tcPr>
                  <w:tcW w:w="566" w:type="pct"/>
                  <w:tcBorders>
                    <w:tl2br w:val="nil"/>
                    <w:tr2bl w:val="nil"/>
                  </w:tcBorders>
                  <w:noWrap/>
                  <w:vAlign w:val="center"/>
                </w:tcPr>
                <w:p w14:paraId="7B6A9493">
                  <w:pPr>
                    <w:pStyle w:val="30"/>
                  </w:pPr>
                  <w:r>
                    <w:t>0.074</w:t>
                  </w:r>
                </w:p>
              </w:tc>
            </w:tr>
            <w:tr w14:paraId="33E5B9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14" w:hRule="exact"/>
                <w:jc w:val="center"/>
              </w:trPr>
              <w:tc>
                <w:tcPr>
                  <w:tcW w:w="461" w:type="pct"/>
                  <w:vMerge w:val="continue"/>
                  <w:tcBorders>
                    <w:tl2br w:val="nil"/>
                    <w:tr2bl w:val="nil"/>
                  </w:tcBorders>
                  <w:noWrap/>
                  <w:vAlign w:val="center"/>
                </w:tcPr>
                <w:p w14:paraId="28813199">
                  <w:pPr>
                    <w:pStyle w:val="30"/>
                  </w:pPr>
                </w:p>
              </w:tc>
              <w:tc>
                <w:tcPr>
                  <w:tcW w:w="841" w:type="pct"/>
                  <w:vMerge w:val="continue"/>
                  <w:tcBorders>
                    <w:tl2br w:val="nil"/>
                    <w:tr2bl w:val="nil"/>
                  </w:tcBorders>
                  <w:noWrap/>
                  <w:vAlign w:val="center"/>
                </w:tcPr>
                <w:p w14:paraId="7F587506">
                  <w:pPr>
                    <w:pStyle w:val="30"/>
                  </w:pPr>
                </w:p>
              </w:tc>
              <w:tc>
                <w:tcPr>
                  <w:tcW w:w="2676" w:type="pct"/>
                  <w:tcBorders>
                    <w:tl2br w:val="nil"/>
                    <w:tr2bl w:val="nil"/>
                  </w:tcBorders>
                  <w:noWrap/>
                  <w:vAlign w:val="center"/>
                </w:tcPr>
                <w:p w14:paraId="7F8E5B17">
                  <w:pPr>
                    <w:pStyle w:val="30"/>
                  </w:pPr>
                  <w:r>
                    <w:t>50kg/m-25m钢轨新Ⅱ型混凝土枕1600根/km弹条Ⅰ型扣件</w:t>
                  </w:r>
                </w:p>
              </w:tc>
              <w:tc>
                <w:tcPr>
                  <w:tcW w:w="453" w:type="pct"/>
                  <w:tcBorders>
                    <w:tl2br w:val="nil"/>
                    <w:tr2bl w:val="nil"/>
                  </w:tcBorders>
                  <w:noWrap/>
                  <w:vAlign w:val="center"/>
                </w:tcPr>
                <w:p w14:paraId="13498190">
                  <w:pPr>
                    <w:pStyle w:val="30"/>
                  </w:pPr>
                  <w:r>
                    <w:t>km</w:t>
                  </w:r>
                </w:p>
              </w:tc>
              <w:tc>
                <w:tcPr>
                  <w:tcW w:w="566" w:type="pct"/>
                  <w:tcBorders>
                    <w:tl2br w:val="nil"/>
                    <w:tr2bl w:val="nil"/>
                  </w:tcBorders>
                  <w:noWrap/>
                  <w:vAlign w:val="center"/>
                </w:tcPr>
                <w:p w14:paraId="05FC1CB3">
                  <w:pPr>
                    <w:pStyle w:val="30"/>
                  </w:pPr>
                  <w:r>
                    <w:t>0.659</w:t>
                  </w:r>
                </w:p>
              </w:tc>
            </w:tr>
            <w:tr w14:paraId="3B5C94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0" w:hRule="exact"/>
                <w:jc w:val="center"/>
              </w:trPr>
              <w:tc>
                <w:tcPr>
                  <w:tcW w:w="461" w:type="pct"/>
                  <w:vMerge w:val="continue"/>
                  <w:tcBorders>
                    <w:tl2br w:val="nil"/>
                    <w:tr2bl w:val="nil"/>
                  </w:tcBorders>
                  <w:noWrap/>
                  <w:vAlign w:val="center"/>
                </w:tcPr>
                <w:p w14:paraId="0EF7E549">
                  <w:pPr>
                    <w:pStyle w:val="30"/>
                  </w:pPr>
                </w:p>
              </w:tc>
              <w:tc>
                <w:tcPr>
                  <w:tcW w:w="841" w:type="pct"/>
                  <w:vMerge w:val="continue"/>
                  <w:tcBorders>
                    <w:tl2br w:val="nil"/>
                    <w:tr2bl w:val="nil"/>
                  </w:tcBorders>
                  <w:noWrap/>
                  <w:vAlign w:val="center"/>
                </w:tcPr>
                <w:p w14:paraId="5723EDA5">
                  <w:pPr>
                    <w:pStyle w:val="30"/>
                  </w:pPr>
                </w:p>
              </w:tc>
              <w:tc>
                <w:tcPr>
                  <w:tcW w:w="2676" w:type="pct"/>
                  <w:tcBorders>
                    <w:tl2br w:val="nil"/>
                    <w:tr2bl w:val="nil"/>
                  </w:tcBorders>
                  <w:noWrap/>
                  <w:vAlign w:val="center"/>
                </w:tcPr>
                <w:p w14:paraId="1860C1C3">
                  <w:pPr>
                    <w:pStyle w:val="30"/>
                  </w:pPr>
                  <w:r>
                    <w:t>50kg/m-25m钢轨小半径曲线专用枕1680根/km弹条Ⅰ型扣件</w:t>
                  </w:r>
                </w:p>
              </w:tc>
              <w:tc>
                <w:tcPr>
                  <w:tcW w:w="453" w:type="pct"/>
                  <w:tcBorders>
                    <w:tl2br w:val="nil"/>
                    <w:tr2bl w:val="nil"/>
                  </w:tcBorders>
                  <w:noWrap/>
                  <w:vAlign w:val="center"/>
                </w:tcPr>
                <w:p w14:paraId="52F6221E">
                  <w:pPr>
                    <w:pStyle w:val="30"/>
                  </w:pPr>
                  <w:r>
                    <w:t>km</w:t>
                  </w:r>
                </w:p>
              </w:tc>
              <w:tc>
                <w:tcPr>
                  <w:tcW w:w="566" w:type="pct"/>
                  <w:tcBorders>
                    <w:tl2br w:val="nil"/>
                    <w:tr2bl w:val="nil"/>
                  </w:tcBorders>
                  <w:noWrap/>
                  <w:vAlign w:val="center"/>
                </w:tcPr>
                <w:p w14:paraId="4787AF4A">
                  <w:pPr>
                    <w:pStyle w:val="30"/>
                  </w:pPr>
                  <w:r>
                    <w:t>0.192</w:t>
                  </w:r>
                </w:p>
              </w:tc>
            </w:tr>
            <w:tr w14:paraId="3EE917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5" w:hRule="exact"/>
                <w:jc w:val="center"/>
              </w:trPr>
              <w:tc>
                <w:tcPr>
                  <w:tcW w:w="461" w:type="pct"/>
                  <w:tcBorders>
                    <w:tl2br w:val="nil"/>
                    <w:tr2bl w:val="nil"/>
                  </w:tcBorders>
                  <w:noWrap/>
                  <w:vAlign w:val="center"/>
                </w:tcPr>
                <w:p w14:paraId="69B1654C">
                  <w:pPr>
                    <w:pStyle w:val="30"/>
                  </w:pPr>
                  <w:r>
                    <w:t>3</w:t>
                  </w:r>
                </w:p>
              </w:tc>
              <w:tc>
                <w:tcPr>
                  <w:tcW w:w="841" w:type="pct"/>
                  <w:tcBorders>
                    <w:tl2br w:val="nil"/>
                    <w:tr2bl w:val="nil"/>
                  </w:tcBorders>
                  <w:noWrap/>
                  <w:vAlign w:val="center"/>
                </w:tcPr>
                <w:p w14:paraId="5587F7F7">
                  <w:pPr>
                    <w:pStyle w:val="30"/>
                  </w:pPr>
                  <w:r>
                    <w:t>新铺道岔</w:t>
                  </w:r>
                </w:p>
              </w:tc>
              <w:tc>
                <w:tcPr>
                  <w:tcW w:w="2676" w:type="pct"/>
                  <w:tcBorders>
                    <w:tl2br w:val="nil"/>
                    <w:tr2bl w:val="nil"/>
                  </w:tcBorders>
                  <w:noWrap/>
                  <w:vAlign w:val="center"/>
                </w:tcPr>
                <w:p w14:paraId="5C409306">
                  <w:pPr>
                    <w:pStyle w:val="30"/>
                  </w:pPr>
                  <w:r>
                    <w:t>手扳道岔50kg/m混凝土岔枕单开道岔CZ2209</w:t>
                  </w:r>
                </w:p>
              </w:tc>
              <w:tc>
                <w:tcPr>
                  <w:tcW w:w="453" w:type="pct"/>
                  <w:tcBorders>
                    <w:tl2br w:val="nil"/>
                    <w:tr2bl w:val="nil"/>
                  </w:tcBorders>
                  <w:noWrap/>
                  <w:vAlign w:val="center"/>
                </w:tcPr>
                <w:p w14:paraId="34553448">
                  <w:pPr>
                    <w:pStyle w:val="30"/>
                  </w:pPr>
                  <w:r>
                    <w:t>组</w:t>
                  </w:r>
                </w:p>
              </w:tc>
              <w:tc>
                <w:tcPr>
                  <w:tcW w:w="566" w:type="pct"/>
                  <w:tcBorders>
                    <w:tl2br w:val="nil"/>
                    <w:tr2bl w:val="nil"/>
                  </w:tcBorders>
                  <w:noWrap/>
                  <w:vAlign w:val="center"/>
                </w:tcPr>
                <w:p w14:paraId="43C38599">
                  <w:pPr>
                    <w:pStyle w:val="30"/>
                  </w:pPr>
                  <w:r>
                    <w:t>2</w:t>
                  </w:r>
                </w:p>
              </w:tc>
            </w:tr>
            <w:tr w14:paraId="347C68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tcBorders>
                    <w:tl2br w:val="nil"/>
                    <w:tr2bl w:val="nil"/>
                  </w:tcBorders>
                  <w:noWrap/>
                  <w:vAlign w:val="center"/>
                </w:tcPr>
                <w:p w14:paraId="0F355A97">
                  <w:pPr>
                    <w:pStyle w:val="30"/>
                  </w:pPr>
                  <w:r>
                    <w:t>4</w:t>
                  </w:r>
                </w:p>
              </w:tc>
              <w:tc>
                <w:tcPr>
                  <w:tcW w:w="841" w:type="pct"/>
                  <w:tcBorders>
                    <w:tl2br w:val="nil"/>
                    <w:tr2bl w:val="nil"/>
                  </w:tcBorders>
                  <w:noWrap/>
                  <w:vAlign w:val="center"/>
                </w:tcPr>
                <w:p w14:paraId="0CE11518">
                  <w:pPr>
                    <w:pStyle w:val="30"/>
                  </w:pPr>
                  <w:r>
                    <w:t>轨距杆</w:t>
                  </w:r>
                </w:p>
              </w:tc>
              <w:tc>
                <w:tcPr>
                  <w:tcW w:w="2676" w:type="pct"/>
                  <w:tcBorders>
                    <w:tl2br w:val="nil"/>
                    <w:tr2bl w:val="nil"/>
                  </w:tcBorders>
                  <w:noWrap/>
                  <w:vAlign w:val="center"/>
                </w:tcPr>
                <w:p w14:paraId="31F30313">
                  <w:pPr>
                    <w:pStyle w:val="30"/>
                  </w:pPr>
                  <w:r>
                    <w:t>新设轨距杆</w:t>
                  </w:r>
                </w:p>
              </w:tc>
              <w:tc>
                <w:tcPr>
                  <w:tcW w:w="453" w:type="pct"/>
                  <w:tcBorders>
                    <w:tl2br w:val="nil"/>
                    <w:tr2bl w:val="nil"/>
                  </w:tcBorders>
                  <w:noWrap/>
                  <w:vAlign w:val="center"/>
                </w:tcPr>
                <w:p w14:paraId="52C9C312">
                  <w:pPr>
                    <w:pStyle w:val="30"/>
                  </w:pPr>
                  <w:r>
                    <w:t>根</w:t>
                  </w:r>
                </w:p>
              </w:tc>
              <w:tc>
                <w:tcPr>
                  <w:tcW w:w="566" w:type="pct"/>
                  <w:tcBorders>
                    <w:tl2br w:val="nil"/>
                    <w:tr2bl w:val="nil"/>
                  </w:tcBorders>
                  <w:noWrap/>
                  <w:vAlign w:val="center"/>
                </w:tcPr>
                <w:p w14:paraId="214D7B35">
                  <w:pPr>
                    <w:pStyle w:val="30"/>
                  </w:pPr>
                  <w:r>
                    <w:t>77</w:t>
                  </w:r>
                </w:p>
              </w:tc>
            </w:tr>
            <w:tr w14:paraId="6FF839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vMerge w:val="restart"/>
                  <w:tcBorders>
                    <w:tl2br w:val="nil"/>
                    <w:tr2bl w:val="nil"/>
                  </w:tcBorders>
                  <w:noWrap/>
                  <w:vAlign w:val="center"/>
                </w:tcPr>
                <w:p w14:paraId="23CCBA44">
                  <w:pPr>
                    <w:pStyle w:val="30"/>
                  </w:pPr>
                  <w:r>
                    <w:t>5</w:t>
                  </w:r>
                </w:p>
              </w:tc>
              <w:tc>
                <w:tcPr>
                  <w:tcW w:w="841" w:type="pct"/>
                  <w:vMerge w:val="restart"/>
                  <w:tcBorders>
                    <w:tl2br w:val="nil"/>
                    <w:tr2bl w:val="nil"/>
                  </w:tcBorders>
                  <w:noWrap/>
                  <w:vAlign w:val="center"/>
                </w:tcPr>
                <w:p w14:paraId="001294FB">
                  <w:pPr>
                    <w:pStyle w:val="30"/>
                  </w:pPr>
                  <w:r>
                    <w:t>道床</w:t>
                  </w:r>
                </w:p>
              </w:tc>
              <w:tc>
                <w:tcPr>
                  <w:tcW w:w="2676" w:type="pct"/>
                  <w:tcBorders>
                    <w:tl2br w:val="nil"/>
                    <w:tr2bl w:val="nil"/>
                  </w:tcBorders>
                  <w:noWrap/>
                  <w:vAlign w:val="center"/>
                </w:tcPr>
                <w:p w14:paraId="63E9FF3A">
                  <w:pPr>
                    <w:pStyle w:val="30"/>
                  </w:pPr>
                  <w:r>
                    <w:t>挖除混砂道床</w:t>
                  </w:r>
                </w:p>
              </w:tc>
              <w:tc>
                <w:tcPr>
                  <w:tcW w:w="453" w:type="pct"/>
                  <w:tcBorders>
                    <w:tl2br w:val="nil"/>
                    <w:tr2bl w:val="nil"/>
                  </w:tcBorders>
                  <w:noWrap/>
                  <w:vAlign w:val="center"/>
                </w:tcPr>
                <w:p w14:paraId="22F14E0F">
                  <w:pPr>
                    <w:pStyle w:val="30"/>
                  </w:pPr>
                  <w:r>
                    <w:t>m</w:t>
                  </w:r>
                  <w:r>
                    <w:rPr>
                      <w:vertAlign w:val="superscript"/>
                    </w:rPr>
                    <w:t>3</w:t>
                  </w:r>
                </w:p>
              </w:tc>
              <w:tc>
                <w:tcPr>
                  <w:tcW w:w="566" w:type="pct"/>
                  <w:tcBorders>
                    <w:tl2br w:val="nil"/>
                    <w:tr2bl w:val="nil"/>
                  </w:tcBorders>
                  <w:noWrap/>
                  <w:vAlign w:val="center"/>
                </w:tcPr>
                <w:p w14:paraId="1E4C4B7A">
                  <w:pPr>
                    <w:pStyle w:val="30"/>
                  </w:pPr>
                  <w:r>
                    <w:t>131</w:t>
                  </w:r>
                </w:p>
              </w:tc>
            </w:tr>
            <w:tr w14:paraId="4AE91A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vMerge w:val="continue"/>
                  <w:tcBorders>
                    <w:tl2br w:val="nil"/>
                    <w:tr2bl w:val="nil"/>
                  </w:tcBorders>
                  <w:noWrap/>
                  <w:vAlign w:val="center"/>
                </w:tcPr>
                <w:p w14:paraId="20BDD83E">
                  <w:pPr>
                    <w:pStyle w:val="30"/>
                  </w:pPr>
                </w:p>
              </w:tc>
              <w:tc>
                <w:tcPr>
                  <w:tcW w:w="841" w:type="pct"/>
                  <w:vMerge w:val="continue"/>
                  <w:tcBorders>
                    <w:tl2br w:val="nil"/>
                    <w:tr2bl w:val="nil"/>
                  </w:tcBorders>
                  <w:noWrap/>
                  <w:vAlign w:val="center"/>
                </w:tcPr>
                <w:p w14:paraId="2E1D7733">
                  <w:pPr>
                    <w:pStyle w:val="30"/>
                  </w:pPr>
                </w:p>
              </w:tc>
              <w:tc>
                <w:tcPr>
                  <w:tcW w:w="2676" w:type="pct"/>
                  <w:tcBorders>
                    <w:tl2br w:val="nil"/>
                    <w:tr2bl w:val="nil"/>
                  </w:tcBorders>
                  <w:noWrap/>
                  <w:vAlign w:val="center"/>
                </w:tcPr>
                <w:p w14:paraId="3B72AD9A">
                  <w:pPr>
                    <w:pStyle w:val="30"/>
                  </w:pPr>
                  <w:r>
                    <w:t>新铺碎石道砟</w:t>
                  </w:r>
                </w:p>
              </w:tc>
              <w:tc>
                <w:tcPr>
                  <w:tcW w:w="453" w:type="pct"/>
                  <w:tcBorders>
                    <w:tl2br w:val="nil"/>
                    <w:tr2bl w:val="nil"/>
                  </w:tcBorders>
                  <w:noWrap/>
                  <w:vAlign w:val="center"/>
                </w:tcPr>
                <w:p w14:paraId="397AD120">
                  <w:pPr>
                    <w:pStyle w:val="30"/>
                  </w:pPr>
                  <w:r>
                    <w:t>m</w:t>
                  </w:r>
                  <w:r>
                    <w:rPr>
                      <w:vertAlign w:val="superscript"/>
                    </w:rPr>
                    <w:t>3</w:t>
                  </w:r>
                </w:p>
              </w:tc>
              <w:tc>
                <w:tcPr>
                  <w:tcW w:w="566" w:type="pct"/>
                  <w:tcBorders>
                    <w:tl2br w:val="nil"/>
                    <w:tr2bl w:val="nil"/>
                  </w:tcBorders>
                  <w:noWrap/>
                  <w:vAlign w:val="center"/>
                </w:tcPr>
                <w:p w14:paraId="37B58CD8">
                  <w:pPr>
                    <w:pStyle w:val="30"/>
                  </w:pPr>
                  <w:r>
                    <w:t>1878</w:t>
                  </w:r>
                </w:p>
              </w:tc>
            </w:tr>
            <w:tr w14:paraId="443C91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3" w:hRule="exact"/>
                <w:jc w:val="center"/>
              </w:trPr>
              <w:tc>
                <w:tcPr>
                  <w:tcW w:w="461" w:type="pct"/>
                  <w:tcBorders>
                    <w:tl2br w:val="nil"/>
                    <w:tr2bl w:val="nil"/>
                  </w:tcBorders>
                  <w:noWrap/>
                  <w:vAlign w:val="center"/>
                </w:tcPr>
                <w:p w14:paraId="6BAE6181">
                  <w:pPr>
                    <w:pStyle w:val="30"/>
                  </w:pPr>
                  <w:r>
                    <w:t>6</w:t>
                  </w:r>
                </w:p>
              </w:tc>
              <w:tc>
                <w:tcPr>
                  <w:tcW w:w="841" w:type="pct"/>
                  <w:tcBorders>
                    <w:tl2br w:val="nil"/>
                    <w:tr2bl w:val="nil"/>
                  </w:tcBorders>
                  <w:noWrap/>
                  <w:vAlign w:val="center"/>
                </w:tcPr>
                <w:p w14:paraId="1BDF90B8">
                  <w:pPr>
                    <w:pStyle w:val="30"/>
                  </w:pPr>
                  <w:r>
                    <w:t>沉落整修</w:t>
                  </w:r>
                </w:p>
              </w:tc>
              <w:tc>
                <w:tcPr>
                  <w:tcW w:w="2676" w:type="pct"/>
                  <w:tcBorders>
                    <w:tl2br w:val="nil"/>
                    <w:tr2bl w:val="nil"/>
                  </w:tcBorders>
                  <w:noWrap/>
                  <w:vAlign w:val="center"/>
                </w:tcPr>
                <w:p w14:paraId="6ABFAA40">
                  <w:pPr>
                    <w:pStyle w:val="30"/>
                  </w:pPr>
                  <w:r>
                    <w:rPr>
                      <w:rFonts w:hint="eastAsia"/>
                    </w:rPr>
                    <w:t>站线</w:t>
                  </w:r>
                </w:p>
              </w:tc>
              <w:tc>
                <w:tcPr>
                  <w:tcW w:w="453" w:type="pct"/>
                  <w:tcBorders>
                    <w:tl2br w:val="nil"/>
                    <w:tr2bl w:val="nil"/>
                  </w:tcBorders>
                  <w:noWrap/>
                  <w:vAlign w:val="center"/>
                </w:tcPr>
                <w:p w14:paraId="55F3370F">
                  <w:pPr>
                    <w:pStyle w:val="30"/>
                  </w:pPr>
                  <w:r>
                    <w:t>km</w:t>
                  </w:r>
                </w:p>
              </w:tc>
              <w:tc>
                <w:tcPr>
                  <w:tcW w:w="566" w:type="pct"/>
                  <w:tcBorders>
                    <w:tl2br w:val="nil"/>
                    <w:tr2bl w:val="nil"/>
                  </w:tcBorders>
                  <w:noWrap/>
                  <w:vAlign w:val="center"/>
                </w:tcPr>
                <w:p w14:paraId="6E94242C">
                  <w:pPr>
                    <w:pStyle w:val="30"/>
                  </w:pPr>
                  <w:r>
                    <w:t>1.23</w:t>
                  </w:r>
                </w:p>
              </w:tc>
            </w:tr>
            <w:tr w14:paraId="572066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tcBorders>
                    <w:tl2br w:val="nil"/>
                    <w:tr2bl w:val="nil"/>
                  </w:tcBorders>
                  <w:noWrap/>
                  <w:vAlign w:val="center"/>
                </w:tcPr>
                <w:p w14:paraId="6298CDF2">
                  <w:pPr>
                    <w:pStyle w:val="30"/>
                  </w:pPr>
                  <w:r>
                    <w:t>7</w:t>
                  </w:r>
                </w:p>
              </w:tc>
              <w:tc>
                <w:tcPr>
                  <w:tcW w:w="841" w:type="pct"/>
                  <w:tcBorders>
                    <w:tl2br w:val="nil"/>
                    <w:tr2bl w:val="nil"/>
                  </w:tcBorders>
                  <w:noWrap/>
                  <w:vAlign w:val="center"/>
                </w:tcPr>
                <w:p w14:paraId="1B219BC7">
                  <w:pPr>
                    <w:pStyle w:val="30"/>
                  </w:pPr>
                  <w:r>
                    <w:t>机车轧道</w:t>
                  </w:r>
                </w:p>
              </w:tc>
              <w:tc>
                <w:tcPr>
                  <w:tcW w:w="2676" w:type="pct"/>
                  <w:tcBorders>
                    <w:tl2br w:val="nil"/>
                    <w:tr2bl w:val="nil"/>
                  </w:tcBorders>
                  <w:noWrap/>
                  <w:vAlign w:val="center"/>
                </w:tcPr>
                <w:p w14:paraId="7361D31E">
                  <w:pPr>
                    <w:pStyle w:val="30"/>
                  </w:pPr>
                  <w:r>
                    <w:t>站线</w:t>
                  </w:r>
                </w:p>
              </w:tc>
              <w:tc>
                <w:tcPr>
                  <w:tcW w:w="453" w:type="pct"/>
                  <w:tcBorders>
                    <w:tl2br w:val="nil"/>
                    <w:tr2bl w:val="nil"/>
                  </w:tcBorders>
                  <w:noWrap/>
                  <w:vAlign w:val="center"/>
                </w:tcPr>
                <w:p w14:paraId="0AED1E16">
                  <w:pPr>
                    <w:pStyle w:val="30"/>
                  </w:pPr>
                  <w:r>
                    <w:t>km</w:t>
                  </w:r>
                </w:p>
              </w:tc>
              <w:tc>
                <w:tcPr>
                  <w:tcW w:w="566" w:type="pct"/>
                  <w:tcBorders>
                    <w:tl2br w:val="nil"/>
                    <w:tr2bl w:val="nil"/>
                  </w:tcBorders>
                  <w:noWrap/>
                  <w:vAlign w:val="center"/>
                </w:tcPr>
                <w:p w14:paraId="45A7F2F4">
                  <w:pPr>
                    <w:pStyle w:val="30"/>
                  </w:pPr>
                  <w:r>
                    <w:t>1.039</w:t>
                  </w:r>
                </w:p>
              </w:tc>
            </w:tr>
            <w:tr w14:paraId="09D208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vMerge w:val="restart"/>
                  <w:tcBorders>
                    <w:tl2br w:val="nil"/>
                    <w:tr2bl w:val="nil"/>
                  </w:tcBorders>
                  <w:noWrap/>
                  <w:vAlign w:val="center"/>
                </w:tcPr>
                <w:p w14:paraId="111BC46A">
                  <w:pPr>
                    <w:pStyle w:val="30"/>
                  </w:pPr>
                  <w:r>
                    <w:t>8</w:t>
                  </w:r>
                </w:p>
              </w:tc>
              <w:tc>
                <w:tcPr>
                  <w:tcW w:w="841" w:type="pct"/>
                  <w:vMerge w:val="restart"/>
                  <w:tcBorders>
                    <w:tl2br w:val="nil"/>
                    <w:tr2bl w:val="nil"/>
                  </w:tcBorders>
                  <w:noWrap/>
                  <w:vAlign w:val="center"/>
                </w:tcPr>
                <w:p w14:paraId="714ADB70">
                  <w:pPr>
                    <w:pStyle w:val="30"/>
                  </w:pPr>
                  <w:r>
                    <w:t>车挡</w:t>
                  </w:r>
                </w:p>
              </w:tc>
              <w:tc>
                <w:tcPr>
                  <w:tcW w:w="2676" w:type="pct"/>
                  <w:tcBorders>
                    <w:tl2br w:val="nil"/>
                    <w:tr2bl w:val="nil"/>
                  </w:tcBorders>
                  <w:noWrap/>
                  <w:vAlign w:val="center"/>
                </w:tcPr>
                <w:p w14:paraId="5FD15C16">
                  <w:pPr>
                    <w:pStyle w:val="30"/>
                  </w:pPr>
                  <w:r>
                    <w:t>拆除车挡及挡车器</w:t>
                  </w:r>
                </w:p>
              </w:tc>
              <w:tc>
                <w:tcPr>
                  <w:tcW w:w="453" w:type="pct"/>
                  <w:tcBorders>
                    <w:tl2br w:val="nil"/>
                    <w:tr2bl w:val="nil"/>
                  </w:tcBorders>
                  <w:noWrap/>
                  <w:vAlign w:val="center"/>
                </w:tcPr>
                <w:p w14:paraId="7DC69054">
                  <w:pPr>
                    <w:pStyle w:val="30"/>
                  </w:pPr>
                  <w:r>
                    <w:t>处</w:t>
                  </w:r>
                </w:p>
              </w:tc>
              <w:tc>
                <w:tcPr>
                  <w:tcW w:w="566" w:type="pct"/>
                  <w:tcBorders>
                    <w:tl2br w:val="nil"/>
                    <w:tr2bl w:val="nil"/>
                  </w:tcBorders>
                  <w:noWrap/>
                  <w:vAlign w:val="center"/>
                </w:tcPr>
                <w:p w14:paraId="459BECA3">
                  <w:pPr>
                    <w:pStyle w:val="30"/>
                  </w:pPr>
                  <w:r>
                    <w:t>2</w:t>
                  </w:r>
                </w:p>
              </w:tc>
            </w:tr>
            <w:tr w14:paraId="1FECBF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0" w:hRule="exact"/>
                <w:jc w:val="center"/>
              </w:trPr>
              <w:tc>
                <w:tcPr>
                  <w:tcW w:w="461" w:type="pct"/>
                  <w:vMerge w:val="continue"/>
                  <w:tcBorders>
                    <w:tl2br w:val="nil"/>
                    <w:tr2bl w:val="nil"/>
                  </w:tcBorders>
                  <w:noWrap/>
                  <w:vAlign w:val="center"/>
                </w:tcPr>
                <w:p w14:paraId="599AF872">
                  <w:pPr>
                    <w:pStyle w:val="30"/>
                  </w:pPr>
                </w:p>
              </w:tc>
              <w:tc>
                <w:tcPr>
                  <w:tcW w:w="841" w:type="pct"/>
                  <w:vMerge w:val="continue"/>
                  <w:tcBorders>
                    <w:tl2br w:val="nil"/>
                    <w:tr2bl w:val="nil"/>
                  </w:tcBorders>
                  <w:noWrap/>
                  <w:vAlign w:val="center"/>
                </w:tcPr>
                <w:p w14:paraId="293A10FF">
                  <w:pPr>
                    <w:pStyle w:val="30"/>
                  </w:pPr>
                </w:p>
              </w:tc>
              <w:tc>
                <w:tcPr>
                  <w:tcW w:w="2676" w:type="pct"/>
                  <w:tcBorders>
                    <w:tl2br w:val="nil"/>
                    <w:tr2bl w:val="nil"/>
                  </w:tcBorders>
                  <w:noWrap/>
                  <w:vAlign w:val="center"/>
                </w:tcPr>
                <w:p w14:paraId="33AAC979">
                  <w:pPr>
                    <w:pStyle w:val="30"/>
                  </w:pPr>
                  <w:r>
                    <w:t>新设固定式车挡+滑动挡车器+太阳能表示器</w:t>
                  </w:r>
                </w:p>
              </w:tc>
              <w:tc>
                <w:tcPr>
                  <w:tcW w:w="453" w:type="pct"/>
                  <w:tcBorders>
                    <w:tl2br w:val="nil"/>
                    <w:tr2bl w:val="nil"/>
                  </w:tcBorders>
                  <w:noWrap/>
                  <w:vAlign w:val="center"/>
                </w:tcPr>
                <w:p w14:paraId="3A0001B2">
                  <w:pPr>
                    <w:pStyle w:val="30"/>
                  </w:pPr>
                  <w:r>
                    <w:t>处</w:t>
                  </w:r>
                </w:p>
              </w:tc>
              <w:tc>
                <w:tcPr>
                  <w:tcW w:w="566" w:type="pct"/>
                  <w:tcBorders>
                    <w:tl2br w:val="nil"/>
                    <w:tr2bl w:val="nil"/>
                  </w:tcBorders>
                  <w:noWrap/>
                  <w:vAlign w:val="center"/>
                </w:tcPr>
                <w:p w14:paraId="2D4DE23B">
                  <w:pPr>
                    <w:pStyle w:val="30"/>
                  </w:pPr>
                  <w:r>
                    <w:t>2</w:t>
                  </w:r>
                </w:p>
              </w:tc>
            </w:tr>
            <w:tr w14:paraId="07FE2A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vMerge w:val="restart"/>
                  <w:tcBorders>
                    <w:tl2br w:val="nil"/>
                    <w:tr2bl w:val="nil"/>
                  </w:tcBorders>
                  <w:noWrap/>
                  <w:vAlign w:val="center"/>
                </w:tcPr>
                <w:p w14:paraId="58846204">
                  <w:pPr>
                    <w:pStyle w:val="30"/>
                  </w:pPr>
                  <w:r>
                    <w:t>9</w:t>
                  </w:r>
                </w:p>
              </w:tc>
              <w:tc>
                <w:tcPr>
                  <w:tcW w:w="841" w:type="pct"/>
                  <w:vMerge w:val="restart"/>
                  <w:tcBorders>
                    <w:tl2br w:val="nil"/>
                    <w:tr2bl w:val="nil"/>
                  </w:tcBorders>
                  <w:noWrap/>
                  <w:vAlign w:val="center"/>
                </w:tcPr>
                <w:p w14:paraId="69B121AC">
                  <w:pPr>
                    <w:pStyle w:val="30"/>
                  </w:pPr>
                  <w:r>
                    <w:t>土石方</w:t>
                  </w:r>
                </w:p>
              </w:tc>
              <w:tc>
                <w:tcPr>
                  <w:tcW w:w="2676" w:type="pct"/>
                  <w:tcBorders>
                    <w:tl2br w:val="nil"/>
                    <w:tr2bl w:val="nil"/>
                  </w:tcBorders>
                  <w:noWrap/>
                  <w:vAlign w:val="center"/>
                </w:tcPr>
                <w:p w14:paraId="4B65A4BE">
                  <w:pPr>
                    <w:pStyle w:val="30"/>
                  </w:pPr>
                  <w:r>
                    <w:t>填方</w:t>
                  </w:r>
                </w:p>
              </w:tc>
              <w:tc>
                <w:tcPr>
                  <w:tcW w:w="453" w:type="pct"/>
                  <w:tcBorders>
                    <w:tl2br w:val="nil"/>
                    <w:tr2bl w:val="nil"/>
                  </w:tcBorders>
                  <w:noWrap/>
                  <w:vAlign w:val="center"/>
                </w:tcPr>
                <w:p w14:paraId="156DDE06">
                  <w:pPr>
                    <w:pStyle w:val="30"/>
                  </w:pPr>
                  <w:r>
                    <w:t>m</w:t>
                  </w:r>
                  <w:r>
                    <w:rPr>
                      <w:vertAlign w:val="superscript"/>
                    </w:rPr>
                    <w:t>3</w:t>
                  </w:r>
                </w:p>
              </w:tc>
              <w:tc>
                <w:tcPr>
                  <w:tcW w:w="566" w:type="pct"/>
                  <w:tcBorders>
                    <w:tl2br w:val="nil"/>
                    <w:tr2bl w:val="nil"/>
                  </w:tcBorders>
                  <w:noWrap/>
                  <w:vAlign w:val="center"/>
                </w:tcPr>
                <w:p w14:paraId="32EB4D38">
                  <w:pPr>
                    <w:pStyle w:val="30"/>
                  </w:pPr>
                  <w:r>
                    <w:rPr>
                      <w:rFonts w:hint="eastAsia"/>
                    </w:rPr>
                    <w:t>8440</w:t>
                  </w:r>
                </w:p>
              </w:tc>
            </w:tr>
            <w:tr w14:paraId="6DF681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vMerge w:val="continue"/>
                  <w:tcBorders>
                    <w:tl2br w:val="nil"/>
                    <w:tr2bl w:val="nil"/>
                  </w:tcBorders>
                  <w:noWrap/>
                  <w:vAlign w:val="center"/>
                </w:tcPr>
                <w:p w14:paraId="3CA96DFE">
                  <w:pPr>
                    <w:pStyle w:val="30"/>
                  </w:pPr>
                </w:p>
              </w:tc>
              <w:tc>
                <w:tcPr>
                  <w:tcW w:w="841" w:type="pct"/>
                  <w:vMerge w:val="continue"/>
                  <w:tcBorders>
                    <w:tl2br w:val="nil"/>
                    <w:tr2bl w:val="nil"/>
                  </w:tcBorders>
                  <w:noWrap/>
                  <w:vAlign w:val="center"/>
                </w:tcPr>
                <w:p w14:paraId="4AED6E95">
                  <w:pPr>
                    <w:pStyle w:val="30"/>
                  </w:pPr>
                </w:p>
              </w:tc>
              <w:tc>
                <w:tcPr>
                  <w:tcW w:w="2676" w:type="pct"/>
                  <w:tcBorders>
                    <w:tl2br w:val="nil"/>
                    <w:tr2bl w:val="nil"/>
                  </w:tcBorders>
                  <w:noWrap/>
                  <w:vAlign w:val="center"/>
                </w:tcPr>
                <w:p w14:paraId="11B824A5">
                  <w:pPr>
                    <w:pStyle w:val="30"/>
                  </w:pPr>
                  <w:r>
                    <w:t>挖方</w:t>
                  </w:r>
                </w:p>
              </w:tc>
              <w:tc>
                <w:tcPr>
                  <w:tcW w:w="453" w:type="pct"/>
                  <w:tcBorders>
                    <w:tl2br w:val="nil"/>
                    <w:tr2bl w:val="nil"/>
                  </w:tcBorders>
                  <w:noWrap/>
                  <w:vAlign w:val="center"/>
                </w:tcPr>
                <w:p w14:paraId="6062919A">
                  <w:pPr>
                    <w:pStyle w:val="30"/>
                  </w:pPr>
                  <w:r>
                    <w:t>m</w:t>
                  </w:r>
                  <w:r>
                    <w:rPr>
                      <w:vertAlign w:val="superscript"/>
                    </w:rPr>
                    <w:t>3</w:t>
                  </w:r>
                </w:p>
              </w:tc>
              <w:tc>
                <w:tcPr>
                  <w:tcW w:w="566" w:type="pct"/>
                  <w:tcBorders>
                    <w:tl2br w:val="nil"/>
                    <w:tr2bl w:val="nil"/>
                  </w:tcBorders>
                  <w:noWrap/>
                  <w:vAlign w:val="center"/>
                </w:tcPr>
                <w:p w14:paraId="40789B9C">
                  <w:pPr>
                    <w:pStyle w:val="30"/>
                  </w:pPr>
                  <w:r>
                    <w:t>16184</w:t>
                  </w:r>
                </w:p>
              </w:tc>
            </w:tr>
            <w:tr w14:paraId="075228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tcBorders>
                    <w:tl2br w:val="nil"/>
                    <w:tr2bl w:val="nil"/>
                  </w:tcBorders>
                  <w:noWrap/>
                  <w:vAlign w:val="center"/>
                </w:tcPr>
                <w:p w14:paraId="24CA067D">
                  <w:pPr>
                    <w:pStyle w:val="30"/>
                  </w:pPr>
                  <w:r>
                    <w:t>10</w:t>
                  </w:r>
                </w:p>
              </w:tc>
              <w:tc>
                <w:tcPr>
                  <w:tcW w:w="841" w:type="pct"/>
                  <w:tcBorders>
                    <w:tl2br w:val="nil"/>
                    <w:tr2bl w:val="nil"/>
                  </w:tcBorders>
                  <w:noWrap/>
                  <w:vAlign w:val="center"/>
                </w:tcPr>
                <w:p w14:paraId="7567BBC1">
                  <w:pPr>
                    <w:pStyle w:val="30"/>
                  </w:pPr>
                  <w:r>
                    <w:t>边坡防护</w:t>
                  </w:r>
                </w:p>
              </w:tc>
              <w:tc>
                <w:tcPr>
                  <w:tcW w:w="2676" w:type="pct"/>
                  <w:tcBorders>
                    <w:tl2br w:val="nil"/>
                    <w:tr2bl w:val="nil"/>
                  </w:tcBorders>
                  <w:noWrap/>
                  <w:vAlign w:val="center"/>
                </w:tcPr>
                <w:p w14:paraId="279ACCDB">
                  <w:pPr>
                    <w:pStyle w:val="30"/>
                  </w:pPr>
                  <w:r>
                    <w:rPr>
                      <w:rFonts w:hint="eastAsia"/>
                    </w:rPr>
                    <w:t>植草防护</w:t>
                  </w:r>
                </w:p>
              </w:tc>
              <w:tc>
                <w:tcPr>
                  <w:tcW w:w="453" w:type="pct"/>
                  <w:tcBorders>
                    <w:tl2br w:val="nil"/>
                    <w:tr2bl w:val="nil"/>
                  </w:tcBorders>
                  <w:noWrap/>
                  <w:vAlign w:val="center"/>
                </w:tcPr>
                <w:p w14:paraId="78B1BD34">
                  <w:pPr>
                    <w:pStyle w:val="30"/>
                  </w:pPr>
                  <w:r>
                    <w:t>m</w:t>
                  </w:r>
                  <w:r>
                    <w:rPr>
                      <w:vertAlign w:val="superscript"/>
                    </w:rPr>
                    <w:t>2</w:t>
                  </w:r>
                </w:p>
              </w:tc>
              <w:tc>
                <w:tcPr>
                  <w:tcW w:w="566" w:type="pct"/>
                  <w:tcBorders>
                    <w:tl2br w:val="nil"/>
                    <w:tr2bl w:val="nil"/>
                  </w:tcBorders>
                  <w:noWrap/>
                  <w:vAlign w:val="center"/>
                </w:tcPr>
                <w:p w14:paraId="55B47750">
                  <w:pPr>
                    <w:pStyle w:val="30"/>
                  </w:pPr>
                  <w:r>
                    <w:t>3420</w:t>
                  </w:r>
                </w:p>
              </w:tc>
            </w:tr>
            <w:tr w14:paraId="0AA8F7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tcBorders>
                    <w:tl2br w:val="nil"/>
                    <w:tr2bl w:val="nil"/>
                  </w:tcBorders>
                  <w:noWrap/>
                  <w:vAlign w:val="center"/>
                </w:tcPr>
                <w:p w14:paraId="75FAF4C1">
                  <w:pPr>
                    <w:pStyle w:val="30"/>
                  </w:pPr>
                  <w:r>
                    <w:t>11</w:t>
                  </w:r>
                </w:p>
              </w:tc>
              <w:tc>
                <w:tcPr>
                  <w:tcW w:w="841" w:type="pct"/>
                  <w:tcBorders>
                    <w:tl2br w:val="nil"/>
                    <w:tr2bl w:val="nil"/>
                  </w:tcBorders>
                  <w:noWrap/>
                  <w:vAlign w:val="center"/>
                </w:tcPr>
                <w:p w14:paraId="378C8C92">
                  <w:pPr>
                    <w:pStyle w:val="30"/>
                  </w:pPr>
                  <w:r>
                    <w:t>凿除混凝土</w:t>
                  </w:r>
                </w:p>
              </w:tc>
              <w:tc>
                <w:tcPr>
                  <w:tcW w:w="2676" w:type="pct"/>
                  <w:tcBorders>
                    <w:tl2br w:val="nil"/>
                    <w:tr2bl w:val="nil"/>
                  </w:tcBorders>
                  <w:noWrap/>
                  <w:vAlign w:val="center"/>
                </w:tcPr>
                <w:p w14:paraId="25F98BA4">
                  <w:pPr>
                    <w:pStyle w:val="30"/>
                  </w:pPr>
                  <w:r>
                    <w:rPr>
                      <w:rFonts w:hint="eastAsia"/>
                    </w:rPr>
                    <w:t>凿除混凝土</w:t>
                  </w:r>
                </w:p>
              </w:tc>
              <w:tc>
                <w:tcPr>
                  <w:tcW w:w="453" w:type="pct"/>
                  <w:tcBorders>
                    <w:tl2br w:val="nil"/>
                    <w:tr2bl w:val="nil"/>
                  </w:tcBorders>
                  <w:noWrap/>
                  <w:vAlign w:val="center"/>
                </w:tcPr>
                <w:p w14:paraId="716EDACE">
                  <w:pPr>
                    <w:pStyle w:val="30"/>
                  </w:pPr>
                  <w:r>
                    <w:t>m</w:t>
                  </w:r>
                  <w:r>
                    <w:rPr>
                      <w:vertAlign w:val="superscript"/>
                    </w:rPr>
                    <w:t>3</w:t>
                  </w:r>
                </w:p>
              </w:tc>
              <w:tc>
                <w:tcPr>
                  <w:tcW w:w="566" w:type="pct"/>
                  <w:tcBorders>
                    <w:tl2br w:val="nil"/>
                    <w:tr2bl w:val="nil"/>
                  </w:tcBorders>
                  <w:noWrap/>
                  <w:vAlign w:val="center"/>
                </w:tcPr>
                <w:p w14:paraId="44CD14EF">
                  <w:pPr>
                    <w:pStyle w:val="30"/>
                  </w:pPr>
                  <w:r>
                    <w:t>865</w:t>
                  </w:r>
                </w:p>
              </w:tc>
            </w:tr>
            <w:tr w14:paraId="220055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vMerge w:val="restart"/>
                  <w:tcBorders>
                    <w:tl2br w:val="nil"/>
                    <w:tr2bl w:val="nil"/>
                  </w:tcBorders>
                  <w:noWrap/>
                  <w:vAlign w:val="center"/>
                </w:tcPr>
                <w:p w14:paraId="0F31B1EA">
                  <w:pPr>
                    <w:pStyle w:val="30"/>
                  </w:pPr>
                  <w:r>
                    <w:t>12</w:t>
                  </w:r>
                </w:p>
              </w:tc>
              <w:tc>
                <w:tcPr>
                  <w:tcW w:w="841" w:type="pct"/>
                  <w:vMerge w:val="restart"/>
                  <w:tcBorders>
                    <w:tl2br w:val="nil"/>
                    <w:tr2bl w:val="nil"/>
                  </w:tcBorders>
                  <w:noWrap/>
                  <w:vAlign w:val="center"/>
                </w:tcPr>
                <w:p w14:paraId="0083153C">
                  <w:pPr>
                    <w:pStyle w:val="30"/>
                  </w:pPr>
                  <w:r>
                    <w:t>排水沟</w:t>
                  </w:r>
                </w:p>
              </w:tc>
              <w:tc>
                <w:tcPr>
                  <w:tcW w:w="2676" w:type="pct"/>
                  <w:tcBorders>
                    <w:tl2br w:val="nil"/>
                    <w:tr2bl w:val="nil"/>
                  </w:tcBorders>
                  <w:noWrap/>
                  <w:vAlign w:val="center"/>
                </w:tcPr>
                <w:p w14:paraId="3FD24D41">
                  <w:pPr>
                    <w:pStyle w:val="30"/>
                  </w:pPr>
                  <w:r>
                    <w:t>新设钢筋混凝土矩形盖板排水沟</w:t>
                  </w:r>
                </w:p>
              </w:tc>
              <w:tc>
                <w:tcPr>
                  <w:tcW w:w="453" w:type="pct"/>
                  <w:tcBorders>
                    <w:tl2br w:val="nil"/>
                    <w:tr2bl w:val="nil"/>
                  </w:tcBorders>
                  <w:noWrap/>
                  <w:vAlign w:val="center"/>
                </w:tcPr>
                <w:p w14:paraId="01EA81C6">
                  <w:pPr>
                    <w:pStyle w:val="30"/>
                  </w:pPr>
                  <w:r>
                    <w:rPr>
                      <w:rFonts w:hint="eastAsia"/>
                    </w:rPr>
                    <w:t>m</w:t>
                  </w:r>
                </w:p>
              </w:tc>
              <w:tc>
                <w:tcPr>
                  <w:tcW w:w="566" w:type="pct"/>
                  <w:tcBorders>
                    <w:tl2br w:val="nil"/>
                    <w:tr2bl w:val="nil"/>
                  </w:tcBorders>
                  <w:noWrap/>
                  <w:vAlign w:val="center"/>
                </w:tcPr>
                <w:p w14:paraId="1C8128A0">
                  <w:pPr>
                    <w:pStyle w:val="30"/>
                  </w:pPr>
                  <w:r>
                    <w:t>785</w:t>
                  </w:r>
                </w:p>
              </w:tc>
            </w:tr>
            <w:tr w14:paraId="17171F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vMerge w:val="continue"/>
                  <w:tcBorders>
                    <w:tl2br w:val="nil"/>
                    <w:tr2bl w:val="nil"/>
                  </w:tcBorders>
                  <w:noWrap/>
                  <w:vAlign w:val="center"/>
                </w:tcPr>
                <w:p w14:paraId="01E0A667">
                  <w:pPr>
                    <w:pStyle w:val="30"/>
                  </w:pPr>
                </w:p>
              </w:tc>
              <w:tc>
                <w:tcPr>
                  <w:tcW w:w="841" w:type="pct"/>
                  <w:vMerge w:val="continue"/>
                  <w:tcBorders>
                    <w:tl2br w:val="nil"/>
                    <w:tr2bl w:val="nil"/>
                  </w:tcBorders>
                  <w:noWrap/>
                  <w:vAlign w:val="center"/>
                </w:tcPr>
                <w:p w14:paraId="225C6C66">
                  <w:pPr>
                    <w:pStyle w:val="30"/>
                  </w:pPr>
                </w:p>
              </w:tc>
              <w:tc>
                <w:tcPr>
                  <w:tcW w:w="2676" w:type="pct"/>
                  <w:tcBorders>
                    <w:tl2br w:val="nil"/>
                    <w:tr2bl w:val="nil"/>
                  </w:tcBorders>
                  <w:noWrap/>
                  <w:vAlign w:val="center"/>
                </w:tcPr>
                <w:p w14:paraId="4EB75AA0">
                  <w:pPr>
                    <w:pStyle w:val="30"/>
                  </w:pPr>
                  <w:r>
                    <w:t>新设横向排水槽</w:t>
                  </w:r>
                </w:p>
              </w:tc>
              <w:tc>
                <w:tcPr>
                  <w:tcW w:w="453" w:type="pct"/>
                  <w:tcBorders>
                    <w:tl2br w:val="nil"/>
                    <w:tr2bl w:val="nil"/>
                  </w:tcBorders>
                  <w:noWrap/>
                  <w:vAlign w:val="center"/>
                </w:tcPr>
                <w:p w14:paraId="6B1C873C">
                  <w:pPr>
                    <w:pStyle w:val="30"/>
                  </w:pPr>
                  <w:r>
                    <w:t>km</w:t>
                  </w:r>
                </w:p>
              </w:tc>
              <w:tc>
                <w:tcPr>
                  <w:tcW w:w="566" w:type="pct"/>
                  <w:tcBorders>
                    <w:tl2br w:val="nil"/>
                    <w:tr2bl w:val="nil"/>
                  </w:tcBorders>
                  <w:noWrap/>
                  <w:vAlign w:val="center"/>
                </w:tcPr>
                <w:p w14:paraId="407D0434">
                  <w:pPr>
                    <w:pStyle w:val="30"/>
                  </w:pPr>
                  <w:r>
                    <w:t>0.02</w:t>
                  </w:r>
                </w:p>
              </w:tc>
            </w:tr>
            <w:tr w14:paraId="746EBF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461" w:type="pct"/>
                  <w:tcBorders>
                    <w:tl2br w:val="nil"/>
                    <w:tr2bl w:val="nil"/>
                  </w:tcBorders>
                  <w:noWrap/>
                  <w:vAlign w:val="center"/>
                </w:tcPr>
                <w:p w14:paraId="6D0E04BD">
                  <w:pPr>
                    <w:pStyle w:val="30"/>
                  </w:pPr>
                  <w:r>
                    <w:t>13</w:t>
                  </w:r>
                </w:p>
              </w:tc>
              <w:tc>
                <w:tcPr>
                  <w:tcW w:w="841" w:type="pct"/>
                  <w:tcBorders>
                    <w:tl2br w:val="nil"/>
                    <w:tr2bl w:val="nil"/>
                  </w:tcBorders>
                  <w:noWrap/>
                  <w:vAlign w:val="center"/>
                </w:tcPr>
                <w:p w14:paraId="4DD8C583">
                  <w:pPr>
                    <w:pStyle w:val="30"/>
                  </w:pPr>
                  <w:r>
                    <w:t>砍树伐根</w:t>
                  </w:r>
                </w:p>
              </w:tc>
              <w:tc>
                <w:tcPr>
                  <w:tcW w:w="2676" w:type="pct"/>
                  <w:tcBorders>
                    <w:tl2br w:val="nil"/>
                    <w:tr2bl w:val="nil"/>
                  </w:tcBorders>
                  <w:noWrap/>
                  <w:vAlign w:val="center"/>
                </w:tcPr>
                <w:p w14:paraId="101E205D">
                  <w:pPr>
                    <w:pStyle w:val="30"/>
                  </w:pPr>
                  <w:r>
                    <w:t>φ15mm</w:t>
                  </w:r>
                </w:p>
              </w:tc>
              <w:tc>
                <w:tcPr>
                  <w:tcW w:w="453" w:type="pct"/>
                  <w:tcBorders>
                    <w:tl2br w:val="nil"/>
                    <w:tr2bl w:val="nil"/>
                  </w:tcBorders>
                  <w:noWrap/>
                  <w:vAlign w:val="center"/>
                </w:tcPr>
                <w:p w14:paraId="6ECC473B">
                  <w:pPr>
                    <w:pStyle w:val="30"/>
                  </w:pPr>
                  <w:r>
                    <w:t>棵</w:t>
                  </w:r>
                </w:p>
              </w:tc>
              <w:tc>
                <w:tcPr>
                  <w:tcW w:w="566" w:type="pct"/>
                  <w:tcBorders>
                    <w:tl2br w:val="nil"/>
                    <w:tr2bl w:val="nil"/>
                  </w:tcBorders>
                  <w:noWrap/>
                  <w:vAlign w:val="center"/>
                </w:tcPr>
                <w:p w14:paraId="2DD58C29">
                  <w:pPr>
                    <w:pStyle w:val="30"/>
                  </w:pPr>
                  <w:r>
                    <w:t>10</w:t>
                  </w:r>
                </w:p>
              </w:tc>
            </w:tr>
          </w:tbl>
          <w:p w14:paraId="57BF5E86">
            <w:pPr>
              <w:ind w:firstLine="480"/>
            </w:pPr>
          </w:p>
          <w:p w14:paraId="639A2DFE">
            <w:pPr>
              <w:ind w:firstLine="480"/>
            </w:pPr>
            <w:r>
              <w:rPr>
                <w:rFonts w:hint="eastAsia"/>
              </w:rPr>
              <w:t>（2）本项目专用线主要技术标准</w:t>
            </w:r>
          </w:p>
          <w:p w14:paraId="2CE35805">
            <w:pPr>
              <w:pStyle w:val="33"/>
            </w:pPr>
            <w:r>
              <w:rPr>
                <w:rFonts w:hint="eastAsia"/>
              </w:rPr>
              <w:t>表2-3 铁路专用线主要技术标准</w:t>
            </w:r>
          </w:p>
          <w:tbl>
            <w:tblPr>
              <w:tblStyle w:val="2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4"/>
              <w:gridCol w:w="4370"/>
            </w:tblGrid>
            <w:tr w14:paraId="081E9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28B47D20">
                  <w:pPr>
                    <w:pStyle w:val="30"/>
                  </w:pPr>
                  <w:r>
                    <w:rPr>
                      <w:rFonts w:hint="eastAsia"/>
                    </w:rPr>
                    <w:t>项目</w:t>
                  </w:r>
                </w:p>
              </w:tc>
              <w:tc>
                <w:tcPr>
                  <w:tcW w:w="3028" w:type="pct"/>
                  <w:tcBorders>
                    <w:tl2br w:val="nil"/>
                    <w:tr2bl w:val="nil"/>
                  </w:tcBorders>
                </w:tcPr>
                <w:p w14:paraId="2F310F24">
                  <w:pPr>
                    <w:pStyle w:val="30"/>
                  </w:pPr>
                  <w:r>
                    <w:rPr>
                      <w:rFonts w:hint="eastAsia"/>
                    </w:rPr>
                    <w:t>专用线</w:t>
                  </w:r>
                </w:p>
              </w:tc>
            </w:tr>
            <w:tr w14:paraId="523A9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19497C53">
                  <w:pPr>
                    <w:pStyle w:val="30"/>
                  </w:pPr>
                  <w:r>
                    <w:rPr>
                      <w:rFonts w:hint="eastAsia"/>
                    </w:rPr>
                    <w:t>线路等级</w:t>
                  </w:r>
                </w:p>
              </w:tc>
              <w:tc>
                <w:tcPr>
                  <w:tcW w:w="3028" w:type="pct"/>
                  <w:tcBorders>
                    <w:tl2br w:val="nil"/>
                    <w:tr2bl w:val="nil"/>
                  </w:tcBorders>
                </w:tcPr>
                <w:p w14:paraId="33334DC0">
                  <w:pPr>
                    <w:pStyle w:val="30"/>
                  </w:pPr>
                  <w:r>
                    <w:rPr>
                      <w:rFonts w:hint="eastAsia"/>
                    </w:rPr>
                    <w:t>铁路专用线</w:t>
                  </w:r>
                </w:p>
              </w:tc>
            </w:tr>
            <w:tr w14:paraId="4A7A2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2BE01755">
                  <w:pPr>
                    <w:pStyle w:val="30"/>
                  </w:pPr>
                  <w:r>
                    <w:rPr>
                      <w:rFonts w:hint="eastAsia"/>
                    </w:rPr>
                    <w:t>正线数目</w:t>
                  </w:r>
                </w:p>
              </w:tc>
              <w:tc>
                <w:tcPr>
                  <w:tcW w:w="3028" w:type="pct"/>
                  <w:tcBorders>
                    <w:tl2br w:val="nil"/>
                    <w:tr2bl w:val="nil"/>
                  </w:tcBorders>
                </w:tcPr>
                <w:p w14:paraId="4EEBE342">
                  <w:pPr>
                    <w:pStyle w:val="30"/>
                  </w:pPr>
                  <w:r>
                    <w:rPr>
                      <w:rFonts w:hint="eastAsia"/>
                    </w:rPr>
                    <w:t>单线</w:t>
                  </w:r>
                </w:p>
              </w:tc>
            </w:tr>
            <w:tr w14:paraId="50F34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4BBC5972">
                  <w:pPr>
                    <w:pStyle w:val="30"/>
                  </w:pPr>
                  <w:r>
                    <w:rPr>
                      <w:rFonts w:hint="eastAsia"/>
                    </w:rPr>
                    <w:t>设计行车速度</w:t>
                  </w:r>
                </w:p>
              </w:tc>
              <w:tc>
                <w:tcPr>
                  <w:tcW w:w="3028" w:type="pct"/>
                  <w:tcBorders>
                    <w:tl2br w:val="nil"/>
                    <w:tr2bl w:val="nil"/>
                  </w:tcBorders>
                </w:tcPr>
                <w:p w14:paraId="13C03D10">
                  <w:pPr>
                    <w:pStyle w:val="30"/>
                  </w:pPr>
                  <w:r>
                    <w:rPr>
                      <w:rFonts w:hint="eastAsia"/>
                    </w:rPr>
                    <w:t>40km/h</w:t>
                  </w:r>
                </w:p>
              </w:tc>
            </w:tr>
            <w:tr w14:paraId="60116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21456B68">
                  <w:pPr>
                    <w:pStyle w:val="30"/>
                  </w:pPr>
                  <w:r>
                    <w:rPr>
                      <w:rFonts w:hint="eastAsia"/>
                    </w:rPr>
                    <w:t>最小曲线半径</w:t>
                  </w:r>
                </w:p>
              </w:tc>
              <w:tc>
                <w:tcPr>
                  <w:tcW w:w="3028" w:type="pct"/>
                  <w:tcBorders>
                    <w:tl2br w:val="nil"/>
                    <w:tr2bl w:val="nil"/>
                  </w:tcBorders>
                </w:tcPr>
                <w:p w14:paraId="7F364567">
                  <w:pPr>
                    <w:pStyle w:val="30"/>
                  </w:pPr>
                  <w:r>
                    <w:rPr>
                      <w:rFonts w:hint="eastAsia"/>
                    </w:rPr>
                    <w:t>3道500m，4道240m</w:t>
                  </w:r>
                </w:p>
              </w:tc>
            </w:tr>
            <w:tr w14:paraId="1FAB6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174FCA3D">
                  <w:pPr>
                    <w:pStyle w:val="30"/>
                  </w:pPr>
                  <w:r>
                    <w:rPr>
                      <w:rFonts w:hint="eastAsia"/>
                    </w:rPr>
                    <w:t>装卸线有效长</w:t>
                  </w:r>
                </w:p>
              </w:tc>
              <w:tc>
                <w:tcPr>
                  <w:tcW w:w="3028" w:type="pct"/>
                  <w:tcBorders>
                    <w:tl2br w:val="nil"/>
                    <w:tr2bl w:val="nil"/>
                  </w:tcBorders>
                </w:tcPr>
                <w:p w14:paraId="6B0E53A2">
                  <w:pPr>
                    <w:pStyle w:val="30"/>
                  </w:pPr>
                  <w:r>
                    <w:rPr>
                      <w:rFonts w:hint="eastAsia"/>
                    </w:rPr>
                    <w:t>3道301m，4道313m</w:t>
                  </w:r>
                </w:p>
              </w:tc>
            </w:tr>
            <w:tr w14:paraId="784C4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0D9BACFE">
                  <w:pPr>
                    <w:pStyle w:val="30"/>
                  </w:pPr>
                  <w:r>
                    <w:rPr>
                      <w:rFonts w:hint="eastAsia"/>
                    </w:rPr>
                    <w:t>专用线行车方式</w:t>
                  </w:r>
                </w:p>
              </w:tc>
              <w:tc>
                <w:tcPr>
                  <w:tcW w:w="3028" w:type="pct"/>
                  <w:tcBorders>
                    <w:tl2br w:val="nil"/>
                    <w:tr2bl w:val="nil"/>
                  </w:tcBorders>
                </w:tcPr>
                <w:p w14:paraId="28484A04">
                  <w:pPr>
                    <w:pStyle w:val="30"/>
                  </w:pPr>
                  <w:r>
                    <w:rPr>
                      <w:rFonts w:hint="eastAsia"/>
                    </w:rPr>
                    <w:t>调车办理</w:t>
                  </w:r>
                </w:p>
              </w:tc>
            </w:tr>
            <w:tr w14:paraId="790F9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218E05A6">
                  <w:pPr>
                    <w:pStyle w:val="30"/>
                  </w:pPr>
                  <w:r>
                    <w:rPr>
                      <w:rFonts w:hint="eastAsia"/>
                    </w:rPr>
                    <w:t>牵引种类</w:t>
                  </w:r>
                </w:p>
              </w:tc>
              <w:tc>
                <w:tcPr>
                  <w:tcW w:w="3028" w:type="pct"/>
                  <w:tcBorders>
                    <w:tl2br w:val="nil"/>
                    <w:tr2bl w:val="nil"/>
                  </w:tcBorders>
                </w:tcPr>
                <w:p w14:paraId="607B6647">
                  <w:pPr>
                    <w:pStyle w:val="30"/>
                  </w:pPr>
                  <w:r>
                    <w:rPr>
                      <w:rFonts w:hint="eastAsia"/>
                    </w:rPr>
                    <w:t>内燃（柴油）</w:t>
                  </w:r>
                </w:p>
              </w:tc>
            </w:tr>
            <w:tr w14:paraId="4C31C1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66D69BB7">
                  <w:pPr>
                    <w:pStyle w:val="30"/>
                  </w:pPr>
                  <w:r>
                    <w:rPr>
                      <w:rFonts w:hint="eastAsia"/>
                    </w:rPr>
                    <w:t>远期列车对数</w:t>
                  </w:r>
                </w:p>
              </w:tc>
              <w:tc>
                <w:tcPr>
                  <w:tcW w:w="3028" w:type="pct"/>
                  <w:tcBorders>
                    <w:tl2br w:val="nil"/>
                    <w:tr2bl w:val="nil"/>
                  </w:tcBorders>
                </w:tcPr>
                <w:p w14:paraId="5220B7A3">
                  <w:pPr>
                    <w:pStyle w:val="30"/>
                  </w:pPr>
                  <w:r>
                    <w:rPr>
                      <w:rFonts w:hint="eastAsia"/>
                    </w:rPr>
                    <w:t>1辆/d</w:t>
                  </w:r>
                </w:p>
              </w:tc>
            </w:tr>
            <w:tr w14:paraId="280383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1" w:type="pct"/>
                  <w:tcBorders>
                    <w:tl2br w:val="nil"/>
                    <w:tr2bl w:val="nil"/>
                  </w:tcBorders>
                </w:tcPr>
                <w:p w14:paraId="2BCEC62F">
                  <w:pPr>
                    <w:pStyle w:val="30"/>
                  </w:pPr>
                  <w:r>
                    <w:rPr>
                      <w:rFonts w:hint="eastAsia"/>
                    </w:rPr>
                    <w:t>牵引质量</w:t>
                  </w:r>
                </w:p>
              </w:tc>
              <w:tc>
                <w:tcPr>
                  <w:tcW w:w="3028" w:type="pct"/>
                  <w:tcBorders>
                    <w:tl2br w:val="nil"/>
                    <w:tr2bl w:val="nil"/>
                  </w:tcBorders>
                </w:tcPr>
                <w:p w14:paraId="3695B312">
                  <w:pPr>
                    <w:pStyle w:val="30"/>
                  </w:pPr>
                  <w:r>
                    <w:rPr>
                      <w:rFonts w:hint="eastAsia"/>
                    </w:rPr>
                    <w:t>2500t</w:t>
                  </w:r>
                </w:p>
              </w:tc>
            </w:tr>
          </w:tbl>
          <w:p w14:paraId="29DE1D12">
            <w:pPr>
              <w:ind w:firstLine="480"/>
            </w:pPr>
          </w:p>
          <w:p w14:paraId="490E03FF">
            <w:pPr>
              <w:ind w:firstLine="482"/>
            </w:pPr>
            <w:r>
              <w:rPr>
                <w:rFonts w:hint="eastAsia"/>
                <w:b/>
                <w:bCs/>
              </w:rPr>
              <w:t>5、工程方案</w:t>
            </w:r>
          </w:p>
          <w:p w14:paraId="39BC19EA">
            <w:pPr>
              <w:ind w:firstLine="480"/>
            </w:pPr>
            <w:r>
              <w:rPr>
                <w:rFonts w:hint="eastAsia"/>
              </w:rPr>
              <w:t>（1）</w:t>
            </w:r>
            <w:r>
              <w:t>平面改造</w:t>
            </w:r>
          </w:p>
          <w:p w14:paraId="003AFC68">
            <w:pPr>
              <w:ind w:firstLine="480"/>
            </w:pPr>
            <w:r>
              <w:t>为保证3道和4道的正常使用，本次研究重新设置17#和19#道岔。在既有安全线道岔外侧依次新设50kg/m钢轨、混凝土岔枕单开道岔共2组（图号为CZ2209）。</w:t>
            </w:r>
          </w:p>
          <w:p w14:paraId="71F1BF73">
            <w:pPr>
              <w:ind w:firstLine="480"/>
            </w:pPr>
            <w:r>
              <w:t>既有油库专用线采用43kg/m钢轨木枕道岔，道岔连续布置，道岔前后未设置间距，新设道岔采用50kg/m钢轨混凝土岔枕道岔，需要根据《铁路专用线设计规范（试行）》（TB10638-2019）中关于道岔间插入钢轨最小长度要求调整道岔间距。道岔间距调整后，改造岔后曲线并重新连接3道和4道。</w:t>
            </w:r>
          </w:p>
          <w:p w14:paraId="624A9C48">
            <w:pPr>
              <w:ind w:firstLine="480"/>
            </w:pPr>
            <w:r>
              <w:t>本次研究3道曲线半径由510m调整为500m，线路有效长为346m，装卸长度为301m。4道曲线半径由280m调整为240m，线路有效长为508m，装卸长度为313m。4道半径240m曲线范围内每25m设置10根轨距杆。</w:t>
            </w:r>
          </w:p>
          <w:p w14:paraId="635A67F8">
            <w:pPr>
              <w:ind w:firstLine="480"/>
            </w:pPr>
            <w:r>
              <w:rPr>
                <w:rFonts w:hint="eastAsia"/>
              </w:rPr>
              <w:t>（2）</w:t>
            </w:r>
            <w:r>
              <w:t>坡度调整</w:t>
            </w:r>
          </w:p>
          <w:p w14:paraId="1E5391ED">
            <w:pPr>
              <w:ind w:firstLine="480"/>
            </w:pPr>
            <w:r>
              <w:t>因既有3道和4道均存在坡段长度较短以及装卸范围内坡度大于1‰的情况，本次研究对3道和4道坡度进行调整。</w:t>
            </w:r>
          </w:p>
          <w:p w14:paraId="0711FC1B">
            <w:pPr>
              <w:ind w:firstLine="480"/>
            </w:pPr>
            <w:r>
              <w:t>3道将接轨点既有17.6‰坡段延长至C3K0+580处，然后采用1‰坡段行进至终点。4道将接轨点既有17.6‰坡段延长至C4K0+600处，再将既有21.7‰坡段延长至C4K0+800处，然后采用1‰坡段行进至终点。</w:t>
            </w:r>
          </w:p>
          <w:p w14:paraId="58014477">
            <w:pPr>
              <w:ind w:firstLine="480"/>
            </w:pPr>
            <w:r>
              <w:rPr>
                <w:rFonts w:hint="eastAsia"/>
              </w:rPr>
              <w:t>（3）</w:t>
            </w:r>
            <w:r>
              <w:t>更换钢轨</w:t>
            </w:r>
          </w:p>
          <w:p w14:paraId="43AC6CF6">
            <w:pPr>
              <w:ind w:firstLine="480"/>
            </w:pPr>
            <w:r>
              <w:t>拆除走行线YK0+501.25~YK0+590.22之间、既有3道和4道43kg/m钢轨，更换为50kg/m-25m钢轨。</w:t>
            </w:r>
          </w:p>
          <w:p w14:paraId="48DCEA24">
            <w:pPr>
              <w:ind w:firstLine="480"/>
            </w:pPr>
            <w:r>
              <w:t>走行线在既有1#岔首和新铺17#道岔间、新铺19#道岔末端与既有43kg/m钢轨间分别铺设12.5m长43kg/m-50kg/m异型轨。钢轨更换位置及数量见表</w:t>
            </w:r>
            <w:r>
              <w:rPr>
                <w:rFonts w:hint="eastAsia"/>
              </w:rPr>
              <w:t>2-4。</w:t>
            </w:r>
          </w:p>
          <w:p w14:paraId="5E0F3993">
            <w:pPr>
              <w:pStyle w:val="33"/>
            </w:pPr>
            <w:r>
              <w:rPr>
                <w:rFonts w:hint="eastAsia"/>
              </w:rPr>
              <w:t>表2-4 钢轨更换位置及数量表</w:t>
            </w:r>
          </w:p>
          <w:tbl>
            <w:tblPr>
              <w:tblStyle w:val="25"/>
              <w:tblW w:w="4997" w:type="pct"/>
              <w:tblInd w:w="1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97"/>
              <w:gridCol w:w="774"/>
              <w:gridCol w:w="1596"/>
              <w:gridCol w:w="1387"/>
              <w:gridCol w:w="755"/>
              <w:gridCol w:w="2202"/>
            </w:tblGrid>
            <w:tr w14:paraId="22B8D3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345" w:type="pct"/>
                  <w:tcBorders>
                    <w:tl2br w:val="nil"/>
                    <w:tr2bl w:val="nil"/>
                  </w:tcBorders>
                  <w:tcMar>
                    <w:top w:w="15" w:type="dxa"/>
                    <w:left w:w="15" w:type="dxa"/>
                    <w:right w:w="15" w:type="dxa"/>
                  </w:tcMar>
                  <w:vAlign w:val="center"/>
                </w:tcPr>
                <w:p w14:paraId="092095B8">
                  <w:pPr>
                    <w:pStyle w:val="30"/>
                  </w:pPr>
                  <w:r>
                    <w:t>顺序</w:t>
                  </w:r>
                </w:p>
              </w:tc>
              <w:tc>
                <w:tcPr>
                  <w:tcW w:w="537" w:type="pct"/>
                  <w:tcBorders>
                    <w:tl2br w:val="nil"/>
                    <w:tr2bl w:val="nil"/>
                  </w:tcBorders>
                  <w:tcMar>
                    <w:top w:w="15" w:type="dxa"/>
                    <w:left w:w="15" w:type="dxa"/>
                    <w:right w:w="15" w:type="dxa"/>
                  </w:tcMar>
                  <w:vAlign w:val="center"/>
                </w:tcPr>
                <w:p w14:paraId="421C7B1A">
                  <w:pPr>
                    <w:pStyle w:val="30"/>
                  </w:pPr>
                  <w:r>
                    <w:rPr>
                      <w:rFonts w:hint="eastAsia"/>
                    </w:rPr>
                    <w:t>股道</w:t>
                  </w:r>
                </w:p>
              </w:tc>
              <w:tc>
                <w:tcPr>
                  <w:tcW w:w="1106" w:type="pct"/>
                  <w:tcBorders>
                    <w:tl2br w:val="nil"/>
                    <w:tr2bl w:val="nil"/>
                  </w:tcBorders>
                  <w:tcMar>
                    <w:top w:w="15" w:type="dxa"/>
                    <w:left w:w="15" w:type="dxa"/>
                    <w:right w:w="15" w:type="dxa"/>
                  </w:tcMar>
                  <w:vAlign w:val="center"/>
                </w:tcPr>
                <w:p w14:paraId="59AB6451">
                  <w:pPr>
                    <w:pStyle w:val="30"/>
                  </w:pPr>
                  <w:r>
                    <w:t>起点里程</w:t>
                  </w:r>
                </w:p>
              </w:tc>
              <w:tc>
                <w:tcPr>
                  <w:tcW w:w="960" w:type="pct"/>
                  <w:tcBorders>
                    <w:tl2br w:val="nil"/>
                    <w:tr2bl w:val="nil"/>
                  </w:tcBorders>
                  <w:tcMar>
                    <w:top w:w="15" w:type="dxa"/>
                    <w:left w:w="15" w:type="dxa"/>
                    <w:right w:w="15" w:type="dxa"/>
                  </w:tcMar>
                  <w:vAlign w:val="center"/>
                </w:tcPr>
                <w:p w14:paraId="1F346965">
                  <w:pPr>
                    <w:pStyle w:val="30"/>
                  </w:pPr>
                  <w:r>
                    <w:t>终点里程</w:t>
                  </w:r>
                </w:p>
              </w:tc>
              <w:tc>
                <w:tcPr>
                  <w:tcW w:w="523" w:type="pct"/>
                  <w:tcBorders>
                    <w:tl2br w:val="nil"/>
                    <w:tr2bl w:val="nil"/>
                  </w:tcBorders>
                  <w:tcMar>
                    <w:top w:w="15" w:type="dxa"/>
                    <w:left w:w="15" w:type="dxa"/>
                    <w:right w:w="15" w:type="dxa"/>
                  </w:tcMar>
                  <w:vAlign w:val="center"/>
                </w:tcPr>
                <w:p w14:paraId="38BC05BC">
                  <w:pPr>
                    <w:pStyle w:val="30"/>
                  </w:pPr>
                  <w:r>
                    <w:t>长度(m)</w:t>
                  </w:r>
                </w:p>
              </w:tc>
              <w:tc>
                <w:tcPr>
                  <w:tcW w:w="1526" w:type="pct"/>
                  <w:tcBorders>
                    <w:tl2br w:val="nil"/>
                    <w:tr2bl w:val="nil"/>
                  </w:tcBorders>
                  <w:tcMar>
                    <w:top w:w="15" w:type="dxa"/>
                    <w:left w:w="15" w:type="dxa"/>
                    <w:right w:w="15" w:type="dxa"/>
                  </w:tcMar>
                  <w:vAlign w:val="center"/>
                </w:tcPr>
                <w:p w14:paraId="2034C00F">
                  <w:pPr>
                    <w:pStyle w:val="30"/>
                  </w:pPr>
                  <w:r>
                    <w:t>附          注</w:t>
                  </w:r>
                </w:p>
              </w:tc>
            </w:tr>
            <w:tr w14:paraId="59C1D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345" w:type="pct"/>
                  <w:vMerge w:val="restart"/>
                  <w:tcBorders>
                    <w:tl2br w:val="nil"/>
                    <w:tr2bl w:val="nil"/>
                  </w:tcBorders>
                  <w:tcMar>
                    <w:top w:w="15" w:type="dxa"/>
                    <w:left w:w="15" w:type="dxa"/>
                    <w:right w:w="15" w:type="dxa"/>
                  </w:tcMar>
                  <w:vAlign w:val="center"/>
                </w:tcPr>
                <w:p w14:paraId="278BE808">
                  <w:pPr>
                    <w:pStyle w:val="30"/>
                  </w:pPr>
                  <w:r>
                    <w:t>1</w:t>
                  </w:r>
                </w:p>
              </w:tc>
              <w:tc>
                <w:tcPr>
                  <w:tcW w:w="537" w:type="pct"/>
                  <w:vMerge w:val="restart"/>
                  <w:tcBorders>
                    <w:tl2br w:val="nil"/>
                    <w:tr2bl w:val="nil"/>
                  </w:tcBorders>
                  <w:tcMar>
                    <w:top w:w="15" w:type="dxa"/>
                    <w:left w:w="15" w:type="dxa"/>
                    <w:right w:w="15" w:type="dxa"/>
                  </w:tcMar>
                  <w:vAlign w:val="center"/>
                </w:tcPr>
                <w:p w14:paraId="3D5148D5">
                  <w:pPr>
                    <w:pStyle w:val="30"/>
                  </w:pPr>
                  <w:r>
                    <w:rPr>
                      <w:rFonts w:hint="eastAsia"/>
                    </w:rPr>
                    <w:t>走行线</w:t>
                  </w:r>
                </w:p>
              </w:tc>
              <w:tc>
                <w:tcPr>
                  <w:tcW w:w="1106" w:type="pct"/>
                  <w:tcBorders>
                    <w:tl2br w:val="nil"/>
                    <w:tr2bl w:val="nil"/>
                  </w:tcBorders>
                  <w:tcMar>
                    <w:top w:w="15" w:type="dxa"/>
                    <w:left w:w="15" w:type="dxa"/>
                    <w:right w:w="15" w:type="dxa"/>
                  </w:tcMar>
                  <w:vAlign w:val="center"/>
                </w:tcPr>
                <w:p w14:paraId="7263E99E">
                  <w:pPr>
                    <w:pStyle w:val="30"/>
                  </w:pPr>
                  <w:r>
                    <w:t>YK0+501.25</w:t>
                  </w:r>
                </w:p>
              </w:tc>
              <w:tc>
                <w:tcPr>
                  <w:tcW w:w="960" w:type="pct"/>
                  <w:tcBorders>
                    <w:tl2br w:val="nil"/>
                    <w:tr2bl w:val="nil"/>
                  </w:tcBorders>
                  <w:tcMar>
                    <w:top w:w="15" w:type="dxa"/>
                    <w:left w:w="15" w:type="dxa"/>
                    <w:right w:w="15" w:type="dxa"/>
                  </w:tcMar>
                  <w:vAlign w:val="center"/>
                </w:tcPr>
                <w:p w14:paraId="7E065538">
                  <w:pPr>
                    <w:pStyle w:val="30"/>
                  </w:pPr>
                  <w:r>
                    <w:t>YK0+513.76</w:t>
                  </w:r>
                </w:p>
              </w:tc>
              <w:tc>
                <w:tcPr>
                  <w:tcW w:w="523" w:type="pct"/>
                  <w:tcBorders>
                    <w:tl2br w:val="nil"/>
                    <w:tr2bl w:val="nil"/>
                  </w:tcBorders>
                  <w:tcMar>
                    <w:top w:w="15" w:type="dxa"/>
                    <w:left w:w="15" w:type="dxa"/>
                    <w:right w:w="15" w:type="dxa"/>
                  </w:tcMar>
                  <w:vAlign w:val="center"/>
                </w:tcPr>
                <w:p w14:paraId="54004B3D">
                  <w:pPr>
                    <w:pStyle w:val="30"/>
                  </w:pPr>
                  <w:r>
                    <w:t>12.5</w:t>
                  </w:r>
                </w:p>
              </w:tc>
              <w:tc>
                <w:tcPr>
                  <w:tcW w:w="1526" w:type="pct"/>
                  <w:tcBorders>
                    <w:tl2br w:val="nil"/>
                    <w:tr2bl w:val="nil"/>
                  </w:tcBorders>
                  <w:tcMar>
                    <w:top w:w="15" w:type="dxa"/>
                    <w:left w:w="15" w:type="dxa"/>
                    <w:right w:w="15" w:type="dxa"/>
                  </w:tcMar>
                  <w:vAlign w:val="center"/>
                </w:tcPr>
                <w:p w14:paraId="2A5353C7">
                  <w:pPr>
                    <w:pStyle w:val="30"/>
                  </w:pPr>
                  <w:r>
                    <w:t>43kg/m~50kg/m异型轨</w:t>
                  </w:r>
                </w:p>
              </w:tc>
            </w:tr>
            <w:tr w14:paraId="6B2D03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345" w:type="pct"/>
                  <w:vMerge w:val="continue"/>
                  <w:tcBorders>
                    <w:tl2br w:val="nil"/>
                    <w:tr2bl w:val="nil"/>
                  </w:tcBorders>
                  <w:tcMar>
                    <w:top w:w="15" w:type="dxa"/>
                    <w:left w:w="15" w:type="dxa"/>
                    <w:right w:w="15" w:type="dxa"/>
                  </w:tcMar>
                  <w:vAlign w:val="center"/>
                </w:tcPr>
                <w:p w14:paraId="7BD630A2">
                  <w:pPr>
                    <w:pStyle w:val="30"/>
                  </w:pPr>
                </w:p>
              </w:tc>
              <w:tc>
                <w:tcPr>
                  <w:tcW w:w="537" w:type="pct"/>
                  <w:vMerge w:val="continue"/>
                  <w:tcBorders>
                    <w:tl2br w:val="nil"/>
                    <w:tr2bl w:val="nil"/>
                  </w:tcBorders>
                  <w:tcMar>
                    <w:top w:w="15" w:type="dxa"/>
                    <w:left w:w="15" w:type="dxa"/>
                    <w:right w:w="15" w:type="dxa"/>
                  </w:tcMar>
                  <w:vAlign w:val="center"/>
                </w:tcPr>
                <w:p w14:paraId="6314AA3D">
                  <w:pPr>
                    <w:pStyle w:val="30"/>
                  </w:pPr>
                </w:p>
              </w:tc>
              <w:tc>
                <w:tcPr>
                  <w:tcW w:w="1106" w:type="pct"/>
                  <w:tcBorders>
                    <w:tl2br w:val="nil"/>
                    <w:tr2bl w:val="nil"/>
                  </w:tcBorders>
                  <w:tcMar>
                    <w:top w:w="15" w:type="dxa"/>
                    <w:left w:w="15" w:type="dxa"/>
                    <w:right w:w="15" w:type="dxa"/>
                  </w:tcMar>
                  <w:vAlign w:val="center"/>
                </w:tcPr>
                <w:p w14:paraId="2AD3DBE0">
                  <w:pPr>
                    <w:pStyle w:val="30"/>
                  </w:pPr>
                  <w:r>
                    <w:t>YK0+542.61</w:t>
                  </w:r>
                </w:p>
              </w:tc>
              <w:tc>
                <w:tcPr>
                  <w:tcW w:w="960" w:type="pct"/>
                  <w:tcBorders>
                    <w:tl2br w:val="nil"/>
                    <w:tr2bl w:val="nil"/>
                  </w:tcBorders>
                  <w:tcMar>
                    <w:top w:w="15" w:type="dxa"/>
                    <w:left w:w="15" w:type="dxa"/>
                    <w:right w:w="15" w:type="dxa"/>
                  </w:tcMar>
                  <w:vAlign w:val="center"/>
                </w:tcPr>
                <w:p w14:paraId="1CA6E191">
                  <w:pPr>
                    <w:pStyle w:val="30"/>
                  </w:pPr>
                  <w:r>
                    <w:t>YK0+548.86</w:t>
                  </w:r>
                </w:p>
              </w:tc>
              <w:tc>
                <w:tcPr>
                  <w:tcW w:w="523" w:type="pct"/>
                  <w:tcBorders>
                    <w:tl2br w:val="nil"/>
                    <w:tr2bl w:val="nil"/>
                  </w:tcBorders>
                  <w:tcMar>
                    <w:top w:w="15" w:type="dxa"/>
                    <w:left w:w="15" w:type="dxa"/>
                    <w:right w:w="15" w:type="dxa"/>
                  </w:tcMar>
                  <w:vAlign w:val="center"/>
                </w:tcPr>
                <w:p w14:paraId="49282C33">
                  <w:pPr>
                    <w:pStyle w:val="30"/>
                  </w:pPr>
                  <w:r>
                    <w:rPr>
                      <w:rFonts w:hint="eastAsia"/>
                    </w:rPr>
                    <w:t>6.25</w:t>
                  </w:r>
                </w:p>
              </w:tc>
              <w:tc>
                <w:tcPr>
                  <w:tcW w:w="1526" w:type="pct"/>
                  <w:tcBorders>
                    <w:tl2br w:val="nil"/>
                    <w:tr2bl w:val="nil"/>
                  </w:tcBorders>
                  <w:tcMar>
                    <w:top w:w="15" w:type="dxa"/>
                    <w:left w:w="15" w:type="dxa"/>
                    <w:right w:w="15" w:type="dxa"/>
                  </w:tcMar>
                  <w:vAlign w:val="center"/>
                </w:tcPr>
                <w:p w14:paraId="25348708">
                  <w:pPr>
                    <w:pStyle w:val="30"/>
                  </w:pPr>
                  <w:r>
                    <w:t>50kg/m钢轨</w:t>
                  </w:r>
                </w:p>
              </w:tc>
            </w:tr>
            <w:tr w14:paraId="162E8C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345" w:type="pct"/>
                  <w:vMerge w:val="continue"/>
                  <w:tcBorders>
                    <w:tl2br w:val="nil"/>
                    <w:tr2bl w:val="nil"/>
                  </w:tcBorders>
                  <w:tcMar>
                    <w:top w:w="15" w:type="dxa"/>
                    <w:left w:w="15" w:type="dxa"/>
                    <w:right w:w="15" w:type="dxa"/>
                  </w:tcMar>
                  <w:vAlign w:val="center"/>
                </w:tcPr>
                <w:p w14:paraId="38FDEE34">
                  <w:pPr>
                    <w:pStyle w:val="30"/>
                  </w:pPr>
                </w:p>
              </w:tc>
              <w:tc>
                <w:tcPr>
                  <w:tcW w:w="537" w:type="pct"/>
                  <w:vMerge w:val="continue"/>
                  <w:tcBorders>
                    <w:tl2br w:val="nil"/>
                    <w:tr2bl w:val="nil"/>
                  </w:tcBorders>
                  <w:tcMar>
                    <w:top w:w="15" w:type="dxa"/>
                    <w:left w:w="15" w:type="dxa"/>
                    <w:right w:w="15" w:type="dxa"/>
                  </w:tcMar>
                  <w:vAlign w:val="center"/>
                </w:tcPr>
                <w:p w14:paraId="00A801DC">
                  <w:pPr>
                    <w:pStyle w:val="30"/>
                  </w:pPr>
                </w:p>
              </w:tc>
              <w:tc>
                <w:tcPr>
                  <w:tcW w:w="1106" w:type="pct"/>
                  <w:tcBorders>
                    <w:tl2br w:val="nil"/>
                    <w:tr2bl w:val="nil"/>
                  </w:tcBorders>
                  <w:tcMar>
                    <w:top w:w="15" w:type="dxa"/>
                    <w:left w:w="15" w:type="dxa"/>
                    <w:right w:w="15" w:type="dxa"/>
                  </w:tcMar>
                  <w:vAlign w:val="center"/>
                </w:tcPr>
                <w:p w14:paraId="485BF48B">
                  <w:pPr>
                    <w:pStyle w:val="30"/>
                  </w:pPr>
                  <w:r>
                    <w:t>YK0+577.71</w:t>
                  </w:r>
                </w:p>
              </w:tc>
              <w:tc>
                <w:tcPr>
                  <w:tcW w:w="960" w:type="pct"/>
                  <w:tcBorders>
                    <w:tl2br w:val="nil"/>
                    <w:tr2bl w:val="nil"/>
                  </w:tcBorders>
                  <w:tcMar>
                    <w:top w:w="15" w:type="dxa"/>
                    <w:left w:w="15" w:type="dxa"/>
                    <w:right w:w="15" w:type="dxa"/>
                  </w:tcMar>
                  <w:vAlign w:val="center"/>
                </w:tcPr>
                <w:p w14:paraId="0AC14501">
                  <w:pPr>
                    <w:pStyle w:val="30"/>
                  </w:pPr>
                  <w:r>
                    <w:t>YK0+590.22</w:t>
                  </w:r>
                </w:p>
              </w:tc>
              <w:tc>
                <w:tcPr>
                  <w:tcW w:w="523" w:type="pct"/>
                  <w:tcBorders>
                    <w:tl2br w:val="nil"/>
                    <w:tr2bl w:val="nil"/>
                  </w:tcBorders>
                  <w:tcMar>
                    <w:top w:w="15" w:type="dxa"/>
                    <w:left w:w="15" w:type="dxa"/>
                    <w:right w:w="15" w:type="dxa"/>
                  </w:tcMar>
                  <w:vAlign w:val="center"/>
                </w:tcPr>
                <w:p w14:paraId="3380E166">
                  <w:pPr>
                    <w:pStyle w:val="30"/>
                  </w:pPr>
                  <w:r>
                    <w:rPr>
                      <w:rFonts w:hint="eastAsia"/>
                    </w:rPr>
                    <w:t>12.5</w:t>
                  </w:r>
                </w:p>
              </w:tc>
              <w:tc>
                <w:tcPr>
                  <w:tcW w:w="1526" w:type="pct"/>
                  <w:tcBorders>
                    <w:tl2br w:val="nil"/>
                    <w:tr2bl w:val="nil"/>
                  </w:tcBorders>
                  <w:tcMar>
                    <w:top w:w="15" w:type="dxa"/>
                    <w:left w:w="15" w:type="dxa"/>
                    <w:right w:w="15" w:type="dxa"/>
                  </w:tcMar>
                  <w:vAlign w:val="center"/>
                </w:tcPr>
                <w:p w14:paraId="7253DC12">
                  <w:pPr>
                    <w:pStyle w:val="30"/>
                  </w:pPr>
                  <w:r>
                    <w:t>43kg/m~50kg/m异型轨</w:t>
                  </w:r>
                </w:p>
              </w:tc>
            </w:tr>
            <w:tr w14:paraId="4BE3C3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345" w:type="pct"/>
                  <w:tcBorders>
                    <w:tl2br w:val="nil"/>
                    <w:tr2bl w:val="nil"/>
                  </w:tcBorders>
                  <w:tcMar>
                    <w:top w:w="15" w:type="dxa"/>
                    <w:left w:w="15" w:type="dxa"/>
                    <w:right w:w="15" w:type="dxa"/>
                  </w:tcMar>
                  <w:vAlign w:val="center"/>
                </w:tcPr>
                <w:p w14:paraId="12CF5054">
                  <w:pPr>
                    <w:pStyle w:val="30"/>
                  </w:pPr>
                  <w:r>
                    <w:rPr>
                      <w:rFonts w:hint="eastAsia"/>
                    </w:rPr>
                    <w:t>2</w:t>
                  </w:r>
                </w:p>
              </w:tc>
              <w:tc>
                <w:tcPr>
                  <w:tcW w:w="537" w:type="pct"/>
                  <w:tcBorders>
                    <w:tl2br w:val="nil"/>
                    <w:tr2bl w:val="nil"/>
                  </w:tcBorders>
                  <w:tcMar>
                    <w:top w:w="15" w:type="dxa"/>
                    <w:left w:w="15" w:type="dxa"/>
                    <w:right w:w="15" w:type="dxa"/>
                  </w:tcMar>
                  <w:vAlign w:val="center"/>
                </w:tcPr>
                <w:p w14:paraId="3649689A">
                  <w:pPr>
                    <w:pStyle w:val="30"/>
                  </w:pPr>
                  <w:r>
                    <w:rPr>
                      <w:rFonts w:hint="eastAsia"/>
                    </w:rPr>
                    <w:t>3</w:t>
                  </w:r>
                  <w:r>
                    <w:t>道</w:t>
                  </w:r>
                </w:p>
              </w:tc>
              <w:tc>
                <w:tcPr>
                  <w:tcW w:w="1106" w:type="pct"/>
                  <w:tcBorders>
                    <w:tl2br w:val="nil"/>
                    <w:tr2bl w:val="nil"/>
                  </w:tcBorders>
                  <w:tcMar>
                    <w:top w:w="15" w:type="dxa"/>
                    <w:left w:w="15" w:type="dxa"/>
                    <w:right w:w="15" w:type="dxa"/>
                  </w:tcMar>
                  <w:vAlign w:val="center"/>
                </w:tcPr>
                <w:p w14:paraId="393EBDBA">
                  <w:pPr>
                    <w:pStyle w:val="30"/>
                  </w:pPr>
                  <w:r>
                    <w:t>C</w:t>
                  </w:r>
                  <w:r>
                    <w:rPr>
                      <w:rFonts w:hint="eastAsia"/>
                    </w:rPr>
                    <w:t>3</w:t>
                  </w:r>
                  <w:r>
                    <w:t>K0+542.61</w:t>
                  </w:r>
                </w:p>
              </w:tc>
              <w:tc>
                <w:tcPr>
                  <w:tcW w:w="960" w:type="pct"/>
                  <w:tcBorders>
                    <w:tl2br w:val="nil"/>
                    <w:tr2bl w:val="nil"/>
                  </w:tcBorders>
                  <w:tcMar>
                    <w:top w:w="15" w:type="dxa"/>
                    <w:left w:w="15" w:type="dxa"/>
                    <w:right w:w="15" w:type="dxa"/>
                  </w:tcMar>
                  <w:vAlign w:val="center"/>
                </w:tcPr>
                <w:p w14:paraId="370163FC">
                  <w:pPr>
                    <w:pStyle w:val="30"/>
                  </w:pPr>
                  <w:r>
                    <w:t>C</w:t>
                  </w:r>
                  <w:r>
                    <w:rPr>
                      <w:rFonts w:hint="eastAsia"/>
                    </w:rPr>
                    <w:t>3</w:t>
                  </w:r>
                  <w:r>
                    <w:t>K0+918.00</w:t>
                  </w:r>
                </w:p>
              </w:tc>
              <w:tc>
                <w:tcPr>
                  <w:tcW w:w="523" w:type="pct"/>
                  <w:tcBorders>
                    <w:tl2br w:val="nil"/>
                    <w:tr2bl w:val="nil"/>
                  </w:tcBorders>
                  <w:tcMar>
                    <w:top w:w="15" w:type="dxa"/>
                    <w:left w:w="15" w:type="dxa"/>
                    <w:right w:w="15" w:type="dxa"/>
                  </w:tcMar>
                  <w:vAlign w:val="center"/>
                </w:tcPr>
                <w:p w14:paraId="4B65851A">
                  <w:pPr>
                    <w:pStyle w:val="30"/>
                  </w:pPr>
                  <w:r>
                    <w:rPr>
                      <w:rFonts w:hint="eastAsia"/>
                    </w:rPr>
                    <w:t>375.39</w:t>
                  </w:r>
                </w:p>
              </w:tc>
              <w:tc>
                <w:tcPr>
                  <w:tcW w:w="1526" w:type="pct"/>
                  <w:tcBorders>
                    <w:tl2br w:val="nil"/>
                    <w:tr2bl w:val="nil"/>
                  </w:tcBorders>
                  <w:tcMar>
                    <w:top w:w="15" w:type="dxa"/>
                    <w:left w:w="15" w:type="dxa"/>
                    <w:right w:w="15" w:type="dxa"/>
                  </w:tcMar>
                  <w:vAlign w:val="center"/>
                </w:tcPr>
                <w:p w14:paraId="10B00606">
                  <w:pPr>
                    <w:pStyle w:val="30"/>
                  </w:pPr>
                  <w:r>
                    <w:t>50kg/m钢轨</w:t>
                  </w:r>
                </w:p>
              </w:tc>
            </w:tr>
            <w:tr w14:paraId="77D05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345" w:type="pct"/>
                  <w:tcBorders>
                    <w:tl2br w:val="nil"/>
                    <w:tr2bl w:val="nil"/>
                  </w:tcBorders>
                  <w:tcMar>
                    <w:top w:w="15" w:type="dxa"/>
                    <w:left w:w="15" w:type="dxa"/>
                    <w:right w:w="15" w:type="dxa"/>
                  </w:tcMar>
                  <w:vAlign w:val="center"/>
                </w:tcPr>
                <w:p w14:paraId="7BDF902B">
                  <w:pPr>
                    <w:pStyle w:val="30"/>
                  </w:pPr>
                  <w:r>
                    <w:rPr>
                      <w:rFonts w:hint="eastAsia"/>
                    </w:rPr>
                    <w:t>3</w:t>
                  </w:r>
                </w:p>
              </w:tc>
              <w:tc>
                <w:tcPr>
                  <w:tcW w:w="537" w:type="pct"/>
                  <w:tcBorders>
                    <w:tl2br w:val="nil"/>
                    <w:tr2bl w:val="nil"/>
                  </w:tcBorders>
                  <w:tcMar>
                    <w:top w:w="15" w:type="dxa"/>
                    <w:left w:w="15" w:type="dxa"/>
                    <w:right w:w="15" w:type="dxa"/>
                  </w:tcMar>
                  <w:vAlign w:val="center"/>
                </w:tcPr>
                <w:p w14:paraId="4AAAA93F">
                  <w:pPr>
                    <w:pStyle w:val="30"/>
                  </w:pPr>
                  <w:r>
                    <w:rPr>
                      <w:rFonts w:hint="eastAsia"/>
                    </w:rPr>
                    <w:t>4</w:t>
                  </w:r>
                  <w:r>
                    <w:t>道</w:t>
                  </w:r>
                </w:p>
              </w:tc>
              <w:tc>
                <w:tcPr>
                  <w:tcW w:w="1106" w:type="pct"/>
                  <w:tcBorders>
                    <w:tl2br w:val="nil"/>
                    <w:tr2bl w:val="nil"/>
                  </w:tcBorders>
                  <w:tcMar>
                    <w:top w:w="15" w:type="dxa"/>
                    <w:left w:w="15" w:type="dxa"/>
                    <w:right w:w="15" w:type="dxa"/>
                  </w:tcMar>
                  <w:vAlign w:val="center"/>
                </w:tcPr>
                <w:p w14:paraId="102BB7D2">
                  <w:pPr>
                    <w:pStyle w:val="30"/>
                  </w:pPr>
                  <w:r>
                    <w:t>C</w:t>
                  </w:r>
                  <w:r>
                    <w:rPr>
                      <w:rFonts w:hint="eastAsia"/>
                    </w:rPr>
                    <w:t>4</w:t>
                  </w:r>
                  <w:r>
                    <w:t>K0+577.71</w:t>
                  </w:r>
                </w:p>
              </w:tc>
              <w:tc>
                <w:tcPr>
                  <w:tcW w:w="960" w:type="pct"/>
                  <w:tcBorders>
                    <w:tl2br w:val="nil"/>
                    <w:tr2bl w:val="nil"/>
                  </w:tcBorders>
                  <w:tcMar>
                    <w:top w:w="15" w:type="dxa"/>
                    <w:left w:w="15" w:type="dxa"/>
                    <w:right w:w="15" w:type="dxa"/>
                  </w:tcMar>
                  <w:vAlign w:val="center"/>
                </w:tcPr>
                <w:p w14:paraId="7837B646">
                  <w:pPr>
                    <w:pStyle w:val="30"/>
                  </w:pPr>
                  <w:r>
                    <w:t>C</w:t>
                  </w:r>
                  <w:r>
                    <w:rPr>
                      <w:rFonts w:hint="eastAsia"/>
                    </w:rPr>
                    <w:t>4</w:t>
                  </w:r>
                  <w:r>
                    <w:t>K1+121.00</w:t>
                  </w:r>
                </w:p>
              </w:tc>
              <w:tc>
                <w:tcPr>
                  <w:tcW w:w="523" w:type="pct"/>
                  <w:tcBorders>
                    <w:tl2br w:val="nil"/>
                    <w:tr2bl w:val="nil"/>
                  </w:tcBorders>
                  <w:tcMar>
                    <w:top w:w="15" w:type="dxa"/>
                    <w:left w:w="15" w:type="dxa"/>
                    <w:right w:w="15" w:type="dxa"/>
                  </w:tcMar>
                  <w:vAlign w:val="center"/>
                </w:tcPr>
                <w:p w14:paraId="0C58841C">
                  <w:pPr>
                    <w:pStyle w:val="30"/>
                  </w:pPr>
                  <w:r>
                    <w:rPr>
                      <w:rFonts w:hint="eastAsia"/>
                    </w:rPr>
                    <w:t>543.29</w:t>
                  </w:r>
                </w:p>
              </w:tc>
              <w:tc>
                <w:tcPr>
                  <w:tcW w:w="1526" w:type="pct"/>
                  <w:tcBorders>
                    <w:tl2br w:val="nil"/>
                    <w:tr2bl w:val="nil"/>
                  </w:tcBorders>
                  <w:tcMar>
                    <w:top w:w="15" w:type="dxa"/>
                    <w:left w:w="15" w:type="dxa"/>
                    <w:right w:w="15" w:type="dxa"/>
                  </w:tcMar>
                  <w:vAlign w:val="center"/>
                </w:tcPr>
                <w:p w14:paraId="3AD0D035">
                  <w:pPr>
                    <w:pStyle w:val="30"/>
                  </w:pPr>
                  <w:r>
                    <w:t>50kg/m钢轨</w:t>
                  </w:r>
                </w:p>
              </w:tc>
            </w:tr>
            <w:tr w14:paraId="1150D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2949" w:type="pct"/>
                  <w:gridSpan w:val="4"/>
                  <w:tcBorders>
                    <w:tl2br w:val="nil"/>
                    <w:tr2bl w:val="nil"/>
                  </w:tcBorders>
                  <w:tcMar>
                    <w:top w:w="15" w:type="dxa"/>
                    <w:left w:w="15" w:type="dxa"/>
                    <w:right w:w="15" w:type="dxa"/>
                  </w:tcMar>
                  <w:vAlign w:val="center"/>
                </w:tcPr>
                <w:p w14:paraId="0EB0DFFD">
                  <w:pPr>
                    <w:pStyle w:val="30"/>
                  </w:pPr>
                  <w:r>
                    <w:t>合计</w:t>
                  </w:r>
                </w:p>
              </w:tc>
              <w:tc>
                <w:tcPr>
                  <w:tcW w:w="523" w:type="pct"/>
                  <w:tcBorders>
                    <w:tl2br w:val="nil"/>
                    <w:tr2bl w:val="nil"/>
                  </w:tcBorders>
                  <w:tcMar>
                    <w:top w:w="15" w:type="dxa"/>
                    <w:left w:w="15" w:type="dxa"/>
                    <w:right w:w="15" w:type="dxa"/>
                  </w:tcMar>
                  <w:vAlign w:val="center"/>
                </w:tcPr>
                <w:p w14:paraId="328DB25F">
                  <w:pPr>
                    <w:pStyle w:val="30"/>
                  </w:pPr>
                  <w:r>
                    <w:t>949.93</w:t>
                  </w:r>
                </w:p>
              </w:tc>
              <w:tc>
                <w:tcPr>
                  <w:tcW w:w="1526" w:type="pct"/>
                  <w:tcBorders>
                    <w:tl2br w:val="nil"/>
                    <w:tr2bl w:val="nil"/>
                  </w:tcBorders>
                  <w:tcMar>
                    <w:top w:w="15" w:type="dxa"/>
                    <w:left w:w="15" w:type="dxa"/>
                    <w:right w:w="15" w:type="dxa"/>
                  </w:tcMar>
                  <w:vAlign w:val="center"/>
                </w:tcPr>
                <w:p w14:paraId="0100A89A">
                  <w:pPr>
                    <w:pStyle w:val="30"/>
                  </w:pPr>
                </w:p>
              </w:tc>
            </w:tr>
          </w:tbl>
          <w:p w14:paraId="6562E632">
            <w:pPr>
              <w:ind w:firstLine="480"/>
            </w:pPr>
            <w:r>
              <w:rPr>
                <w:rFonts w:hint="eastAsia"/>
              </w:rPr>
              <w:t>（4）</w:t>
            </w:r>
            <w:r>
              <w:t>更换轨枕</w:t>
            </w:r>
          </w:p>
          <w:p w14:paraId="1E260896">
            <w:pPr>
              <w:ind w:firstLine="480"/>
            </w:pPr>
            <w:r>
              <w:t>新铺线路范围内将既有混凝土轨枕更换为新Ⅱ型混凝土枕，直线地段轨枕根数按照1600根/km配置，半径小于300m的地段铺设小半径曲线用混凝土轨枕。轨枕更换位置及数量见表</w:t>
            </w:r>
            <w:r>
              <w:rPr>
                <w:rFonts w:hint="eastAsia"/>
              </w:rPr>
              <w:t>2-5。</w:t>
            </w:r>
          </w:p>
          <w:p w14:paraId="34241A64">
            <w:pPr>
              <w:pStyle w:val="33"/>
            </w:pPr>
            <w:r>
              <w:rPr>
                <w:rFonts w:hint="eastAsia"/>
              </w:rPr>
              <w:t>表2-5 轨枕更换位置及数量表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59"/>
              <w:gridCol w:w="616"/>
              <w:gridCol w:w="1288"/>
              <w:gridCol w:w="1304"/>
              <w:gridCol w:w="586"/>
              <w:gridCol w:w="776"/>
              <w:gridCol w:w="639"/>
              <w:gridCol w:w="1643"/>
            </w:tblGrid>
            <w:tr w14:paraId="75C675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12" w:hRule="exact"/>
                <w:jc w:val="center"/>
              </w:trPr>
              <w:tc>
                <w:tcPr>
                  <w:tcW w:w="249" w:type="pct"/>
                  <w:tcBorders>
                    <w:tl2br w:val="nil"/>
                    <w:tr2bl w:val="nil"/>
                  </w:tcBorders>
                  <w:tcMar>
                    <w:top w:w="15" w:type="dxa"/>
                    <w:left w:w="15" w:type="dxa"/>
                    <w:right w:w="15" w:type="dxa"/>
                  </w:tcMar>
                  <w:vAlign w:val="center"/>
                </w:tcPr>
                <w:p w14:paraId="68153522">
                  <w:pPr>
                    <w:pStyle w:val="30"/>
                  </w:pPr>
                  <w:r>
                    <w:t>顺序</w:t>
                  </w:r>
                </w:p>
              </w:tc>
              <w:tc>
                <w:tcPr>
                  <w:tcW w:w="426" w:type="pct"/>
                  <w:tcBorders>
                    <w:tl2br w:val="nil"/>
                    <w:tr2bl w:val="nil"/>
                  </w:tcBorders>
                  <w:tcMar>
                    <w:top w:w="15" w:type="dxa"/>
                    <w:left w:w="15" w:type="dxa"/>
                    <w:right w:w="15" w:type="dxa"/>
                  </w:tcMar>
                  <w:vAlign w:val="center"/>
                </w:tcPr>
                <w:p w14:paraId="10A44C25">
                  <w:pPr>
                    <w:pStyle w:val="30"/>
                  </w:pPr>
                  <w:r>
                    <w:rPr>
                      <w:rFonts w:hint="eastAsia"/>
                    </w:rPr>
                    <w:t>股道</w:t>
                  </w:r>
                </w:p>
              </w:tc>
              <w:tc>
                <w:tcPr>
                  <w:tcW w:w="893" w:type="pct"/>
                  <w:tcBorders>
                    <w:tl2br w:val="nil"/>
                    <w:tr2bl w:val="nil"/>
                  </w:tcBorders>
                  <w:tcMar>
                    <w:top w:w="15" w:type="dxa"/>
                    <w:left w:w="15" w:type="dxa"/>
                    <w:right w:w="15" w:type="dxa"/>
                  </w:tcMar>
                  <w:vAlign w:val="center"/>
                </w:tcPr>
                <w:p w14:paraId="0A09E569">
                  <w:pPr>
                    <w:pStyle w:val="30"/>
                  </w:pPr>
                  <w:r>
                    <w:t>起点里程</w:t>
                  </w:r>
                </w:p>
              </w:tc>
              <w:tc>
                <w:tcPr>
                  <w:tcW w:w="904" w:type="pct"/>
                  <w:tcBorders>
                    <w:tl2br w:val="nil"/>
                    <w:tr2bl w:val="nil"/>
                  </w:tcBorders>
                  <w:tcMar>
                    <w:top w:w="15" w:type="dxa"/>
                    <w:left w:w="15" w:type="dxa"/>
                    <w:right w:w="15" w:type="dxa"/>
                  </w:tcMar>
                  <w:vAlign w:val="center"/>
                </w:tcPr>
                <w:p w14:paraId="38B2A8F0">
                  <w:pPr>
                    <w:pStyle w:val="30"/>
                  </w:pPr>
                  <w:r>
                    <w:t>终点里程</w:t>
                  </w:r>
                </w:p>
              </w:tc>
              <w:tc>
                <w:tcPr>
                  <w:tcW w:w="406" w:type="pct"/>
                  <w:tcBorders>
                    <w:tl2br w:val="nil"/>
                    <w:tr2bl w:val="nil"/>
                  </w:tcBorders>
                  <w:tcMar>
                    <w:top w:w="15" w:type="dxa"/>
                    <w:left w:w="15" w:type="dxa"/>
                    <w:right w:w="15" w:type="dxa"/>
                  </w:tcMar>
                  <w:vAlign w:val="center"/>
                </w:tcPr>
                <w:p w14:paraId="3907D714">
                  <w:pPr>
                    <w:pStyle w:val="30"/>
                  </w:pPr>
                  <w:r>
                    <w:t>延长</w:t>
                  </w:r>
                </w:p>
                <w:p w14:paraId="7CD2F693">
                  <w:pPr>
                    <w:pStyle w:val="30"/>
                  </w:pPr>
                  <w:r>
                    <w:t>公里</w:t>
                  </w:r>
                </w:p>
              </w:tc>
              <w:tc>
                <w:tcPr>
                  <w:tcW w:w="538" w:type="pct"/>
                  <w:tcBorders>
                    <w:tl2br w:val="nil"/>
                    <w:tr2bl w:val="nil"/>
                  </w:tcBorders>
                  <w:tcMar>
                    <w:top w:w="15" w:type="dxa"/>
                    <w:left w:w="15" w:type="dxa"/>
                    <w:right w:w="15" w:type="dxa"/>
                  </w:tcMar>
                  <w:vAlign w:val="center"/>
                </w:tcPr>
                <w:p w14:paraId="444A5D36">
                  <w:pPr>
                    <w:pStyle w:val="30"/>
                  </w:pPr>
                  <w:r>
                    <w:t>每公里</w:t>
                  </w:r>
                </w:p>
                <w:p w14:paraId="73E6CB89">
                  <w:pPr>
                    <w:pStyle w:val="30"/>
                  </w:pPr>
                  <w:r>
                    <w:t>配置</w:t>
                  </w:r>
                  <w:r>
                    <w:br w:type="textWrapping"/>
                  </w:r>
                  <w:r>
                    <w:t>（根/km）</w:t>
                  </w:r>
                </w:p>
              </w:tc>
              <w:tc>
                <w:tcPr>
                  <w:tcW w:w="443" w:type="pct"/>
                  <w:tcBorders>
                    <w:tl2br w:val="nil"/>
                    <w:tr2bl w:val="nil"/>
                  </w:tcBorders>
                  <w:tcMar>
                    <w:top w:w="15" w:type="dxa"/>
                    <w:left w:w="15" w:type="dxa"/>
                    <w:right w:w="15" w:type="dxa"/>
                  </w:tcMar>
                  <w:vAlign w:val="center"/>
                </w:tcPr>
                <w:p w14:paraId="781B4EB0">
                  <w:pPr>
                    <w:pStyle w:val="30"/>
                  </w:pPr>
                  <w:r>
                    <w:t>数 量（根）</w:t>
                  </w:r>
                </w:p>
              </w:tc>
              <w:tc>
                <w:tcPr>
                  <w:tcW w:w="1138" w:type="pct"/>
                  <w:tcBorders>
                    <w:tl2br w:val="nil"/>
                    <w:tr2bl w:val="nil"/>
                  </w:tcBorders>
                  <w:tcMar>
                    <w:top w:w="15" w:type="dxa"/>
                    <w:left w:w="15" w:type="dxa"/>
                    <w:right w:w="15" w:type="dxa"/>
                  </w:tcMar>
                  <w:vAlign w:val="center"/>
                </w:tcPr>
                <w:p w14:paraId="4AA6A2F5">
                  <w:pPr>
                    <w:pStyle w:val="30"/>
                  </w:pPr>
                  <w:r>
                    <w:t>附     注</w:t>
                  </w:r>
                </w:p>
              </w:tc>
            </w:tr>
            <w:tr w14:paraId="20FD40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exact"/>
                <w:jc w:val="center"/>
              </w:trPr>
              <w:tc>
                <w:tcPr>
                  <w:tcW w:w="249" w:type="pct"/>
                  <w:vMerge w:val="restart"/>
                  <w:tcBorders>
                    <w:tl2br w:val="nil"/>
                    <w:tr2bl w:val="nil"/>
                  </w:tcBorders>
                  <w:tcMar>
                    <w:top w:w="15" w:type="dxa"/>
                    <w:left w:w="15" w:type="dxa"/>
                    <w:right w:w="15" w:type="dxa"/>
                  </w:tcMar>
                  <w:vAlign w:val="center"/>
                </w:tcPr>
                <w:p w14:paraId="59A71F00">
                  <w:pPr>
                    <w:pStyle w:val="30"/>
                  </w:pPr>
                  <w:r>
                    <w:t>1</w:t>
                  </w:r>
                </w:p>
              </w:tc>
              <w:tc>
                <w:tcPr>
                  <w:tcW w:w="426" w:type="pct"/>
                  <w:vMerge w:val="restart"/>
                  <w:tcBorders>
                    <w:tl2br w:val="nil"/>
                    <w:tr2bl w:val="nil"/>
                  </w:tcBorders>
                  <w:tcMar>
                    <w:top w:w="15" w:type="dxa"/>
                    <w:left w:w="15" w:type="dxa"/>
                    <w:right w:w="15" w:type="dxa"/>
                  </w:tcMar>
                  <w:vAlign w:val="center"/>
                </w:tcPr>
                <w:p w14:paraId="7B5D206F">
                  <w:pPr>
                    <w:pStyle w:val="30"/>
                  </w:pPr>
                  <w:r>
                    <w:rPr>
                      <w:rFonts w:hint="eastAsia"/>
                    </w:rPr>
                    <w:t>走行线</w:t>
                  </w:r>
                </w:p>
              </w:tc>
              <w:tc>
                <w:tcPr>
                  <w:tcW w:w="893" w:type="pct"/>
                  <w:tcBorders>
                    <w:tl2br w:val="nil"/>
                    <w:tr2bl w:val="nil"/>
                  </w:tcBorders>
                  <w:tcMar>
                    <w:top w:w="15" w:type="dxa"/>
                    <w:left w:w="15" w:type="dxa"/>
                    <w:right w:w="15" w:type="dxa"/>
                  </w:tcMar>
                  <w:vAlign w:val="center"/>
                </w:tcPr>
                <w:p w14:paraId="3EB22F92">
                  <w:pPr>
                    <w:pStyle w:val="30"/>
                  </w:pPr>
                  <w:r>
                    <w:t>YK0+501.25</w:t>
                  </w:r>
                </w:p>
              </w:tc>
              <w:tc>
                <w:tcPr>
                  <w:tcW w:w="904" w:type="pct"/>
                  <w:tcBorders>
                    <w:tl2br w:val="nil"/>
                    <w:tr2bl w:val="nil"/>
                  </w:tcBorders>
                  <w:tcMar>
                    <w:top w:w="15" w:type="dxa"/>
                    <w:left w:w="15" w:type="dxa"/>
                    <w:right w:w="15" w:type="dxa"/>
                  </w:tcMar>
                  <w:vAlign w:val="center"/>
                </w:tcPr>
                <w:p w14:paraId="54D7C795">
                  <w:pPr>
                    <w:pStyle w:val="30"/>
                  </w:pPr>
                  <w:r>
                    <w:t>YK0+513.76</w:t>
                  </w:r>
                </w:p>
              </w:tc>
              <w:tc>
                <w:tcPr>
                  <w:tcW w:w="406" w:type="pct"/>
                  <w:tcBorders>
                    <w:tl2br w:val="nil"/>
                    <w:tr2bl w:val="nil"/>
                  </w:tcBorders>
                  <w:tcMar>
                    <w:top w:w="15" w:type="dxa"/>
                    <w:left w:w="15" w:type="dxa"/>
                    <w:right w:w="15" w:type="dxa"/>
                  </w:tcMar>
                  <w:vAlign w:val="center"/>
                </w:tcPr>
                <w:p w14:paraId="75108D45">
                  <w:pPr>
                    <w:pStyle w:val="30"/>
                  </w:pPr>
                  <w:r>
                    <w:t>0.013</w:t>
                  </w:r>
                </w:p>
              </w:tc>
              <w:tc>
                <w:tcPr>
                  <w:tcW w:w="538" w:type="pct"/>
                  <w:tcBorders>
                    <w:tl2br w:val="nil"/>
                    <w:tr2bl w:val="nil"/>
                  </w:tcBorders>
                  <w:tcMar>
                    <w:top w:w="15" w:type="dxa"/>
                    <w:left w:w="15" w:type="dxa"/>
                    <w:right w:w="15" w:type="dxa"/>
                  </w:tcMar>
                  <w:vAlign w:val="center"/>
                </w:tcPr>
                <w:p w14:paraId="170890B9">
                  <w:pPr>
                    <w:pStyle w:val="30"/>
                  </w:pPr>
                  <w:r>
                    <w:rPr>
                      <w:rFonts w:hint="eastAsia"/>
                    </w:rPr>
                    <w:t>1680</w:t>
                  </w:r>
                </w:p>
              </w:tc>
              <w:tc>
                <w:tcPr>
                  <w:tcW w:w="443" w:type="pct"/>
                  <w:tcBorders>
                    <w:tl2br w:val="nil"/>
                    <w:tr2bl w:val="nil"/>
                  </w:tcBorders>
                  <w:tcMar>
                    <w:top w:w="15" w:type="dxa"/>
                    <w:left w:w="15" w:type="dxa"/>
                    <w:right w:w="15" w:type="dxa"/>
                  </w:tcMar>
                  <w:vAlign w:val="center"/>
                </w:tcPr>
                <w:p w14:paraId="3EA4B80A">
                  <w:pPr>
                    <w:pStyle w:val="30"/>
                  </w:pPr>
                  <w:r>
                    <w:rPr>
                      <w:rFonts w:hint="eastAsia"/>
                    </w:rPr>
                    <w:t>21</w:t>
                  </w:r>
                </w:p>
              </w:tc>
              <w:tc>
                <w:tcPr>
                  <w:tcW w:w="1138" w:type="pct"/>
                  <w:tcBorders>
                    <w:tl2br w:val="nil"/>
                    <w:tr2bl w:val="nil"/>
                  </w:tcBorders>
                  <w:tcMar>
                    <w:top w:w="15" w:type="dxa"/>
                    <w:left w:w="15" w:type="dxa"/>
                    <w:right w:w="15" w:type="dxa"/>
                  </w:tcMar>
                  <w:vAlign w:val="center"/>
                </w:tcPr>
                <w:p w14:paraId="50351F43">
                  <w:pPr>
                    <w:pStyle w:val="30"/>
                  </w:pPr>
                  <w:r>
                    <w:t>新Ⅱ型混凝土枕</w:t>
                  </w:r>
                </w:p>
              </w:tc>
            </w:tr>
            <w:tr w14:paraId="7025C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jc w:val="center"/>
              </w:trPr>
              <w:tc>
                <w:tcPr>
                  <w:tcW w:w="249" w:type="pct"/>
                  <w:vMerge w:val="continue"/>
                  <w:tcBorders>
                    <w:tl2br w:val="nil"/>
                    <w:tr2bl w:val="nil"/>
                  </w:tcBorders>
                  <w:tcMar>
                    <w:top w:w="15" w:type="dxa"/>
                    <w:left w:w="15" w:type="dxa"/>
                    <w:right w:w="15" w:type="dxa"/>
                  </w:tcMar>
                  <w:vAlign w:val="center"/>
                </w:tcPr>
                <w:p w14:paraId="2E8F3673">
                  <w:pPr>
                    <w:pStyle w:val="30"/>
                  </w:pPr>
                </w:p>
              </w:tc>
              <w:tc>
                <w:tcPr>
                  <w:tcW w:w="426" w:type="pct"/>
                  <w:vMerge w:val="continue"/>
                  <w:tcBorders>
                    <w:tl2br w:val="nil"/>
                    <w:tr2bl w:val="nil"/>
                  </w:tcBorders>
                  <w:tcMar>
                    <w:top w:w="15" w:type="dxa"/>
                    <w:left w:w="15" w:type="dxa"/>
                    <w:right w:w="15" w:type="dxa"/>
                  </w:tcMar>
                  <w:vAlign w:val="center"/>
                </w:tcPr>
                <w:p w14:paraId="472899B1">
                  <w:pPr>
                    <w:pStyle w:val="30"/>
                  </w:pPr>
                </w:p>
              </w:tc>
              <w:tc>
                <w:tcPr>
                  <w:tcW w:w="893" w:type="pct"/>
                  <w:tcBorders>
                    <w:tl2br w:val="nil"/>
                    <w:tr2bl w:val="nil"/>
                  </w:tcBorders>
                  <w:tcMar>
                    <w:top w:w="15" w:type="dxa"/>
                    <w:left w:w="15" w:type="dxa"/>
                    <w:right w:w="15" w:type="dxa"/>
                  </w:tcMar>
                  <w:vAlign w:val="center"/>
                </w:tcPr>
                <w:p w14:paraId="7B9CF2D0">
                  <w:pPr>
                    <w:pStyle w:val="30"/>
                  </w:pPr>
                  <w:r>
                    <w:t>YK0+542.61</w:t>
                  </w:r>
                </w:p>
              </w:tc>
              <w:tc>
                <w:tcPr>
                  <w:tcW w:w="904" w:type="pct"/>
                  <w:tcBorders>
                    <w:tl2br w:val="nil"/>
                    <w:tr2bl w:val="nil"/>
                  </w:tcBorders>
                  <w:tcMar>
                    <w:top w:w="15" w:type="dxa"/>
                    <w:left w:w="15" w:type="dxa"/>
                    <w:right w:w="15" w:type="dxa"/>
                  </w:tcMar>
                  <w:vAlign w:val="center"/>
                </w:tcPr>
                <w:p w14:paraId="4F1C1BC2">
                  <w:pPr>
                    <w:pStyle w:val="30"/>
                  </w:pPr>
                  <w:r>
                    <w:t>YK0+548.86</w:t>
                  </w:r>
                </w:p>
              </w:tc>
              <w:tc>
                <w:tcPr>
                  <w:tcW w:w="406" w:type="pct"/>
                  <w:tcBorders>
                    <w:tl2br w:val="nil"/>
                    <w:tr2bl w:val="nil"/>
                  </w:tcBorders>
                  <w:tcMar>
                    <w:top w:w="15" w:type="dxa"/>
                    <w:left w:w="15" w:type="dxa"/>
                    <w:right w:w="15" w:type="dxa"/>
                  </w:tcMar>
                  <w:vAlign w:val="center"/>
                </w:tcPr>
                <w:p w14:paraId="0461C79C">
                  <w:pPr>
                    <w:pStyle w:val="30"/>
                  </w:pPr>
                  <w:r>
                    <w:t>0.</w:t>
                  </w:r>
                  <w:r>
                    <w:rPr>
                      <w:rFonts w:hint="eastAsia"/>
                    </w:rPr>
                    <w:t>006</w:t>
                  </w:r>
                </w:p>
              </w:tc>
              <w:tc>
                <w:tcPr>
                  <w:tcW w:w="538" w:type="pct"/>
                  <w:tcBorders>
                    <w:tl2br w:val="nil"/>
                    <w:tr2bl w:val="nil"/>
                  </w:tcBorders>
                  <w:tcMar>
                    <w:top w:w="15" w:type="dxa"/>
                    <w:left w:w="15" w:type="dxa"/>
                    <w:right w:w="15" w:type="dxa"/>
                  </w:tcMar>
                  <w:vAlign w:val="center"/>
                </w:tcPr>
                <w:p w14:paraId="36334EE4">
                  <w:pPr>
                    <w:pStyle w:val="30"/>
                  </w:pPr>
                </w:p>
              </w:tc>
              <w:tc>
                <w:tcPr>
                  <w:tcW w:w="443" w:type="pct"/>
                  <w:tcBorders>
                    <w:tl2br w:val="nil"/>
                    <w:tr2bl w:val="nil"/>
                  </w:tcBorders>
                  <w:tcMar>
                    <w:top w:w="15" w:type="dxa"/>
                    <w:left w:w="15" w:type="dxa"/>
                    <w:right w:w="15" w:type="dxa"/>
                  </w:tcMar>
                  <w:vAlign w:val="center"/>
                </w:tcPr>
                <w:p w14:paraId="6966428A">
                  <w:pPr>
                    <w:pStyle w:val="30"/>
                  </w:pPr>
                </w:p>
              </w:tc>
              <w:tc>
                <w:tcPr>
                  <w:tcW w:w="1138" w:type="pct"/>
                  <w:tcBorders>
                    <w:tl2br w:val="nil"/>
                    <w:tr2bl w:val="nil"/>
                  </w:tcBorders>
                  <w:tcMar>
                    <w:top w:w="15" w:type="dxa"/>
                    <w:left w:w="15" w:type="dxa"/>
                    <w:right w:w="15" w:type="dxa"/>
                  </w:tcMar>
                  <w:vAlign w:val="center"/>
                </w:tcPr>
                <w:p w14:paraId="13138D70">
                  <w:pPr>
                    <w:pStyle w:val="30"/>
                  </w:pPr>
                  <w:r>
                    <w:rPr>
                      <w:rFonts w:hint="eastAsia"/>
                    </w:rPr>
                    <w:t>岔枕</w:t>
                  </w:r>
                </w:p>
              </w:tc>
            </w:tr>
            <w:tr w14:paraId="5DBF40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jc w:val="center"/>
              </w:trPr>
              <w:tc>
                <w:tcPr>
                  <w:tcW w:w="249" w:type="pct"/>
                  <w:vMerge w:val="continue"/>
                  <w:tcBorders>
                    <w:tl2br w:val="nil"/>
                    <w:tr2bl w:val="nil"/>
                  </w:tcBorders>
                  <w:tcMar>
                    <w:top w:w="15" w:type="dxa"/>
                    <w:left w:w="15" w:type="dxa"/>
                    <w:right w:w="15" w:type="dxa"/>
                  </w:tcMar>
                  <w:vAlign w:val="center"/>
                </w:tcPr>
                <w:p w14:paraId="74F6B7A5">
                  <w:pPr>
                    <w:pStyle w:val="30"/>
                  </w:pPr>
                </w:p>
              </w:tc>
              <w:tc>
                <w:tcPr>
                  <w:tcW w:w="426" w:type="pct"/>
                  <w:vMerge w:val="continue"/>
                  <w:tcBorders>
                    <w:tl2br w:val="nil"/>
                    <w:tr2bl w:val="nil"/>
                  </w:tcBorders>
                  <w:tcMar>
                    <w:top w:w="15" w:type="dxa"/>
                    <w:left w:w="15" w:type="dxa"/>
                    <w:right w:w="15" w:type="dxa"/>
                  </w:tcMar>
                  <w:vAlign w:val="center"/>
                </w:tcPr>
                <w:p w14:paraId="37F03CA3">
                  <w:pPr>
                    <w:pStyle w:val="30"/>
                  </w:pPr>
                </w:p>
              </w:tc>
              <w:tc>
                <w:tcPr>
                  <w:tcW w:w="893" w:type="pct"/>
                  <w:tcBorders>
                    <w:tl2br w:val="nil"/>
                    <w:tr2bl w:val="nil"/>
                  </w:tcBorders>
                  <w:tcMar>
                    <w:top w:w="15" w:type="dxa"/>
                    <w:left w:w="15" w:type="dxa"/>
                    <w:right w:w="15" w:type="dxa"/>
                  </w:tcMar>
                  <w:vAlign w:val="center"/>
                </w:tcPr>
                <w:p w14:paraId="16531142">
                  <w:pPr>
                    <w:pStyle w:val="30"/>
                  </w:pPr>
                  <w:r>
                    <w:t>YK0+577.71</w:t>
                  </w:r>
                </w:p>
              </w:tc>
              <w:tc>
                <w:tcPr>
                  <w:tcW w:w="904" w:type="pct"/>
                  <w:tcBorders>
                    <w:tl2br w:val="nil"/>
                    <w:tr2bl w:val="nil"/>
                  </w:tcBorders>
                  <w:tcMar>
                    <w:top w:w="15" w:type="dxa"/>
                    <w:left w:w="15" w:type="dxa"/>
                    <w:right w:w="15" w:type="dxa"/>
                  </w:tcMar>
                  <w:vAlign w:val="center"/>
                </w:tcPr>
                <w:p w14:paraId="0BC9D4DD">
                  <w:pPr>
                    <w:pStyle w:val="30"/>
                  </w:pPr>
                  <w:r>
                    <w:t>YK0+585.81</w:t>
                  </w:r>
                </w:p>
              </w:tc>
              <w:tc>
                <w:tcPr>
                  <w:tcW w:w="406" w:type="pct"/>
                  <w:tcBorders>
                    <w:tl2br w:val="nil"/>
                    <w:tr2bl w:val="nil"/>
                  </w:tcBorders>
                  <w:tcMar>
                    <w:top w:w="15" w:type="dxa"/>
                    <w:left w:w="15" w:type="dxa"/>
                    <w:right w:w="15" w:type="dxa"/>
                  </w:tcMar>
                  <w:vAlign w:val="center"/>
                </w:tcPr>
                <w:p w14:paraId="58F7EB7D">
                  <w:pPr>
                    <w:pStyle w:val="30"/>
                  </w:pPr>
                  <w:r>
                    <w:t>0.</w:t>
                  </w:r>
                  <w:r>
                    <w:rPr>
                      <w:rFonts w:hint="eastAsia"/>
                    </w:rPr>
                    <w:t>008</w:t>
                  </w:r>
                </w:p>
              </w:tc>
              <w:tc>
                <w:tcPr>
                  <w:tcW w:w="538" w:type="pct"/>
                  <w:tcBorders>
                    <w:tl2br w:val="nil"/>
                    <w:tr2bl w:val="nil"/>
                  </w:tcBorders>
                  <w:tcMar>
                    <w:top w:w="15" w:type="dxa"/>
                    <w:left w:w="15" w:type="dxa"/>
                    <w:right w:w="15" w:type="dxa"/>
                  </w:tcMar>
                  <w:vAlign w:val="center"/>
                </w:tcPr>
                <w:p w14:paraId="3A120602">
                  <w:pPr>
                    <w:pStyle w:val="30"/>
                  </w:pPr>
                </w:p>
              </w:tc>
              <w:tc>
                <w:tcPr>
                  <w:tcW w:w="443" w:type="pct"/>
                  <w:tcBorders>
                    <w:tl2br w:val="nil"/>
                    <w:tr2bl w:val="nil"/>
                  </w:tcBorders>
                  <w:tcMar>
                    <w:top w:w="15" w:type="dxa"/>
                    <w:left w:w="15" w:type="dxa"/>
                    <w:right w:w="15" w:type="dxa"/>
                  </w:tcMar>
                  <w:vAlign w:val="center"/>
                </w:tcPr>
                <w:p w14:paraId="607D4E45">
                  <w:pPr>
                    <w:pStyle w:val="30"/>
                  </w:pPr>
                </w:p>
              </w:tc>
              <w:tc>
                <w:tcPr>
                  <w:tcW w:w="1138" w:type="pct"/>
                  <w:tcBorders>
                    <w:tl2br w:val="nil"/>
                    <w:tr2bl w:val="nil"/>
                  </w:tcBorders>
                  <w:tcMar>
                    <w:top w:w="15" w:type="dxa"/>
                    <w:left w:w="15" w:type="dxa"/>
                    <w:right w:w="15" w:type="dxa"/>
                  </w:tcMar>
                  <w:vAlign w:val="center"/>
                </w:tcPr>
                <w:p w14:paraId="42309B36">
                  <w:pPr>
                    <w:pStyle w:val="30"/>
                  </w:pPr>
                  <w:r>
                    <w:rPr>
                      <w:rFonts w:hint="eastAsia"/>
                    </w:rPr>
                    <w:t>岔枕</w:t>
                  </w:r>
                </w:p>
              </w:tc>
            </w:tr>
            <w:tr w14:paraId="03B41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jc w:val="center"/>
              </w:trPr>
              <w:tc>
                <w:tcPr>
                  <w:tcW w:w="249" w:type="pct"/>
                  <w:vMerge w:val="continue"/>
                  <w:tcBorders>
                    <w:tl2br w:val="nil"/>
                    <w:tr2bl w:val="nil"/>
                  </w:tcBorders>
                  <w:tcMar>
                    <w:top w:w="15" w:type="dxa"/>
                    <w:left w:w="15" w:type="dxa"/>
                    <w:right w:w="15" w:type="dxa"/>
                  </w:tcMar>
                  <w:vAlign w:val="center"/>
                </w:tcPr>
                <w:p w14:paraId="0D29D967">
                  <w:pPr>
                    <w:pStyle w:val="30"/>
                  </w:pPr>
                </w:p>
              </w:tc>
              <w:tc>
                <w:tcPr>
                  <w:tcW w:w="426" w:type="pct"/>
                  <w:vMerge w:val="continue"/>
                  <w:tcBorders>
                    <w:tl2br w:val="nil"/>
                    <w:tr2bl w:val="nil"/>
                  </w:tcBorders>
                  <w:tcMar>
                    <w:top w:w="15" w:type="dxa"/>
                    <w:left w:w="15" w:type="dxa"/>
                    <w:right w:w="15" w:type="dxa"/>
                  </w:tcMar>
                  <w:vAlign w:val="center"/>
                </w:tcPr>
                <w:p w14:paraId="19860515">
                  <w:pPr>
                    <w:pStyle w:val="30"/>
                  </w:pPr>
                </w:p>
              </w:tc>
              <w:tc>
                <w:tcPr>
                  <w:tcW w:w="893" w:type="pct"/>
                  <w:tcBorders>
                    <w:tl2br w:val="nil"/>
                    <w:tr2bl w:val="nil"/>
                  </w:tcBorders>
                  <w:tcMar>
                    <w:top w:w="15" w:type="dxa"/>
                    <w:left w:w="15" w:type="dxa"/>
                    <w:right w:w="15" w:type="dxa"/>
                  </w:tcMar>
                  <w:vAlign w:val="center"/>
                </w:tcPr>
                <w:p w14:paraId="457DC71A">
                  <w:pPr>
                    <w:pStyle w:val="30"/>
                  </w:pPr>
                  <w:r>
                    <w:t>YK0+585.81</w:t>
                  </w:r>
                </w:p>
              </w:tc>
              <w:tc>
                <w:tcPr>
                  <w:tcW w:w="904" w:type="pct"/>
                  <w:tcBorders>
                    <w:tl2br w:val="nil"/>
                    <w:tr2bl w:val="nil"/>
                  </w:tcBorders>
                  <w:tcMar>
                    <w:top w:w="15" w:type="dxa"/>
                    <w:left w:w="15" w:type="dxa"/>
                    <w:right w:w="15" w:type="dxa"/>
                  </w:tcMar>
                  <w:vAlign w:val="center"/>
                </w:tcPr>
                <w:p w14:paraId="054C0D6F">
                  <w:pPr>
                    <w:pStyle w:val="30"/>
                  </w:pPr>
                  <w:r>
                    <w:t>YK0+590.22</w:t>
                  </w:r>
                </w:p>
              </w:tc>
              <w:tc>
                <w:tcPr>
                  <w:tcW w:w="406" w:type="pct"/>
                  <w:tcBorders>
                    <w:tl2br w:val="nil"/>
                    <w:tr2bl w:val="nil"/>
                  </w:tcBorders>
                  <w:tcMar>
                    <w:top w:w="15" w:type="dxa"/>
                    <w:left w:w="15" w:type="dxa"/>
                    <w:right w:w="15" w:type="dxa"/>
                  </w:tcMar>
                  <w:vAlign w:val="center"/>
                </w:tcPr>
                <w:p w14:paraId="51AC1EC2">
                  <w:pPr>
                    <w:pStyle w:val="30"/>
                  </w:pPr>
                  <w:r>
                    <w:rPr>
                      <w:rFonts w:hint="eastAsia"/>
                    </w:rPr>
                    <w:t>0.004</w:t>
                  </w:r>
                </w:p>
              </w:tc>
              <w:tc>
                <w:tcPr>
                  <w:tcW w:w="538" w:type="pct"/>
                  <w:tcBorders>
                    <w:tl2br w:val="nil"/>
                    <w:tr2bl w:val="nil"/>
                  </w:tcBorders>
                  <w:tcMar>
                    <w:top w:w="15" w:type="dxa"/>
                    <w:left w:w="15" w:type="dxa"/>
                    <w:right w:w="15" w:type="dxa"/>
                  </w:tcMar>
                  <w:vAlign w:val="center"/>
                </w:tcPr>
                <w:p w14:paraId="5324E499">
                  <w:pPr>
                    <w:pStyle w:val="30"/>
                  </w:pPr>
                  <w:r>
                    <w:rPr>
                      <w:rFonts w:hint="eastAsia"/>
                    </w:rPr>
                    <w:t>1680</w:t>
                  </w:r>
                </w:p>
              </w:tc>
              <w:tc>
                <w:tcPr>
                  <w:tcW w:w="443" w:type="pct"/>
                  <w:tcBorders>
                    <w:tl2br w:val="nil"/>
                    <w:tr2bl w:val="nil"/>
                  </w:tcBorders>
                  <w:tcMar>
                    <w:top w:w="15" w:type="dxa"/>
                    <w:left w:w="15" w:type="dxa"/>
                    <w:right w:w="15" w:type="dxa"/>
                  </w:tcMar>
                  <w:vAlign w:val="center"/>
                </w:tcPr>
                <w:p w14:paraId="49629F8B">
                  <w:pPr>
                    <w:pStyle w:val="30"/>
                  </w:pPr>
                  <w:r>
                    <w:rPr>
                      <w:rFonts w:hint="eastAsia"/>
                    </w:rPr>
                    <w:t>8</w:t>
                  </w:r>
                </w:p>
              </w:tc>
              <w:tc>
                <w:tcPr>
                  <w:tcW w:w="1138" w:type="pct"/>
                  <w:tcBorders>
                    <w:tl2br w:val="nil"/>
                    <w:tr2bl w:val="nil"/>
                  </w:tcBorders>
                  <w:tcMar>
                    <w:top w:w="15" w:type="dxa"/>
                    <w:left w:w="15" w:type="dxa"/>
                    <w:right w:w="15" w:type="dxa"/>
                  </w:tcMar>
                  <w:vAlign w:val="center"/>
                </w:tcPr>
                <w:p w14:paraId="678F68CB">
                  <w:pPr>
                    <w:pStyle w:val="30"/>
                  </w:pPr>
                  <w:r>
                    <w:t>新Ⅱ型混凝土枕</w:t>
                  </w:r>
                </w:p>
              </w:tc>
            </w:tr>
            <w:tr w14:paraId="2BCC9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jc w:val="center"/>
              </w:trPr>
              <w:tc>
                <w:tcPr>
                  <w:tcW w:w="249" w:type="pct"/>
                  <w:vMerge w:val="restart"/>
                  <w:tcBorders>
                    <w:tl2br w:val="nil"/>
                    <w:tr2bl w:val="nil"/>
                  </w:tcBorders>
                  <w:tcMar>
                    <w:top w:w="15" w:type="dxa"/>
                    <w:left w:w="15" w:type="dxa"/>
                    <w:right w:w="15" w:type="dxa"/>
                  </w:tcMar>
                  <w:vAlign w:val="center"/>
                </w:tcPr>
                <w:p w14:paraId="2DEFDFDD">
                  <w:pPr>
                    <w:pStyle w:val="30"/>
                  </w:pPr>
                  <w:r>
                    <w:rPr>
                      <w:rFonts w:hint="eastAsia"/>
                    </w:rPr>
                    <w:t>2</w:t>
                  </w:r>
                </w:p>
              </w:tc>
              <w:tc>
                <w:tcPr>
                  <w:tcW w:w="426" w:type="pct"/>
                  <w:vMerge w:val="restart"/>
                  <w:tcBorders>
                    <w:tl2br w:val="nil"/>
                    <w:tr2bl w:val="nil"/>
                  </w:tcBorders>
                  <w:tcMar>
                    <w:top w:w="15" w:type="dxa"/>
                    <w:left w:w="15" w:type="dxa"/>
                    <w:right w:w="15" w:type="dxa"/>
                  </w:tcMar>
                  <w:vAlign w:val="center"/>
                </w:tcPr>
                <w:p w14:paraId="666BEB2A">
                  <w:pPr>
                    <w:pStyle w:val="30"/>
                  </w:pPr>
                  <w:r>
                    <w:rPr>
                      <w:rFonts w:hint="eastAsia"/>
                    </w:rPr>
                    <w:t>3道</w:t>
                  </w:r>
                </w:p>
              </w:tc>
              <w:tc>
                <w:tcPr>
                  <w:tcW w:w="893" w:type="pct"/>
                  <w:tcBorders>
                    <w:tl2br w:val="nil"/>
                    <w:tr2bl w:val="nil"/>
                  </w:tcBorders>
                  <w:tcMar>
                    <w:top w:w="15" w:type="dxa"/>
                    <w:left w:w="15" w:type="dxa"/>
                    <w:right w:w="15" w:type="dxa"/>
                  </w:tcMar>
                  <w:vAlign w:val="center"/>
                </w:tcPr>
                <w:p w14:paraId="552987D8">
                  <w:pPr>
                    <w:pStyle w:val="30"/>
                  </w:pPr>
                  <w:r>
                    <w:t>C</w:t>
                  </w:r>
                  <w:r>
                    <w:rPr>
                      <w:rFonts w:hint="eastAsia"/>
                    </w:rPr>
                    <w:t>3</w:t>
                  </w:r>
                  <w:r>
                    <w:t>K0+542.61</w:t>
                  </w:r>
                </w:p>
              </w:tc>
              <w:tc>
                <w:tcPr>
                  <w:tcW w:w="904" w:type="pct"/>
                  <w:tcBorders>
                    <w:tl2br w:val="nil"/>
                    <w:tr2bl w:val="nil"/>
                  </w:tcBorders>
                  <w:tcMar>
                    <w:top w:w="15" w:type="dxa"/>
                    <w:left w:w="15" w:type="dxa"/>
                    <w:right w:w="15" w:type="dxa"/>
                  </w:tcMar>
                  <w:vAlign w:val="center"/>
                </w:tcPr>
                <w:p w14:paraId="354D3E4A">
                  <w:pPr>
                    <w:pStyle w:val="30"/>
                  </w:pPr>
                  <w:r>
                    <w:t>C</w:t>
                  </w:r>
                  <w:r>
                    <w:rPr>
                      <w:rFonts w:hint="eastAsia"/>
                    </w:rPr>
                    <w:t>3</w:t>
                  </w:r>
                  <w:r>
                    <w:t>K0+550.71</w:t>
                  </w:r>
                </w:p>
              </w:tc>
              <w:tc>
                <w:tcPr>
                  <w:tcW w:w="406" w:type="pct"/>
                  <w:tcBorders>
                    <w:tl2br w:val="nil"/>
                    <w:tr2bl w:val="nil"/>
                  </w:tcBorders>
                  <w:tcMar>
                    <w:top w:w="15" w:type="dxa"/>
                    <w:left w:w="15" w:type="dxa"/>
                    <w:right w:w="15" w:type="dxa"/>
                  </w:tcMar>
                  <w:vAlign w:val="center"/>
                </w:tcPr>
                <w:p w14:paraId="6F5B6809">
                  <w:pPr>
                    <w:pStyle w:val="30"/>
                  </w:pPr>
                  <w:r>
                    <w:t>0.008</w:t>
                  </w:r>
                </w:p>
              </w:tc>
              <w:tc>
                <w:tcPr>
                  <w:tcW w:w="538" w:type="pct"/>
                  <w:tcBorders>
                    <w:tl2br w:val="nil"/>
                    <w:tr2bl w:val="nil"/>
                  </w:tcBorders>
                  <w:tcMar>
                    <w:top w:w="15" w:type="dxa"/>
                    <w:left w:w="15" w:type="dxa"/>
                    <w:right w:w="15" w:type="dxa"/>
                  </w:tcMar>
                  <w:vAlign w:val="center"/>
                </w:tcPr>
                <w:p w14:paraId="20B3023B">
                  <w:pPr>
                    <w:pStyle w:val="30"/>
                  </w:pPr>
                </w:p>
              </w:tc>
              <w:tc>
                <w:tcPr>
                  <w:tcW w:w="443" w:type="pct"/>
                  <w:tcBorders>
                    <w:tl2br w:val="nil"/>
                    <w:tr2bl w:val="nil"/>
                  </w:tcBorders>
                  <w:tcMar>
                    <w:top w:w="15" w:type="dxa"/>
                    <w:left w:w="15" w:type="dxa"/>
                    <w:right w:w="15" w:type="dxa"/>
                  </w:tcMar>
                  <w:vAlign w:val="center"/>
                </w:tcPr>
                <w:p w14:paraId="0E6946B6">
                  <w:pPr>
                    <w:pStyle w:val="30"/>
                  </w:pPr>
                </w:p>
              </w:tc>
              <w:tc>
                <w:tcPr>
                  <w:tcW w:w="1138" w:type="pct"/>
                  <w:tcBorders>
                    <w:tl2br w:val="nil"/>
                    <w:tr2bl w:val="nil"/>
                  </w:tcBorders>
                  <w:tcMar>
                    <w:top w:w="15" w:type="dxa"/>
                    <w:left w:w="15" w:type="dxa"/>
                    <w:right w:w="15" w:type="dxa"/>
                  </w:tcMar>
                  <w:vAlign w:val="center"/>
                </w:tcPr>
                <w:p w14:paraId="77CA6D36">
                  <w:pPr>
                    <w:pStyle w:val="30"/>
                  </w:pPr>
                  <w:r>
                    <w:rPr>
                      <w:rFonts w:hint="eastAsia"/>
                    </w:rPr>
                    <w:t>岔枕</w:t>
                  </w:r>
                </w:p>
              </w:tc>
            </w:tr>
            <w:tr w14:paraId="5DA50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jc w:val="center"/>
              </w:trPr>
              <w:tc>
                <w:tcPr>
                  <w:tcW w:w="249" w:type="pct"/>
                  <w:vMerge w:val="continue"/>
                  <w:tcBorders>
                    <w:tl2br w:val="nil"/>
                    <w:tr2bl w:val="nil"/>
                  </w:tcBorders>
                  <w:tcMar>
                    <w:top w:w="15" w:type="dxa"/>
                    <w:left w:w="15" w:type="dxa"/>
                    <w:right w:w="15" w:type="dxa"/>
                  </w:tcMar>
                  <w:vAlign w:val="center"/>
                </w:tcPr>
                <w:p w14:paraId="63442117">
                  <w:pPr>
                    <w:pStyle w:val="30"/>
                  </w:pPr>
                </w:p>
              </w:tc>
              <w:tc>
                <w:tcPr>
                  <w:tcW w:w="426" w:type="pct"/>
                  <w:vMerge w:val="continue"/>
                  <w:tcBorders>
                    <w:tl2br w:val="nil"/>
                    <w:tr2bl w:val="nil"/>
                  </w:tcBorders>
                  <w:tcMar>
                    <w:top w:w="15" w:type="dxa"/>
                    <w:left w:w="15" w:type="dxa"/>
                    <w:right w:w="15" w:type="dxa"/>
                  </w:tcMar>
                  <w:vAlign w:val="center"/>
                </w:tcPr>
                <w:p w14:paraId="47B660A6">
                  <w:pPr>
                    <w:pStyle w:val="30"/>
                  </w:pPr>
                </w:p>
              </w:tc>
              <w:tc>
                <w:tcPr>
                  <w:tcW w:w="893" w:type="pct"/>
                  <w:tcBorders>
                    <w:tl2br w:val="nil"/>
                    <w:tr2bl w:val="nil"/>
                  </w:tcBorders>
                  <w:tcMar>
                    <w:top w:w="15" w:type="dxa"/>
                    <w:left w:w="15" w:type="dxa"/>
                    <w:right w:w="15" w:type="dxa"/>
                  </w:tcMar>
                  <w:vAlign w:val="center"/>
                </w:tcPr>
                <w:p w14:paraId="3AA68C5C">
                  <w:pPr>
                    <w:pStyle w:val="30"/>
                  </w:pPr>
                  <w:r>
                    <w:t>C</w:t>
                  </w:r>
                  <w:r>
                    <w:rPr>
                      <w:rFonts w:hint="eastAsia"/>
                    </w:rPr>
                    <w:t>3</w:t>
                  </w:r>
                  <w:r>
                    <w:t>K0+550.71</w:t>
                  </w:r>
                </w:p>
              </w:tc>
              <w:tc>
                <w:tcPr>
                  <w:tcW w:w="904" w:type="pct"/>
                  <w:tcBorders>
                    <w:tl2br w:val="nil"/>
                    <w:tr2bl w:val="nil"/>
                  </w:tcBorders>
                  <w:tcMar>
                    <w:top w:w="15" w:type="dxa"/>
                    <w:left w:w="15" w:type="dxa"/>
                    <w:right w:w="15" w:type="dxa"/>
                  </w:tcMar>
                  <w:vAlign w:val="center"/>
                </w:tcPr>
                <w:p w14:paraId="226366E9">
                  <w:pPr>
                    <w:pStyle w:val="30"/>
                  </w:pPr>
                  <w:r>
                    <w:t>C</w:t>
                  </w:r>
                  <w:r>
                    <w:rPr>
                      <w:rFonts w:hint="eastAsia"/>
                    </w:rPr>
                    <w:t>3</w:t>
                  </w:r>
                  <w:r>
                    <w:t>K0+580.00</w:t>
                  </w:r>
                </w:p>
              </w:tc>
              <w:tc>
                <w:tcPr>
                  <w:tcW w:w="406" w:type="pct"/>
                  <w:tcBorders>
                    <w:tl2br w:val="nil"/>
                    <w:tr2bl w:val="nil"/>
                  </w:tcBorders>
                  <w:tcMar>
                    <w:top w:w="15" w:type="dxa"/>
                    <w:left w:w="15" w:type="dxa"/>
                    <w:right w:w="15" w:type="dxa"/>
                  </w:tcMar>
                  <w:vAlign w:val="center"/>
                </w:tcPr>
                <w:p w14:paraId="5A6FC90B">
                  <w:pPr>
                    <w:pStyle w:val="30"/>
                  </w:pPr>
                  <w:r>
                    <w:t>0.029</w:t>
                  </w:r>
                </w:p>
              </w:tc>
              <w:tc>
                <w:tcPr>
                  <w:tcW w:w="538" w:type="pct"/>
                  <w:tcBorders>
                    <w:tl2br w:val="nil"/>
                    <w:tr2bl w:val="nil"/>
                  </w:tcBorders>
                  <w:tcMar>
                    <w:top w:w="15" w:type="dxa"/>
                    <w:left w:w="15" w:type="dxa"/>
                    <w:right w:w="15" w:type="dxa"/>
                  </w:tcMar>
                  <w:vAlign w:val="center"/>
                </w:tcPr>
                <w:p w14:paraId="0D808104">
                  <w:pPr>
                    <w:pStyle w:val="30"/>
                  </w:pPr>
                  <w:r>
                    <w:rPr>
                      <w:rFonts w:hint="eastAsia"/>
                    </w:rPr>
                    <w:t>1680</w:t>
                  </w:r>
                </w:p>
              </w:tc>
              <w:tc>
                <w:tcPr>
                  <w:tcW w:w="443" w:type="pct"/>
                  <w:tcBorders>
                    <w:tl2br w:val="nil"/>
                    <w:tr2bl w:val="nil"/>
                  </w:tcBorders>
                  <w:tcMar>
                    <w:top w:w="15" w:type="dxa"/>
                    <w:left w:w="15" w:type="dxa"/>
                    <w:right w:w="15" w:type="dxa"/>
                  </w:tcMar>
                  <w:vAlign w:val="center"/>
                </w:tcPr>
                <w:p w14:paraId="15E23E03">
                  <w:pPr>
                    <w:pStyle w:val="30"/>
                  </w:pPr>
                  <w:r>
                    <w:rPr>
                      <w:rFonts w:hint="eastAsia"/>
                    </w:rPr>
                    <w:t>50</w:t>
                  </w:r>
                </w:p>
              </w:tc>
              <w:tc>
                <w:tcPr>
                  <w:tcW w:w="1138" w:type="pct"/>
                  <w:tcBorders>
                    <w:tl2br w:val="nil"/>
                    <w:tr2bl w:val="nil"/>
                  </w:tcBorders>
                  <w:tcMar>
                    <w:top w:w="15" w:type="dxa"/>
                    <w:left w:w="15" w:type="dxa"/>
                    <w:right w:w="15" w:type="dxa"/>
                  </w:tcMar>
                  <w:vAlign w:val="center"/>
                </w:tcPr>
                <w:p w14:paraId="2371BE7A">
                  <w:pPr>
                    <w:pStyle w:val="30"/>
                  </w:pPr>
                  <w:r>
                    <w:t>新Ⅱ型混凝土枕</w:t>
                  </w:r>
                </w:p>
              </w:tc>
            </w:tr>
            <w:tr w14:paraId="1A862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7" w:hRule="exact"/>
                <w:jc w:val="center"/>
              </w:trPr>
              <w:tc>
                <w:tcPr>
                  <w:tcW w:w="249" w:type="pct"/>
                  <w:vMerge w:val="continue"/>
                  <w:tcBorders>
                    <w:tl2br w:val="nil"/>
                    <w:tr2bl w:val="nil"/>
                  </w:tcBorders>
                  <w:tcMar>
                    <w:top w:w="15" w:type="dxa"/>
                    <w:left w:w="15" w:type="dxa"/>
                    <w:right w:w="15" w:type="dxa"/>
                  </w:tcMar>
                  <w:vAlign w:val="center"/>
                </w:tcPr>
                <w:p w14:paraId="1F67F398">
                  <w:pPr>
                    <w:pStyle w:val="30"/>
                  </w:pPr>
                </w:p>
              </w:tc>
              <w:tc>
                <w:tcPr>
                  <w:tcW w:w="426" w:type="pct"/>
                  <w:vMerge w:val="continue"/>
                  <w:tcBorders>
                    <w:tl2br w:val="nil"/>
                    <w:tr2bl w:val="nil"/>
                  </w:tcBorders>
                  <w:tcMar>
                    <w:top w:w="15" w:type="dxa"/>
                    <w:left w:w="15" w:type="dxa"/>
                    <w:right w:w="15" w:type="dxa"/>
                  </w:tcMar>
                  <w:vAlign w:val="center"/>
                </w:tcPr>
                <w:p w14:paraId="71F8C2E4">
                  <w:pPr>
                    <w:pStyle w:val="30"/>
                  </w:pPr>
                </w:p>
              </w:tc>
              <w:tc>
                <w:tcPr>
                  <w:tcW w:w="893" w:type="pct"/>
                  <w:tcBorders>
                    <w:tl2br w:val="nil"/>
                    <w:tr2bl w:val="nil"/>
                  </w:tcBorders>
                  <w:tcMar>
                    <w:top w:w="15" w:type="dxa"/>
                    <w:left w:w="15" w:type="dxa"/>
                    <w:right w:w="15" w:type="dxa"/>
                  </w:tcMar>
                  <w:vAlign w:val="center"/>
                </w:tcPr>
                <w:p w14:paraId="6F599944">
                  <w:pPr>
                    <w:pStyle w:val="30"/>
                  </w:pPr>
                  <w:r>
                    <w:t>C</w:t>
                  </w:r>
                  <w:r>
                    <w:rPr>
                      <w:rFonts w:hint="eastAsia"/>
                    </w:rPr>
                    <w:t>3</w:t>
                  </w:r>
                  <w:r>
                    <w:t>K0+580.00</w:t>
                  </w:r>
                </w:p>
              </w:tc>
              <w:tc>
                <w:tcPr>
                  <w:tcW w:w="904" w:type="pct"/>
                  <w:tcBorders>
                    <w:tl2br w:val="nil"/>
                    <w:tr2bl w:val="nil"/>
                  </w:tcBorders>
                  <w:tcMar>
                    <w:top w:w="15" w:type="dxa"/>
                    <w:left w:w="15" w:type="dxa"/>
                    <w:right w:w="15" w:type="dxa"/>
                  </w:tcMar>
                  <w:vAlign w:val="center"/>
                </w:tcPr>
                <w:p w14:paraId="5B59AA08">
                  <w:pPr>
                    <w:pStyle w:val="30"/>
                  </w:pPr>
                  <w:r>
                    <w:t>C</w:t>
                  </w:r>
                  <w:r>
                    <w:rPr>
                      <w:rFonts w:hint="eastAsia"/>
                    </w:rPr>
                    <w:t>3</w:t>
                  </w:r>
                  <w:r>
                    <w:t>K0+918.00</w:t>
                  </w:r>
                </w:p>
              </w:tc>
              <w:tc>
                <w:tcPr>
                  <w:tcW w:w="406" w:type="pct"/>
                  <w:tcBorders>
                    <w:tl2br w:val="nil"/>
                    <w:tr2bl w:val="nil"/>
                  </w:tcBorders>
                  <w:tcMar>
                    <w:top w:w="15" w:type="dxa"/>
                    <w:left w:w="15" w:type="dxa"/>
                    <w:right w:w="15" w:type="dxa"/>
                  </w:tcMar>
                  <w:vAlign w:val="center"/>
                </w:tcPr>
                <w:p w14:paraId="19DCD724">
                  <w:pPr>
                    <w:pStyle w:val="30"/>
                  </w:pPr>
                  <w:r>
                    <w:t>0.338</w:t>
                  </w:r>
                </w:p>
              </w:tc>
              <w:tc>
                <w:tcPr>
                  <w:tcW w:w="538" w:type="pct"/>
                  <w:tcBorders>
                    <w:tl2br w:val="nil"/>
                    <w:tr2bl w:val="nil"/>
                  </w:tcBorders>
                  <w:tcMar>
                    <w:top w:w="15" w:type="dxa"/>
                    <w:left w:w="15" w:type="dxa"/>
                    <w:right w:w="15" w:type="dxa"/>
                  </w:tcMar>
                  <w:vAlign w:val="center"/>
                </w:tcPr>
                <w:p w14:paraId="48363893">
                  <w:pPr>
                    <w:pStyle w:val="30"/>
                  </w:pPr>
                  <w:r>
                    <w:rPr>
                      <w:rFonts w:hint="eastAsia"/>
                    </w:rPr>
                    <w:t>1600</w:t>
                  </w:r>
                </w:p>
              </w:tc>
              <w:tc>
                <w:tcPr>
                  <w:tcW w:w="443" w:type="pct"/>
                  <w:tcBorders>
                    <w:tl2br w:val="nil"/>
                    <w:tr2bl w:val="nil"/>
                  </w:tcBorders>
                  <w:tcMar>
                    <w:top w:w="15" w:type="dxa"/>
                    <w:left w:w="15" w:type="dxa"/>
                    <w:right w:w="15" w:type="dxa"/>
                  </w:tcMar>
                  <w:vAlign w:val="center"/>
                </w:tcPr>
                <w:p w14:paraId="63253797">
                  <w:pPr>
                    <w:pStyle w:val="30"/>
                  </w:pPr>
                  <w:r>
                    <w:rPr>
                      <w:rFonts w:hint="eastAsia"/>
                    </w:rPr>
                    <w:t>541</w:t>
                  </w:r>
                </w:p>
              </w:tc>
              <w:tc>
                <w:tcPr>
                  <w:tcW w:w="1138" w:type="pct"/>
                  <w:tcBorders>
                    <w:tl2br w:val="nil"/>
                    <w:tr2bl w:val="nil"/>
                  </w:tcBorders>
                  <w:tcMar>
                    <w:top w:w="15" w:type="dxa"/>
                    <w:left w:w="15" w:type="dxa"/>
                    <w:right w:w="15" w:type="dxa"/>
                  </w:tcMar>
                  <w:vAlign w:val="center"/>
                </w:tcPr>
                <w:p w14:paraId="25D2940B">
                  <w:pPr>
                    <w:pStyle w:val="30"/>
                  </w:pPr>
                  <w:r>
                    <w:t>新Ⅱ型混凝土枕</w:t>
                  </w:r>
                </w:p>
              </w:tc>
            </w:tr>
            <w:tr w14:paraId="49996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7" w:hRule="exact"/>
                <w:jc w:val="center"/>
              </w:trPr>
              <w:tc>
                <w:tcPr>
                  <w:tcW w:w="249" w:type="pct"/>
                  <w:vMerge w:val="restart"/>
                  <w:tcBorders>
                    <w:tl2br w:val="nil"/>
                    <w:tr2bl w:val="nil"/>
                  </w:tcBorders>
                  <w:tcMar>
                    <w:top w:w="15" w:type="dxa"/>
                    <w:left w:w="15" w:type="dxa"/>
                    <w:right w:w="15" w:type="dxa"/>
                  </w:tcMar>
                  <w:vAlign w:val="center"/>
                </w:tcPr>
                <w:p w14:paraId="282AE55A">
                  <w:pPr>
                    <w:pStyle w:val="30"/>
                  </w:pPr>
                  <w:r>
                    <w:rPr>
                      <w:rFonts w:hint="eastAsia"/>
                    </w:rPr>
                    <w:t>3</w:t>
                  </w:r>
                </w:p>
              </w:tc>
              <w:tc>
                <w:tcPr>
                  <w:tcW w:w="426" w:type="pct"/>
                  <w:vMerge w:val="restart"/>
                  <w:tcBorders>
                    <w:tl2br w:val="nil"/>
                    <w:tr2bl w:val="nil"/>
                  </w:tcBorders>
                  <w:tcMar>
                    <w:top w:w="15" w:type="dxa"/>
                    <w:left w:w="15" w:type="dxa"/>
                    <w:right w:w="15" w:type="dxa"/>
                  </w:tcMar>
                  <w:vAlign w:val="center"/>
                </w:tcPr>
                <w:p w14:paraId="10AD7A33">
                  <w:pPr>
                    <w:pStyle w:val="30"/>
                  </w:pPr>
                  <w:r>
                    <w:rPr>
                      <w:rFonts w:hint="eastAsia"/>
                    </w:rPr>
                    <w:t>4道</w:t>
                  </w:r>
                </w:p>
              </w:tc>
              <w:tc>
                <w:tcPr>
                  <w:tcW w:w="893" w:type="pct"/>
                  <w:tcBorders>
                    <w:tl2br w:val="nil"/>
                    <w:tr2bl w:val="nil"/>
                  </w:tcBorders>
                  <w:tcMar>
                    <w:top w:w="15" w:type="dxa"/>
                    <w:left w:w="15" w:type="dxa"/>
                    <w:right w:w="15" w:type="dxa"/>
                  </w:tcMar>
                  <w:vAlign w:val="center"/>
                </w:tcPr>
                <w:p w14:paraId="6A35BB76">
                  <w:pPr>
                    <w:pStyle w:val="30"/>
                  </w:pPr>
                  <w:r>
                    <w:t>C</w:t>
                  </w:r>
                  <w:r>
                    <w:rPr>
                      <w:rFonts w:hint="eastAsia"/>
                    </w:rPr>
                    <w:t>4</w:t>
                  </w:r>
                  <w:r>
                    <w:t>K0+577.71</w:t>
                  </w:r>
                </w:p>
              </w:tc>
              <w:tc>
                <w:tcPr>
                  <w:tcW w:w="904" w:type="pct"/>
                  <w:tcBorders>
                    <w:tl2br w:val="nil"/>
                    <w:tr2bl w:val="nil"/>
                  </w:tcBorders>
                  <w:tcMar>
                    <w:top w:w="15" w:type="dxa"/>
                    <w:left w:w="15" w:type="dxa"/>
                    <w:right w:w="15" w:type="dxa"/>
                  </w:tcMar>
                  <w:vAlign w:val="center"/>
                </w:tcPr>
                <w:p w14:paraId="2A657BE7">
                  <w:pPr>
                    <w:pStyle w:val="30"/>
                  </w:pPr>
                  <w:r>
                    <w:t>C</w:t>
                  </w:r>
                  <w:r>
                    <w:rPr>
                      <w:rFonts w:hint="eastAsia"/>
                    </w:rPr>
                    <w:t>4</w:t>
                  </w:r>
                  <w:r>
                    <w:t>K0+585.81</w:t>
                  </w:r>
                </w:p>
              </w:tc>
              <w:tc>
                <w:tcPr>
                  <w:tcW w:w="406" w:type="pct"/>
                  <w:tcBorders>
                    <w:tl2br w:val="nil"/>
                    <w:tr2bl w:val="nil"/>
                  </w:tcBorders>
                  <w:tcMar>
                    <w:top w:w="15" w:type="dxa"/>
                    <w:left w:w="15" w:type="dxa"/>
                    <w:right w:w="15" w:type="dxa"/>
                  </w:tcMar>
                  <w:vAlign w:val="center"/>
                </w:tcPr>
                <w:p w14:paraId="124F2530">
                  <w:pPr>
                    <w:pStyle w:val="30"/>
                  </w:pPr>
                  <w:r>
                    <w:t>0.008</w:t>
                  </w:r>
                </w:p>
              </w:tc>
              <w:tc>
                <w:tcPr>
                  <w:tcW w:w="538" w:type="pct"/>
                  <w:tcBorders>
                    <w:tl2br w:val="nil"/>
                    <w:tr2bl w:val="nil"/>
                  </w:tcBorders>
                  <w:tcMar>
                    <w:top w:w="15" w:type="dxa"/>
                    <w:left w:w="15" w:type="dxa"/>
                    <w:right w:w="15" w:type="dxa"/>
                  </w:tcMar>
                  <w:vAlign w:val="center"/>
                </w:tcPr>
                <w:p w14:paraId="015254DE">
                  <w:pPr>
                    <w:pStyle w:val="30"/>
                  </w:pPr>
                </w:p>
              </w:tc>
              <w:tc>
                <w:tcPr>
                  <w:tcW w:w="443" w:type="pct"/>
                  <w:tcBorders>
                    <w:tl2br w:val="nil"/>
                    <w:tr2bl w:val="nil"/>
                  </w:tcBorders>
                  <w:tcMar>
                    <w:top w:w="15" w:type="dxa"/>
                    <w:left w:w="15" w:type="dxa"/>
                    <w:right w:w="15" w:type="dxa"/>
                  </w:tcMar>
                  <w:vAlign w:val="center"/>
                </w:tcPr>
                <w:p w14:paraId="4E8E857D">
                  <w:pPr>
                    <w:pStyle w:val="30"/>
                  </w:pPr>
                </w:p>
              </w:tc>
              <w:tc>
                <w:tcPr>
                  <w:tcW w:w="1138" w:type="pct"/>
                  <w:tcBorders>
                    <w:tl2br w:val="nil"/>
                    <w:tr2bl w:val="nil"/>
                  </w:tcBorders>
                  <w:tcMar>
                    <w:top w:w="15" w:type="dxa"/>
                    <w:left w:w="15" w:type="dxa"/>
                    <w:right w:w="15" w:type="dxa"/>
                  </w:tcMar>
                  <w:vAlign w:val="center"/>
                </w:tcPr>
                <w:p w14:paraId="4CA3F922">
                  <w:pPr>
                    <w:pStyle w:val="30"/>
                  </w:pPr>
                  <w:r>
                    <w:rPr>
                      <w:rFonts w:hint="eastAsia"/>
                    </w:rPr>
                    <w:t>岔枕</w:t>
                  </w:r>
                </w:p>
              </w:tc>
            </w:tr>
            <w:tr w14:paraId="5A544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jc w:val="center"/>
              </w:trPr>
              <w:tc>
                <w:tcPr>
                  <w:tcW w:w="249" w:type="pct"/>
                  <w:vMerge w:val="continue"/>
                  <w:tcBorders>
                    <w:tl2br w:val="nil"/>
                    <w:tr2bl w:val="nil"/>
                  </w:tcBorders>
                  <w:tcMar>
                    <w:top w:w="15" w:type="dxa"/>
                    <w:left w:w="15" w:type="dxa"/>
                    <w:right w:w="15" w:type="dxa"/>
                  </w:tcMar>
                  <w:vAlign w:val="center"/>
                </w:tcPr>
                <w:p w14:paraId="1C499DC9">
                  <w:pPr>
                    <w:pStyle w:val="30"/>
                  </w:pPr>
                </w:p>
              </w:tc>
              <w:tc>
                <w:tcPr>
                  <w:tcW w:w="426" w:type="pct"/>
                  <w:vMerge w:val="continue"/>
                  <w:tcBorders>
                    <w:tl2br w:val="nil"/>
                    <w:tr2bl w:val="nil"/>
                  </w:tcBorders>
                  <w:tcMar>
                    <w:top w:w="15" w:type="dxa"/>
                    <w:left w:w="15" w:type="dxa"/>
                    <w:right w:w="15" w:type="dxa"/>
                  </w:tcMar>
                  <w:vAlign w:val="center"/>
                </w:tcPr>
                <w:p w14:paraId="4F36F738">
                  <w:pPr>
                    <w:pStyle w:val="30"/>
                  </w:pPr>
                </w:p>
              </w:tc>
              <w:tc>
                <w:tcPr>
                  <w:tcW w:w="893" w:type="pct"/>
                  <w:tcBorders>
                    <w:tl2br w:val="nil"/>
                    <w:tr2bl w:val="nil"/>
                  </w:tcBorders>
                  <w:tcMar>
                    <w:top w:w="15" w:type="dxa"/>
                    <w:left w:w="15" w:type="dxa"/>
                    <w:right w:w="15" w:type="dxa"/>
                  </w:tcMar>
                  <w:vAlign w:val="center"/>
                </w:tcPr>
                <w:p w14:paraId="0AB6F8F6">
                  <w:pPr>
                    <w:pStyle w:val="30"/>
                  </w:pPr>
                  <w:r>
                    <w:t>C</w:t>
                  </w:r>
                  <w:r>
                    <w:rPr>
                      <w:rFonts w:hint="eastAsia"/>
                    </w:rPr>
                    <w:t>4</w:t>
                  </w:r>
                  <w:r>
                    <w:t>K0+585.81</w:t>
                  </w:r>
                </w:p>
              </w:tc>
              <w:tc>
                <w:tcPr>
                  <w:tcW w:w="904" w:type="pct"/>
                  <w:tcBorders>
                    <w:tl2br w:val="nil"/>
                    <w:tr2bl w:val="nil"/>
                  </w:tcBorders>
                  <w:tcMar>
                    <w:top w:w="15" w:type="dxa"/>
                    <w:left w:w="15" w:type="dxa"/>
                    <w:right w:w="15" w:type="dxa"/>
                  </w:tcMar>
                  <w:vAlign w:val="center"/>
                </w:tcPr>
                <w:p w14:paraId="2879B223">
                  <w:pPr>
                    <w:pStyle w:val="30"/>
                  </w:pPr>
                  <w:r>
                    <w:t>C</w:t>
                  </w:r>
                  <w:r>
                    <w:rPr>
                      <w:rFonts w:hint="eastAsia"/>
                    </w:rPr>
                    <w:t>4</w:t>
                  </w:r>
                  <w:r>
                    <w:t>K0+593.01</w:t>
                  </w:r>
                </w:p>
              </w:tc>
              <w:tc>
                <w:tcPr>
                  <w:tcW w:w="406" w:type="pct"/>
                  <w:tcBorders>
                    <w:tl2br w:val="nil"/>
                    <w:tr2bl w:val="nil"/>
                  </w:tcBorders>
                  <w:tcMar>
                    <w:top w:w="15" w:type="dxa"/>
                    <w:left w:w="15" w:type="dxa"/>
                    <w:right w:w="15" w:type="dxa"/>
                  </w:tcMar>
                  <w:vAlign w:val="center"/>
                </w:tcPr>
                <w:p w14:paraId="5FB3A81A">
                  <w:pPr>
                    <w:pStyle w:val="30"/>
                  </w:pPr>
                  <w:r>
                    <w:t>0.007</w:t>
                  </w:r>
                </w:p>
              </w:tc>
              <w:tc>
                <w:tcPr>
                  <w:tcW w:w="538" w:type="pct"/>
                  <w:tcBorders>
                    <w:tl2br w:val="nil"/>
                    <w:tr2bl w:val="nil"/>
                  </w:tcBorders>
                  <w:tcMar>
                    <w:top w:w="15" w:type="dxa"/>
                    <w:left w:w="15" w:type="dxa"/>
                    <w:right w:w="15" w:type="dxa"/>
                  </w:tcMar>
                  <w:vAlign w:val="center"/>
                </w:tcPr>
                <w:p w14:paraId="0A44E0EA">
                  <w:pPr>
                    <w:pStyle w:val="30"/>
                  </w:pPr>
                  <w:r>
                    <w:rPr>
                      <w:rFonts w:hint="eastAsia"/>
                    </w:rPr>
                    <w:t>1680</w:t>
                  </w:r>
                </w:p>
              </w:tc>
              <w:tc>
                <w:tcPr>
                  <w:tcW w:w="443" w:type="pct"/>
                  <w:tcBorders>
                    <w:tl2br w:val="nil"/>
                    <w:tr2bl w:val="nil"/>
                  </w:tcBorders>
                  <w:tcMar>
                    <w:top w:w="15" w:type="dxa"/>
                    <w:left w:w="15" w:type="dxa"/>
                    <w:right w:w="15" w:type="dxa"/>
                  </w:tcMar>
                  <w:vAlign w:val="center"/>
                </w:tcPr>
                <w:p w14:paraId="0F7520F7">
                  <w:pPr>
                    <w:pStyle w:val="30"/>
                  </w:pPr>
                  <w:r>
                    <w:rPr>
                      <w:rFonts w:hint="eastAsia"/>
                    </w:rPr>
                    <w:t>13</w:t>
                  </w:r>
                </w:p>
              </w:tc>
              <w:tc>
                <w:tcPr>
                  <w:tcW w:w="1138" w:type="pct"/>
                  <w:tcBorders>
                    <w:tl2br w:val="nil"/>
                    <w:tr2bl w:val="nil"/>
                  </w:tcBorders>
                  <w:tcMar>
                    <w:top w:w="15" w:type="dxa"/>
                    <w:left w:w="15" w:type="dxa"/>
                    <w:right w:w="15" w:type="dxa"/>
                  </w:tcMar>
                  <w:vAlign w:val="center"/>
                </w:tcPr>
                <w:p w14:paraId="1B7E60CD">
                  <w:pPr>
                    <w:pStyle w:val="30"/>
                  </w:pPr>
                  <w:r>
                    <w:t>新Ⅱ型混凝土枕</w:t>
                  </w:r>
                </w:p>
              </w:tc>
            </w:tr>
            <w:tr w14:paraId="5460D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jc w:val="center"/>
              </w:trPr>
              <w:tc>
                <w:tcPr>
                  <w:tcW w:w="249" w:type="pct"/>
                  <w:vMerge w:val="continue"/>
                  <w:tcBorders>
                    <w:tl2br w:val="nil"/>
                    <w:tr2bl w:val="nil"/>
                  </w:tcBorders>
                  <w:tcMar>
                    <w:top w:w="15" w:type="dxa"/>
                    <w:left w:w="15" w:type="dxa"/>
                    <w:right w:w="15" w:type="dxa"/>
                  </w:tcMar>
                  <w:vAlign w:val="center"/>
                </w:tcPr>
                <w:p w14:paraId="6F29187D">
                  <w:pPr>
                    <w:pStyle w:val="30"/>
                  </w:pPr>
                </w:p>
              </w:tc>
              <w:tc>
                <w:tcPr>
                  <w:tcW w:w="426" w:type="pct"/>
                  <w:vMerge w:val="continue"/>
                  <w:tcBorders>
                    <w:tl2br w:val="nil"/>
                    <w:tr2bl w:val="nil"/>
                  </w:tcBorders>
                  <w:tcMar>
                    <w:top w:w="15" w:type="dxa"/>
                    <w:left w:w="15" w:type="dxa"/>
                    <w:right w:w="15" w:type="dxa"/>
                  </w:tcMar>
                  <w:vAlign w:val="center"/>
                </w:tcPr>
                <w:p w14:paraId="169D7198">
                  <w:pPr>
                    <w:pStyle w:val="30"/>
                  </w:pPr>
                </w:p>
              </w:tc>
              <w:tc>
                <w:tcPr>
                  <w:tcW w:w="893" w:type="pct"/>
                  <w:tcBorders>
                    <w:tl2br w:val="nil"/>
                    <w:tr2bl w:val="nil"/>
                  </w:tcBorders>
                  <w:tcMar>
                    <w:top w:w="15" w:type="dxa"/>
                    <w:left w:w="15" w:type="dxa"/>
                    <w:right w:w="15" w:type="dxa"/>
                  </w:tcMar>
                  <w:vAlign w:val="center"/>
                </w:tcPr>
                <w:p w14:paraId="311B8333">
                  <w:pPr>
                    <w:pStyle w:val="30"/>
                  </w:pPr>
                  <w:r>
                    <w:t>C</w:t>
                  </w:r>
                  <w:r>
                    <w:rPr>
                      <w:rFonts w:hint="eastAsia"/>
                    </w:rPr>
                    <w:t>4</w:t>
                  </w:r>
                  <w:r>
                    <w:t>K0+593.01</w:t>
                  </w:r>
                </w:p>
              </w:tc>
              <w:tc>
                <w:tcPr>
                  <w:tcW w:w="904" w:type="pct"/>
                  <w:tcBorders>
                    <w:tl2br w:val="nil"/>
                    <w:tr2bl w:val="nil"/>
                  </w:tcBorders>
                  <w:tcMar>
                    <w:top w:w="15" w:type="dxa"/>
                    <w:left w:w="15" w:type="dxa"/>
                    <w:right w:w="15" w:type="dxa"/>
                  </w:tcMar>
                  <w:vAlign w:val="center"/>
                </w:tcPr>
                <w:p w14:paraId="07851119">
                  <w:pPr>
                    <w:pStyle w:val="30"/>
                  </w:pPr>
                  <w:r>
                    <w:t>C</w:t>
                  </w:r>
                  <w:r>
                    <w:rPr>
                      <w:rFonts w:hint="eastAsia"/>
                    </w:rPr>
                    <w:t>4</w:t>
                  </w:r>
                  <w:r>
                    <w:t>K0+784.83</w:t>
                  </w:r>
                </w:p>
              </w:tc>
              <w:tc>
                <w:tcPr>
                  <w:tcW w:w="406" w:type="pct"/>
                  <w:tcBorders>
                    <w:tl2br w:val="nil"/>
                    <w:tr2bl w:val="nil"/>
                  </w:tcBorders>
                  <w:tcMar>
                    <w:top w:w="15" w:type="dxa"/>
                    <w:left w:w="15" w:type="dxa"/>
                    <w:right w:w="15" w:type="dxa"/>
                  </w:tcMar>
                  <w:vAlign w:val="center"/>
                </w:tcPr>
                <w:p w14:paraId="16EDB032">
                  <w:pPr>
                    <w:pStyle w:val="30"/>
                  </w:pPr>
                  <w:r>
                    <w:t>0.192</w:t>
                  </w:r>
                </w:p>
              </w:tc>
              <w:tc>
                <w:tcPr>
                  <w:tcW w:w="538" w:type="pct"/>
                  <w:tcBorders>
                    <w:tl2br w:val="nil"/>
                    <w:tr2bl w:val="nil"/>
                  </w:tcBorders>
                  <w:tcMar>
                    <w:top w:w="15" w:type="dxa"/>
                    <w:left w:w="15" w:type="dxa"/>
                    <w:right w:w="15" w:type="dxa"/>
                  </w:tcMar>
                  <w:vAlign w:val="center"/>
                </w:tcPr>
                <w:p w14:paraId="378D25E9">
                  <w:pPr>
                    <w:pStyle w:val="30"/>
                  </w:pPr>
                  <w:r>
                    <w:rPr>
                      <w:rFonts w:hint="eastAsia"/>
                    </w:rPr>
                    <w:t>1680</w:t>
                  </w:r>
                </w:p>
              </w:tc>
              <w:tc>
                <w:tcPr>
                  <w:tcW w:w="443" w:type="pct"/>
                  <w:tcBorders>
                    <w:tl2br w:val="nil"/>
                    <w:tr2bl w:val="nil"/>
                  </w:tcBorders>
                  <w:tcMar>
                    <w:top w:w="15" w:type="dxa"/>
                    <w:left w:w="15" w:type="dxa"/>
                    <w:right w:w="15" w:type="dxa"/>
                  </w:tcMar>
                  <w:vAlign w:val="center"/>
                </w:tcPr>
                <w:p w14:paraId="3CF43AE1">
                  <w:pPr>
                    <w:pStyle w:val="30"/>
                  </w:pPr>
                  <w:r>
                    <w:rPr>
                      <w:rFonts w:hint="eastAsia"/>
                    </w:rPr>
                    <w:t>323</w:t>
                  </w:r>
                </w:p>
              </w:tc>
              <w:tc>
                <w:tcPr>
                  <w:tcW w:w="1138" w:type="pct"/>
                  <w:tcBorders>
                    <w:tl2br w:val="nil"/>
                    <w:tr2bl w:val="nil"/>
                  </w:tcBorders>
                  <w:tcMar>
                    <w:top w:w="15" w:type="dxa"/>
                    <w:left w:w="15" w:type="dxa"/>
                    <w:right w:w="15" w:type="dxa"/>
                  </w:tcMar>
                  <w:vAlign w:val="center"/>
                </w:tcPr>
                <w:p w14:paraId="00839E69">
                  <w:pPr>
                    <w:pStyle w:val="30"/>
                  </w:pPr>
                  <w:r>
                    <w:t>小半径曲线专用枕</w:t>
                  </w:r>
                </w:p>
              </w:tc>
            </w:tr>
            <w:tr w14:paraId="3E4E3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2" w:hRule="exact"/>
                <w:jc w:val="center"/>
              </w:trPr>
              <w:tc>
                <w:tcPr>
                  <w:tcW w:w="249" w:type="pct"/>
                  <w:vMerge w:val="continue"/>
                  <w:tcBorders>
                    <w:tl2br w:val="nil"/>
                    <w:tr2bl w:val="nil"/>
                  </w:tcBorders>
                  <w:tcMar>
                    <w:top w:w="15" w:type="dxa"/>
                    <w:left w:w="15" w:type="dxa"/>
                    <w:right w:w="15" w:type="dxa"/>
                  </w:tcMar>
                  <w:vAlign w:val="center"/>
                </w:tcPr>
                <w:p w14:paraId="2365B5A0">
                  <w:pPr>
                    <w:pStyle w:val="30"/>
                  </w:pPr>
                </w:p>
              </w:tc>
              <w:tc>
                <w:tcPr>
                  <w:tcW w:w="426" w:type="pct"/>
                  <w:vMerge w:val="continue"/>
                  <w:tcBorders>
                    <w:tl2br w:val="nil"/>
                    <w:tr2bl w:val="nil"/>
                  </w:tcBorders>
                  <w:tcMar>
                    <w:top w:w="15" w:type="dxa"/>
                    <w:left w:w="15" w:type="dxa"/>
                    <w:right w:w="15" w:type="dxa"/>
                  </w:tcMar>
                  <w:vAlign w:val="center"/>
                </w:tcPr>
                <w:p w14:paraId="0FF57AF8">
                  <w:pPr>
                    <w:pStyle w:val="30"/>
                  </w:pPr>
                </w:p>
              </w:tc>
              <w:tc>
                <w:tcPr>
                  <w:tcW w:w="893" w:type="pct"/>
                  <w:tcBorders>
                    <w:tl2br w:val="nil"/>
                    <w:tr2bl w:val="nil"/>
                  </w:tcBorders>
                  <w:tcMar>
                    <w:top w:w="15" w:type="dxa"/>
                    <w:left w:w="15" w:type="dxa"/>
                    <w:right w:w="15" w:type="dxa"/>
                  </w:tcMar>
                  <w:vAlign w:val="center"/>
                </w:tcPr>
                <w:p w14:paraId="577B2647">
                  <w:pPr>
                    <w:pStyle w:val="30"/>
                  </w:pPr>
                  <w:r>
                    <w:t>C</w:t>
                  </w:r>
                  <w:r>
                    <w:rPr>
                      <w:rFonts w:hint="eastAsia"/>
                    </w:rPr>
                    <w:t>4</w:t>
                  </w:r>
                  <w:r>
                    <w:t>K0+784.83</w:t>
                  </w:r>
                </w:p>
              </w:tc>
              <w:tc>
                <w:tcPr>
                  <w:tcW w:w="904" w:type="pct"/>
                  <w:tcBorders>
                    <w:tl2br w:val="nil"/>
                    <w:tr2bl w:val="nil"/>
                  </w:tcBorders>
                  <w:tcMar>
                    <w:top w:w="15" w:type="dxa"/>
                    <w:left w:w="15" w:type="dxa"/>
                    <w:right w:w="15" w:type="dxa"/>
                  </w:tcMar>
                  <w:vAlign w:val="center"/>
                </w:tcPr>
                <w:p w14:paraId="2A7855C0">
                  <w:pPr>
                    <w:pStyle w:val="30"/>
                  </w:pPr>
                  <w:r>
                    <w:t>C</w:t>
                  </w:r>
                  <w:r>
                    <w:rPr>
                      <w:rFonts w:hint="eastAsia"/>
                    </w:rPr>
                    <w:t>4</w:t>
                  </w:r>
                  <w:r>
                    <w:t>K0+800.00</w:t>
                  </w:r>
                </w:p>
              </w:tc>
              <w:tc>
                <w:tcPr>
                  <w:tcW w:w="406" w:type="pct"/>
                  <w:tcBorders>
                    <w:tl2br w:val="nil"/>
                    <w:tr2bl w:val="nil"/>
                  </w:tcBorders>
                  <w:tcMar>
                    <w:top w:w="15" w:type="dxa"/>
                    <w:left w:w="15" w:type="dxa"/>
                    <w:right w:w="15" w:type="dxa"/>
                  </w:tcMar>
                  <w:vAlign w:val="center"/>
                </w:tcPr>
                <w:p w14:paraId="657E6610">
                  <w:pPr>
                    <w:pStyle w:val="30"/>
                  </w:pPr>
                  <w:r>
                    <w:t>0.015</w:t>
                  </w:r>
                </w:p>
              </w:tc>
              <w:tc>
                <w:tcPr>
                  <w:tcW w:w="538" w:type="pct"/>
                  <w:tcBorders>
                    <w:tl2br w:val="nil"/>
                    <w:tr2bl w:val="nil"/>
                  </w:tcBorders>
                  <w:tcMar>
                    <w:top w:w="15" w:type="dxa"/>
                    <w:left w:w="15" w:type="dxa"/>
                    <w:right w:w="15" w:type="dxa"/>
                  </w:tcMar>
                  <w:vAlign w:val="center"/>
                </w:tcPr>
                <w:p w14:paraId="3D1E604F">
                  <w:pPr>
                    <w:pStyle w:val="30"/>
                  </w:pPr>
                  <w:r>
                    <w:rPr>
                      <w:rFonts w:hint="eastAsia"/>
                    </w:rPr>
                    <w:t>1680</w:t>
                  </w:r>
                </w:p>
              </w:tc>
              <w:tc>
                <w:tcPr>
                  <w:tcW w:w="443" w:type="pct"/>
                  <w:tcBorders>
                    <w:tl2br w:val="nil"/>
                    <w:tr2bl w:val="nil"/>
                  </w:tcBorders>
                  <w:tcMar>
                    <w:top w:w="15" w:type="dxa"/>
                    <w:left w:w="15" w:type="dxa"/>
                    <w:right w:w="15" w:type="dxa"/>
                  </w:tcMar>
                  <w:vAlign w:val="center"/>
                </w:tcPr>
                <w:p w14:paraId="51619123">
                  <w:pPr>
                    <w:pStyle w:val="30"/>
                  </w:pPr>
                  <w:r>
                    <w:rPr>
                      <w:rFonts w:hint="eastAsia"/>
                    </w:rPr>
                    <w:t>26</w:t>
                  </w:r>
                </w:p>
              </w:tc>
              <w:tc>
                <w:tcPr>
                  <w:tcW w:w="1138" w:type="pct"/>
                  <w:tcBorders>
                    <w:tl2br w:val="nil"/>
                    <w:tr2bl w:val="nil"/>
                  </w:tcBorders>
                  <w:tcMar>
                    <w:top w:w="15" w:type="dxa"/>
                    <w:left w:w="15" w:type="dxa"/>
                    <w:right w:w="15" w:type="dxa"/>
                  </w:tcMar>
                  <w:vAlign w:val="center"/>
                </w:tcPr>
                <w:p w14:paraId="2709CEC6">
                  <w:pPr>
                    <w:pStyle w:val="30"/>
                  </w:pPr>
                  <w:r>
                    <w:t>新Ⅱ型混凝土枕</w:t>
                  </w:r>
                </w:p>
              </w:tc>
            </w:tr>
            <w:tr w14:paraId="4A26DF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2" w:hRule="exact"/>
                <w:jc w:val="center"/>
              </w:trPr>
              <w:tc>
                <w:tcPr>
                  <w:tcW w:w="249" w:type="pct"/>
                  <w:vMerge w:val="continue"/>
                  <w:tcBorders>
                    <w:tl2br w:val="nil"/>
                    <w:tr2bl w:val="nil"/>
                  </w:tcBorders>
                  <w:tcMar>
                    <w:top w:w="15" w:type="dxa"/>
                    <w:left w:w="15" w:type="dxa"/>
                    <w:right w:w="15" w:type="dxa"/>
                  </w:tcMar>
                  <w:vAlign w:val="center"/>
                </w:tcPr>
                <w:p w14:paraId="5A215FEB">
                  <w:pPr>
                    <w:pStyle w:val="30"/>
                  </w:pPr>
                </w:p>
              </w:tc>
              <w:tc>
                <w:tcPr>
                  <w:tcW w:w="426" w:type="pct"/>
                  <w:vMerge w:val="continue"/>
                  <w:tcBorders>
                    <w:tl2br w:val="nil"/>
                    <w:tr2bl w:val="nil"/>
                  </w:tcBorders>
                  <w:tcMar>
                    <w:top w:w="15" w:type="dxa"/>
                    <w:left w:w="15" w:type="dxa"/>
                    <w:right w:w="15" w:type="dxa"/>
                  </w:tcMar>
                  <w:vAlign w:val="center"/>
                </w:tcPr>
                <w:p w14:paraId="4D699050">
                  <w:pPr>
                    <w:pStyle w:val="30"/>
                  </w:pPr>
                </w:p>
              </w:tc>
              <w:tc>
                <w:tcPr>
                  <w:tcW w:w="893" w:type="pct"/>
                  <w:tcBorders>
                    <w:tl2br w:val="nil"/>
                    <w:tr2bl w:val="nil"/>
                  </w:tcBorders>
                  <w:tcMar>
                    <w:top w:w="15" w:type="dxa"/>
                    <w:left w:w="15" w:type="dxa"/>
                    <w:right w:w="15" w:type="dxa"/>
                  </w:tcMar>
                  <w:vAlign w:val="center"/>
                </w:tcPr>
                <w:p w14:paraId="65D23403">
                  <w:pPr>
                    <w:pStyle w:val="30"/>
                  </w:pPr>
                  <w:r>
                    <w:t>C</w:t>
                  </w:r>
                  <w:r>
                    <w:rPr>
                      <w:rFonts w:hint="eastAsia"/>
                    </w:rPr>
                    <w:t>4</w:t>
                  </w:r>
                  <w:r>
                    <w:t>K0+800.00</w:t>
                  </w:r>
                </w:p>
              </w:tc>
              <w:tc>
                <w:tcPr>
                  <w:tcW w:w="904" w:type="pct"/>
                  <w:tcBorders>
                    <w:tl2br w:val="nil"/>
                    <w:tr2bl w:val="nil"/>
                  </w:tcBorders>
                  <w:tcMar>
                    <w:top w:w="15" w:type="dxa"/>
                    <w:left w:w="15" w:type="dxa"/>
                    <w:right w:w="15" w:type="dxa"/>
                  </w:tcMar>
                  <w:vAlign w:val="center"/>
                </w:tcPr>
                <w:p w14:paraId="4C2246F5">
                  <w:pPr>
                    <w:pStyle w:val="30"/>
                  </w:pPr>
                  <w:r>
                    <w:t>C</w:t>
                  </w:r>
                  <w:r>
                    <w:rPr>
                      <w:rFonts w:hint="eastAsia"/>
                    </w:rPr>
                    <w:t>4</w:t>
                  </w:r>
                  <w:r>
                    <w:t>K1+121.00</w:t>
                  </w:r>
                </w:p>
              </w:tc>
              <w:tc>
                <w:tcPr>
                  <w:tcW w:w="406" w:type="pct"/>
                  <w:tcBorders>
                    <w:tl2br w:val="nil"/>
                    <w:tr2bl w:val="nil"/>
                  </w:tcBorders>
                  <w:tcMar>
                    <w:top w:w="15" w:type="dxa"/>
                    <w:left w:w="15" w:type="dxa"/>
                    <w:right w:w="15" w:type="dxa"/>
                  </w:tcMar>
                  <w:vAlign w:val="center"/>
                </w:tcPr>
                <w:p w14:paraId="5A09061C">
                  <w:pPr>
                    <w:pStyle w:val="30"/>
                  </w:pPr>
                  <w:r>
                    <w:t>0.321</w:t>
                  </w:r>
                </w:p>
              </w:tc>
              <w:tc>
                <w:tcPr>
                  <w:tcW w:w="538" w:type="pct"/>
                  <w:tcBorders>
                    <w:tl2br w:val="nil"/>
                    <w:tr2bl w:val="nil"/>
                  </w:tcBorders>
                  <w:tcMar>
                    <w:top w:w="15" w:type="dxa"/>
                    <w:left w:w="15" w:type="dxa"/>
                    <w:right w:w="15" w:type="dxa"/>
                  </w:tcMar>
                  <w:vAlign w:val="center"/>
                </w:tcPr>
                <w:p w14:paraId="273C4999">
                  <w:pPr>
                    <w:pStyle w:val="30"/>
                  </w:pPr>
                  <w:r>
                    <w:rPr>
                      <w:rFonts w:hint="eastAsia"/>
                    </w:rPr>
                    <w:t>1600</w:t>
                  </w:r>
                </w:p>
              </w:tc>
              <w:tc>
                <w:tcPr>
                  <w:tcW w:w="443" w:type="pct"/>
                  <w:tcBorders>
                    <w:tl2br w:val="nil"/>
                    <w:tr2bl w:val="nil"/>
                  </w:tcBorders>
                  <w:tcMar>
                    <w:top w:w="15" w:type="dxa"/>
                    <w:left w:w="15" w:type="dxa"/>
                    <w:right w:w="15" w:type="dxa"/>
                  </w:tcMar>
                  <w:vAlign w:val="center"/>
                </w:tcPr>
                <w:p w14:paraId="4EE03BDC">
                  <w:pPr>
                    <w:pStyle w:val="30"/>
                  </w:pPr>
                  <w:r>
                    <w:rPr>
                      <w:rFonts w:hint="eastAsia"/>
                    </w:rPr>
                    <w:t>514</w:t>
                  </w:r>
                </w:p>
              </w:tc>
              <w:tc>
                <w:tcPr>
                  <w:tcW w:w="1138" w:type="pct"/>
                  <w:tcBorders>
                    <w:tl2br w:val="nil"/>
                    <w:tr2bl w:val="nil"/>
                  </w:tcBorders>
                  <w:tcMar>
                    <w:top w:w="15" w:type="dxa"/>
                    <w:left w:w="15" w:type="dxa"/>
                    <w:right w:w="15" w:type="dxa"/>
                  </w:tcMar>
                  <w:vAlign w:val="center"/>
                </w:tcPr>
                <w:p w14:paraId="0B65597E">
                  <w:pPr>
                    <w:pStyle w:val="30"/>
                  </w:pPr>
                  <w:r>
                    <w:t>新Ⅱ型混凝土枕</w:t>
                  </w:r>
                </w:p>
              </w:tc>
            </w:tr>
            <w:tr w14:paraId="017AF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jc w:val="center"/>
              </w:trPr>
              <w:tc>
                <w:tcPr>
                  <w:tcW w:w="676" w:type="pct"/>
                  <w:gridSpan w:val="2"/>
                  <w:tcBorders>
                    <w:tl2br w:val="nil"/>
                    <w:tr2bl w:val="nil"/>
                  </w:tcBorders>
                  <w:tcMar>
                    <w:top w:w="15" w:type="dxa"/>
                    <w:left w:w="15" w:type="dxa"/>
                    <w:right w:w="15" w:type="dxa"/>
                  </w:tcMar>
                  <w:vAlign w:val="center"/>
                </w:tcPr>
                <w:p w14:paraId="5065DCE6">
                  <w:pPr>
                    <w:pStyle w:val="30"/>
                  </w:pPr>
                </w:p>
              </w:tc>
              <w:tc>
                <w:tcPr>
                  <w:tcW w:w="1797" w:type="pct"/>
                  <w:gridSpan w:val="2"/>
                  <w:tcBorders>
                    <w:tl2br w:val="nil"/>
                    <w:tr2bl w:val="nil"/>
                  </w:tcBorders>
                  <w:tcMar>
                    <w:top w:w="15" w:type="dxa"/>
                    <w:left w:w="15" w:type="dxa"/>
                    <w:right w:w="15" w:type="dxa"/>
                  </w:tcMar>
                  <w:vAlign w:val="center"/>
                </w:tcPr>
                <w:p w14:paraId="6ED83A52">
                  <w:pPr>
                    <w:pStyle w:val="30"/>
                  </w:pPr>
                  <w:r>
                    <w:t>合计</w:t>
                  </w:r>
                </w:p>
              </w:tc>
              <w:tc>
                <w:tcPr>
                  <w:tcW w:w="406" w:type="pct"/>
                  <w:tcBorders>
                    <w:tl2br w:val="nil"/>
                    <w:tr2bl w:val="nil"/>
                  </w:tcBorders>
                  <w:tcMar>
                    <w:top w:w="15" w:type="dxa"/>
                    <w:left w:w="15" w:type="dxa"/>
                    <w:right w:w="15" w:type="dxa"/>
                  </w:tcMar>
                  <w:vAlign w:val="center"/>
                </w:tcPr>
                <w:p w14:paraId="784242AA">
                  <w:pPr>
                    <w:pStyle w:val="30"/>
                  </w:pPr>
                </w:p>
              </w:tc>
              <w:tc>
                <w:tcPr>
                  <w:tcW w:w="538" w:type="pct"/>
                  <w:tcBorders>
                    <w:tl2br w:val="nil"/>
                    <w:tr2bl w:val="nil"/>
                  </w:tcBorders>
                  <w:tcMar>
                    <w:top w:w="15" w:type="dxa"/>
                    <w:left w:w="15" w:type="dxa"/>
                    <w:right w:w="15" w:type="dxa"/>
                  </w:tcMar>
                  <w:vAlign w:val="center"/>
                </w:tcPr>
                <w:p w14:paraId="21045CBC">
                  <w:pPr>
                    <w:pStyle w:val="30"/>
                  </w:pPr>
                </w:p>
              </w:tc>
              <w:tc>
                <w:tcPr>
                  <w:tcW w:w="443" w:type="pct"/>
                  <w:tcBorders>
                    <w:tl2br w:val="nil"/>
                    <w:tr2bl w:val="nil"/>
                  </w:tcBorders>
                  <w:tcMar>
                    <w:top w:w="15" w:type="dxa"/>
                    <w:left w:w="15" w:type="dxa"/>
                    <w:right w:w="15" w:type="dxa"/>
                  </w:tcMar>
                  <w:vAlign w:val="center"/>
                </w:tcPr>
                <w:p w14:paraId="3F665E35">
                  <w:pPr>
                    <w:pStyle w:val="30"/>
                  </w:pPr>
                  <w:r>
                    <w:rPr>
                      <w:rFonts w:hint="eastAsia"/>
                    </w:rPr>
                    <w:t>1496</w:t>
                  </w:r>
                </w:p>
              </w:tc>
              <w:tc>
                <w:tcPr>
                  <w:tcW w:w="1138" w:type="pct"/>
                  <w:tcBorders>
                    <w:tl2br w:val="nil"/>
                    <w:tr2bl w:val="nil"/>
                  </w:tcBorders>
                  <w:tcMar>
                    <w:top w:w="15" w:type="dxa"/>
                    <w:left w:w="15" w:type="dxa"/>
                    <w:right w:w="15" w:type="dxa"/>
                  </w:tcMar>
                  <w:vAlign w:val="center"/>
                </w:tcPr>
                <w:p w14:paraId="5538DCC9">
                  <w:pPr>
                    <w:pStyle w:val="30"/>
                  </w:pPr>
                </w:p>
              </w:tc>
            </w:tr>
          </w:tbl>
          <w:p w14:paraId="65E67859">
            <w:pPr>
              <w:ind w:firstLine="480"/>
            </w:pPr>
          </w:p>
          <w:p w14:paraId="55A3CA1F">
            <w:pPr>
              <w:ind w:firstLine="480"/>
            </w:pPr>
            <w:r>
              <w:rPr>
                <w:rFonts w:hint="eastAsia"/>
              </w:rPr>
              <w:t>（5）更换扣件</w:t>
            </w:r>
          </w:p>
          <w:p w14:paraId="078DD9C3">
            <w:pPr>
              <w:ind w:firstLine="480"/>
            </w:pPr>
            <w:r>
              <w:t>新铺线路范围内既有扣板扣件更换为弹条Ⅰ型扣件。扣件更换位置及数量见表</w:t>
            </w:r>
            <w:r>
              <w:rPr>
                <w:rFonts w:hint="eastAsia"/>
              </w:rPr>
              <w:t>2-6。</w:t>
            </w:r>
          </w:p>
          <w:p w14:paraId="67E7C0CA">
            <w:pPr>
              <w:pStyle w:val="33"/>
            </w:pPr>
            <w:r>
              <w:rPr>
                <w:rFonts w:hint="eastAsia"/>
              </w:rPr>
              <w:t>表2-6 扣件更换位置及数量表</w:t>
            </w:r>
          </w:p>
          <w:tbl>
            <w:tblPr>
              <w:tblStyle w:val="25"/>
              <w:tblW w:w="4997" w:type="pct"/>
              <w:tblInd w:w="1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61"/>
              <w:gridCol w:w="616"/>
              <w:gridCol w:w="1289"/>
              <w:gridCol w:w="1283"/>
              <w:gridCol w:w="574"/>
              <w:gridCol w:w="915"/>
              <w:gridCol w:w="727"/>
              <w:gridCol w:w="1446"/>
            </w:tblGrid>
            <w:tr w14:paraId="182D6A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12" w:hRule="exact"/>
              </w:trPr>
              <w:tc>
                <w:tcPr>
                  <w:tcW w:w="250" w:type="pct"/>
                  <w:tcBorders>
                    <w:tl2br w:val="nil"/>
                    <w:tr2bl w:val="nil"/>
                  </w:tcBorders>
                  <w:tcMar>
                    <w:top w:w="15" w:type="dxa"/>
                    <w:left w:w="15" w:type="dxa"/>
                    <w:right w:w="15" w:type="dxa"/>
                  </w:tcMar>
                  <w:vAlign w:val="center"/>
                </w:tcPr>
                <w:p w14:paraId="40DBF301">
                  <w:pPr>
                    <w:pStyle w:val="30"/>
                  </w:pPr>
                  <w:r>
                    <w:t>顺序</w:t>
                  </w:r>
                </w:p>
              </w:tc>
              <w:tc>
                <w:tcPr>
                  <w:tcW w:w="427" w:type="pct"/>
                  <w:tcBorders>
                    <w:tl2br w:val="nil"/>
                    <w:tr2bl w:val="nil"/>
                  </w:tcBorders>
                  <w:tcMar>
                    <w:top w:w="15" w:type="dxa"/>
                    <w:left w:w="15" w:type="dxa"/>
                    <w:right w:w="15" w:type="dxa"/>
                  </w:tcMar>
                  <w:vAlign w:val="center"/>
                </w:tcPr>
                <w:p w14:paraId="51063D3C">
                  <w:pPr>
                    <w:pStyle w:val="30"/>
                  </w:pPr>
                  <w:r>
                    <w:rPr>
                      <w:rFonts w:hint="eastAsia"/>
                    </w:rPr>
                    <w:t>股道</w:t>
                  </w:r>
                </w:p>
              </w:tc>
              <w:tc>
                <w:tcPr>
                  <w:tcW w:w="893" w:type="pct"/>
                  <w:tcBorders>
                    <w:tl2br w:val="nil"/>
                    <w:tr2bl w:val="nil"/>
                  </w:tcBorders>
                  <w:tcMar>
                    <w:top w:w="15" w:type="dxa"/>
                    <w:left w:w="15" w:type="dxa"/>
                    <w:right w:w="15" w:type="dxa"/>
                  </w:tcMar>
                  <w:vAlign w:val="center"/>
                </w:tcPr>
                <w:p w14:paraId="776818C2">
                  <w:pPr>
                    <w:pStyle w:val="30"/>
                  </w:pPr>
                  <w:r>
                    <w:t>起点里程</w:t>
                  </w:r>
                </w:p>
              </w:tc>
              <w:tc>
                <w:tcPr>
                  <w:tcW w:w="888" w:type="pct"/>
                  <w:tcBorders>
                    <w:tl2br w:val="nil"/>
                    <w:tr2bl w:val="nil"/>
                  </w:tcBorders>
                  <w:tcMar>
                    <w:top w:w="15" w:type="dxa"/>
                    <w:left w:w="15" w:type="dxa"/>
                    <w:right w:w="15" w:type="dxa"/>
                  </w:tcMar>
                  <w:vAlign w:val="center"/>
                </w:tcPr>
                <w:p w14:paraId="6F8AD53E">
                  <w:pPr>
                    <w:pStyle w:val="30"/>
                  </w:pPr>
                  <w:r>
                    <w:t>终点里程</w:t>
                  </w:r>
                </w:p>
              </w:tc>
              <w:tc>
                <w:tcPr>
                  <w:tcW w:w="398" w:type="pct"/>
                  <w:tcBorders>
                    <w:tl2br w:val="nil"/>
                    <w:tr2bl w:val="nil"/>
                  </w:tcBorders>
                  <w:tcMar>
                    <w:top w:w="15" w:type="dxa"/>
                    <w:left w:w="15" w:type="dxa"/>
                    <w:right w:w="15" w:type="dxa"/>
                  </w:tcMar>
                  <w:vAlign w:val="center"/>
                </w:tcPr>
                <w:p w14:paraId="3C2394A6">
                  <w:pPr>
                    <w:pStyle w:val="30"/>
                  </w:pPr>
                  <w:r>
                    <w:t>延长</w:t>
                  </w:r>
                </w:p>
                <w:p w14:paraId="3C0A7826">
                  <w:pPr>
                    <w:pStyle w:val="30"/>
                  </w:pPr>
                  <w:r>
                    <w:t>公里</w:t>
                  </w:r>
                </w:p>
              </w:tc>
              <w:tc>
                <w:tcPr>
                  <w:tcW w:w="634" w:type="pct"/>
                  <w:tcBorders>
                    <w:tl2br w:val="nil"/>
                    <w:tr2bl w:val="nil"/>
                  </w:tcBorders>
                  <w:tcMar>
                    <w:top w:w="15" w:type="dxa"/>
                    <w:left w:w="15" w:type="dxa"/>
                    <w:right w:w="15" w:type="dxa"/>
                  </w:tcMar>
                  <w:vAlign w:val="center"/>
                </w:tcPr>
                <w:p w14:paraId="78B02D75">
                  <w:pPr>
                    <w:pStyle w:val="30"/>
                  </w:pPr>
                  <w:r>
                    <w:t>每公里</w:t>
                  </w:r>
                </w:p>
                <w:p w14:paraId="19CCD1AD">
                  <w:pPr>
                    <w:pStyle w:val="30"/>
                  </w:pPr>
                  <w:r>
                    <w:t>配置</w:t>
                  </w:r>
                  <w:r>
                    <w:br w:type="textWrapping"/>
                  </w:r>
                  <w:r>
                    <w:t>（套/km）</w:t>
                  </w:r>
                </w:p>
              </w:tc>
              <w:tc>
                <w:tcPr>
                  <w:tcW w:w="504" w:type="pct"/>
                  <w:tcBorders>
                    <w:tl2br w:val="nil"/>
                    <w:tr2bl w:val="nil"/>
                  </w:tcBorders>
                  <w:tcMar>
                    <w:top w:w="15" w:type="dxa"/>
                    <w:left w:w="15" w:type="dxa"/>
                    <w:right w:w="15" w:type="dxa"/>
                  </w:tcMar>
                  <w:vAlign w:val="center"/>
                </w:tcPr>
                <w:p w14:paraId="61948A2D">
                  <w:pPr>
                    <w:pStyle w:val="30"/>
                  </w:pPr>
                  <w:r>
                    <w:t>数 量（根）</w:t>
                  </w:r>
                </w:p>
              </w:tc>
              <w:tc>
                <w:tcPr>
                  <w:tcW w:w="1002" w:type="pct"/>
                  <w:tcBorders>
                    <w:tl2br w:val="nil"/>
                    <w:tr2bl w:val="nil"/>
                  </w:tcBorders>
                  <w:tcMar>
                    <w:top w:w="15" w:type="dxa"/>
                    <w:left w:w="15" w:type="dxa"/>
                    <w:right w:w="15" w:type="dxa"/>
                  </w:tcMar>
                  <w:vAlign w:val="center"/>
                </w:tcPr>
                <w:p w14:paraId="1A85C042">
                  <w:pPr>
                    <w:pStyle w:val="30"/>
                  </w:pPr>
                  <w:r>
                    <w:t>附 注</w:t>
                  </w:r>
                </w:p>
              </w:tc>
            </w:tr>
            <w:tr w14:paraId="70F762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trPr>
              <w:tc>
                <w:tcPr>
                  <w:tcW w:w="250" w:type="pct"/>
                  <w:vMerge w:val="restart"/>
                  <w:tcBorders>
                    <w:tl2br w:val="nil"/>
                    <w:tr2bl w:val="nil"/>
                  </w:tcBorders>
                  <w:tcMar>
                    <w:top w:w="15" w:type="dxa"/>
                    <w:left w:w="15" w:type="dxa"/>
                    <w:right w:w="15" w:type="dxa"/>
                  </w:tcMar>
                  <w:vAlign w:val="center"/>
                </w:tcPr>
                <w:p w14:paraId="2160ADB5">
                  <w:pPr>
                    <w:pStyle w:val="30"/>
                  </w:pPr>
                  <w:r>
                    <w:t>1</w:t>
                  </w:r>
                </w:p>
              </w:tc>
              <w:tc>
                <w:tcPr>
                  <w:tcW w:w="427" w:type="pct"/>
                  <w:vMerge w:val="restart"/>
                  <w:tcBorders>
                    <w:tl2br w:val="nil"/>
                    <w:tr2bl w:val="nil"/>
                  </w:tcBorders>
                  <w:tcMar>
                    <w:top w:w="15" w:type="dxa"/>
                    <w:left w:w="15" w:type="dxa"/>
                    <w:right w:w="15" w:type="dxa"/>
                  </w:tcMar>
                  <w:vAlign w:val="center"/>
                </w:tcPr>
                <w:p w14:paraId="14F4BEF7">
                  <w:pPr>
                    <w:pStyle w:val="30"/>
                  </w:pPr>
                  <w:r>
                    <w:rPr>
                      <w:rFonts w:hint="eastAsia"/>
                    </w:rPr>
                    <w:t>走行线</w:t>
                  </w:r>
                </w:p>
              </w:tc>
              <w:tc>
                <w:tcPr>
                  <w:tcW w:w="893" w:type="pct"/>
                  <w:tcBorders>
                    <w:tl2br w:val="nil"/>
                    <w:tr2bl w:val="nil"/>
                  </w:tcBorders>
                  <w:tcMar>
                    <w:top w:w="15" w:type="dxa"/>
                    <w:left w:w="15" w:type="dxa"/>
                    <w:right w:w="15" w:type="dxa"/>
                  </w:tcMar>
                  <w:vAlign w:val="center"/>
                </w:tcPr>
                <w:p w14:paraId="0C4EC4C7">
                  <w:pPr>
                    <w:pStyle w:val="30"/>
                  </w:pPr>
                  <w:r>
                    <w:t>YK0+501.25</w:t>
                  </w:r>
                </w:p>
              </w:tc>
              <w:tc>
                <w:tcPr>
                  <w:tcW w:w="888" w:type="pct"/>
                  <w:tcBorders>
                    <w:tl2br w:val="nil"/>
                    <w:tr2bl w:val="nil"/>
                  </w:tcBorders>
                  <w:tcMar>
                    <w:top w:w="15" w:type="dxa"/>
                    <w:left w:w="15" w:type="dxa"/>
                    <w:right w:w="15" w:type="dxa"/>
                  </w:tcMar>
                  <w:vAlign w:val="center"/>
                </w:tcPr>
                <w:p w14:paraId="44DFBEDD">
                  <w:pPr>
                    <w:pStyle w:val="30"/>
                  </w:pPr>
                  <w:r>
                    <w:t>YK0+513.76</w:t>
                  </w:r>
                </w:p>
              </w:tc>
              <w:tc>
                <w:tcPr>
                  <w:tcW w:w="398" w:type="pct"/>
                  <w:tcBorders>
                    <w:tl2br w:val="nil"/>
                    <w:tr2bl w:val="nil"/>
                  </w:tcBorders>
                  <w:tcMar>
                    <w:top w:w="15" w:type="dxa"/>
                    <w:left w:w="15" w:type="dxa"/>
                    <w:right w:w="15" w:type="dxa"/>
                  </w:tcMar>
                  <w:vAlign w:val="center"/>
                </w:tcPr>
                <w:p w14:paraId="56AA0371">
                  <w:pPr>
                    <w:pStyle w:val="30"/>
                  </w:pPr>
                  <w:r>
                    <w:t>0.013</w:t>
                  </w:r>
                </w:p>
              </w:tc>
              <w:tc>
                <w:tcPr>
                  <w:tcW w:w="634" w:type="pct"/>
                  <w:tcBorders>
                    <w:tl2br w:val="nil"/>
                    <w:tr2bl w:val="nil"/>
                  </w:tcBorders>
                  <w:tcMar>
                    <w:top w:w="15" w:type="dxa"/>
                    <w:left w:w="15" w:type="dxa"/>
                    <w:right w:w="15" w:type="dxa"/>
                  </w:tcMar>
                  <w:vAlign w:val="center"/>
                </w:tcPr>
                <w:p w14:paraId="5352FA1D">
                  <w:pPr>
                    <w:pStyle w:val="30"/>
                  </w:pPr>
                  <w:r>
                    <w:rPr>
                      <w:rFonts w:hint="eastAsia"/>
                    </w:rPr>
                    <w:t>1680</w:t>
                  </w:r>
                </w:p>
              </w:tc>
              <w:tc>
                <w:tcPr>
                  <w:tcW w:w="504" w:type="pct"/>
                  <w:tcBorders>
                    <w:tl2br w:val="nil"/>
                    <w:tr2bl w:val="nil"/>
                  </w:tcBorders>
                  <w:tcMar>
                    <w:top w:w="15" w:type="dxa"/>
                    <w:left w:w="15" w:type="dxa"/>
                    <w:right w:w="15" w:type="dxa"/>
                  </w:tcMar>
                  <w:vAlign w:val="center"/>
                </w:tcPr>
                <w:p w14:paraId="3152123D">
                  <w:pPr>
                    <w:pStyle w:val="30"/>
                  </w:pPr>
                  <w:r>
                    <w:rPr>
                      <w:rFonts w:hint="eastAsia"/>
                    </w:rPr>
                    <w:t>21</w:t>
                  </w:r>
                </w:p>
              </w:tc>
              <w:tc>
                <w:tcPr>
                  <w:tcW w:w="1002" w:type="pct"/>
                  <w:tcBorders>
                    <w:tl2br w:val="nil"/>
                    <w:tr2bl w:val="nil"/>
                  </w:tcBorders>
                  <w:tcMar>
                    <w:top w:w="15" w:type="dxa"/>
                    <w:left w:w="15" w:type="dxa"/>
                    <w:right w:w="15" w:type="dxa"/>
                  </w:tcMar>
                  <w:vAlign w:val="center"/>
                </w:tcPr>
                <w:p w14:paraId="3492709F">
                  <w:pPr>
                    <w:pStyle w:val="30"/>
                  </w:pPr>
                  <w:r>
                    <w:t>弹条Ⅰ型扣件</w:t>
                  </w:r>
                </w:p>
              </w:tc>
            </w:tr>
            <w:tr w14:paraId="4EF3F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trPr>
              <w:tc>
                <w:tcPr>
                  <w:tcW w:w="250" w:type="pct"/>
                  <w:vMerge w:val="continue"/>
                  <w:tcBorders>
                    <w:tl2br w:val="nil"/>
                    <w:tr2bl w:val="nil"/>
                  </w:tcBorders>
                  <w:tcMar>
                    <w:top w:w="15" w:type="dxa"/>
                    <w:left w:w="15" w:type="dxa"/>
                    <w:right w:w="15" w:type="dxa"/>
                  </w:tcMar>
                  <w:vAlign w:val="center"/>
                </w:tcPr>
                <w:p w14:paraId="5D7846FC">
                  <w:pPr>
                    <w:pStyle w:val="30"/>
                  </w:pPr>
                </w:p>
              </w:tc>
              <w:tc>
                <w:tcPr>
                  <w:tcW w:w="427" w:type="pct"/>
                  <w:vMerge w:val="continue"/>
                  <w:tcBorders>
                    <w:tl2br w:val="nil"/>
                    <w:tr2bl w:val="nil"/>
                  </w:tcBorders>
                  <w:tcMar>
                    <w:top w:w="15" w:type="dxa"/>
                    <w:left w:w="15" w:type="dxa"/>
                    <w:right w:w="15" w:type="dxa"/>
                  </w:tcMar>
                  <w:vAlign w:val="center"/>
                </w:tcPr>
                <w:p w14:paraId="6A482469">
                  <w:pPr>
                    <w:pStyle w:val="30"/>
                  </w:pPr>
                </w:p>
              </w:tc>
              <w:tc>
                <w:tcPr>
                  <w:tcW w:w="893" w:type="pct"/>
                  <w:tcBorders>
                    <w:tl2br w:val="nil"/>
                    <w:tr2bl w:val="nil"/>
                  </w:tcBorders>
                  <w:tcMar>
                    <w:top w:w="15" w:type="dxa"/>
                    <w:left w:w="15" w:type="dxa"/>
                    <w:right w:w="15" w:type="dxa"/>
                  </w:tcMar>
                  <w:vAlign w:val="center"/>
                </w:tcPr>
                <w:p w14:paraId="6CA9BB70">
                  <w:pPr>
                    <w:pStyle w:val="30"/>
                  </w:pPr>
                  <w:r>
                    <w:t>YK0+585.81</w:t>
                  </w:r>
                </w:p>
              </w:tc>
              <w:tc>
                <w:tcPr>
                  <w:tcW w:w="888" w:type="pct"/>
                  <w:tcBorders>
                    <w:tl2br w:val="nil"/>
                    <w:tr2bl w:val="nil"/>
                  </w:tcBorders>
                  <w:tcMar>
                    <w:top w:w="15" w:type="dxa"/>
                    <w:left w:w="15" w:type="dxa"/>
                    <w:right w:w="15" w:type="dxa"/>
                  </w:tcMar>
                  <w:vAlign w:val="center"/>
                </w:tcPr>
                <w:p w14:paraId="4688BC16">
                  <w:pPr>
                    <w:pStyle w:val="30"/>
                  </w:pPr>
                  <w:r>
                    <w:t>YK0+590.22</w:t>
                  </w:r>
                </w:p>
              </w:tc>
              <w:tc>
                <w:tcPr>
                  <w:tcW w:w="398" w:type="pct"/>
                  <w:tcBorders>
                    <w:tl2br w:val="nil"/>
                    <w:tr2bl w:val="nil"/>
                  </w:tcBorders>
                  <w:tcMar>
                    <w:top w:w="15" w:type="dxa"/>
                    <w:left w:w="15" w:type="dxa"/>
                    <w:right w:w="15" w:type="dxa"/>
                  </w:tcMar>
                  <w:vAlign w:val="center"/>
                </w:tcPr>
                <w:p w14:paraId="06A47056">
                  <w:pPr>
                    <w:pStyle w:val="30"/>
                  </w:pPr>
                  <w:r>
                    <w:rPr>
                      <w:rFonts w:hint="eastAsia"/>
                    </w:rPr>
                    <w:t>0.004</w:t>
                  </w:r>
                </w:p>
              </w:tc>
              <w:tc>
                <w:tcPr>
                  <w:tcW w:w="634" w:type="pct"/>
                  <w:tcBorders>
                    <w:tl2br w:val="nil"/>
                    <w:tr2bl w:val="nil"/>
                  </w:tcBorders>
                  <w:tcMar>
                    <w:top w:w="15" w:type="dxa"/>
                    <w:left w:w="15" w:type="dxa"/>
                    <w:right w:w="15" w:type="dxa"/>
                  </w:tcMar>
                  <w:vAlign w:val="center"/>
                </w:tcPr>
                <w:p w14:paraId="6D764CA3">
                  <w:pPr>
                    <w:pStyle w:val="30"/>
                  </w:pPr>
                  <w:r>
                    <w:rPr>
                      <w:rFonts w:hint="eastAsia"/>
                    </w:rPr>
                    <w:t>1680</w:t>
                  </w:r>
                </w:p>
              </w:tc>
              <w:tc>
                <w:tcPr>
                  <w:tcW w:w="504" w:type="pct"/>
                  <w:tcBorders>
                    <w:tl2br w:val="nil"/>
                    <w:tr2bl w:val="nil"/>
                  </w:tcBorders>
                  <w:tcMar>
                    <w:top w:w="15" w:type="dxa"/>
                    <w:left w:w="15" w:type="dxa"/>
                    <w:right w:w="15" w:type="dxa"/>
                  </w:tcMar>
                  <w:vAlign w:val="center"/>
                </w:tcPr>
                <w:p w14:paraId="6E66E84C">
                  <w:pPr>
                    <w:pStyle w:val="30"/>
                  </w:pPr>
                  <w:r>
                    <w:rPr>
                      <w:rFonts w:hint="eastAsia"/>
                    </w:rPr>
                    <w:t>8</w:t>
                  </w:r>
                </w:p>
              </w:tc>
              <w:tc>
                <w:tcPr>
                  <w:tcW w:w="1002" w:type="pct"/>
                  <w:tcBorders>
                    <w:tl2br w:val="nil"/>
                    <w:tr2bl w:val="nil"/>
                  </w:tcBorders>
                  <w:tcMar>
                    <w:top w:w="15" w:type="dxa"/>
                    <w:left w:w="15" w:type="dxa"/>
                    <w:right w:w="15" w:type="dxa"/>
                  </w:tcMar>
                  <w:vAlign w:val="center"/>
                </w:tcPr>
                <w:p w14:paraId="7CEA98C7">
                  <w:pPr>
                    <w:pStyle w:val="30"/>
                  </w:pPr>
                  <w:r>
                    <w:t>弹条Ⅰ型扣件</w:t>
                  </w:r>
                </w:p>
              </w:tc>
            </w:tr>
            <w:tr w14:paraId="4AC14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trPr>
              <w:tc>
                <w:tcPr>
                  <w:tcW w:w="250" w:type="pct"/>
                  <w:vMerge w:val="restart"/>
                  <w:tcBorders>
                    <w:tl2br w:val="nil"/>
                    <w:tr2bl w:val="nil"/>
                  </w:tcBorders>
                  <w:tcMar>
                    <w:top w:w="15" w:type="dxa"/>
                    <w:left w:w="15" w:type="dxa"/>
                    <w:right w:w="15" w:type="dxa"/>
                  </w:tcMar>
                  <w:vAlign w:val="center"/>
                </w:tcPr>
                <w:p w14:paraId="0143D2E8">
                  <w:pPr>
                    <w:pStyle w:val="30"/>
                  </w:pPr>
                  <w:r>
                    <w:rPr>
                      <w:rFonts w:hint="eastAsia"/>
                    </w:rPr>
                    <w:t>2</w:t>
                  </w:r>
                </w:p>
              </w:tc>
              <w:tc>
                <w:tcPr>
                  <w:tcW w:w="427" w:type="pct"/>
                  <w:vMerge w:val="restart"/>
                  <w:tcBorders>
                    <w:tl2br w:val="nil"/>
                    <w:tr2bl w:val="nil"/>
                  </w:tcBorders>
                  <w:tcMar>
                    <w:top w:w="15" w:type="dxa"/>
                    <w:left w:w="15" w:type="dxa"/>
                    <w:right w:w="15" w:type="dxa"/>
                  </w:tcMar>
                  <w:vAlign w:val="center"/>
                </w:tcPr>
                <w:p w14:paraId="21FECCEC">
                  <w:pPr>
                    <w:pStyle w:val="30"/>
                  </w:pPr>
                  <w:r>
                    <w:rPr>
                      <w:rFonts w:hint="eastAsia"/>
                    </w:rPr>
                    <w:t>3道</w:t>
                  </w:r>
                </w:p>
              </w:tc>
              <w:tc>
                <w:tcPr>
                  <w:tcW w:w="893" w:type="pct"/>
                  <w:tcBorders>
                    <w:tl2br w:val="nil"/>
                    <w:tr2bl w:val="nil"/>
                  </w:tcBorders>
                  <w:tcMar>
                    <w:top w:w="15" w:type="dxa"/>
                    <w:left w:w="15" w:type="dxa"/>
                    <w:right w:w="15" w:type="dxa"/>
                  </w:tcMar>
                  <w:vAlign w:val="center"/>
                </w:tcPr>
                <w:p w14:paraId="47084DE1">
                  <w:pPr>
                    <w:pStyle w:val="30"/>
                  </w:pPr>
                  <w:r>
                    <w:t>C</w:t>
                  </w:r>
                  <w:r>
                    <w:rPr>
                      <w:rFonts w:hint="eastAsia"/>
                    </w:rPr>
                    <w:t>3</w:t>
                  </w:r>
                  <w:r>
                    <w:t>K0+550.71</w:t>
                  </w:r>
                </w:p>
              </w:tc>
              <w:tc>
                <w:tcPr>
                  <w:tcW w:w="888" w:type="pct"/>
                  <w:tcBorders>
                    <w:tl2br w:val="nil"/>
                    <w:tr2bl w:val="nil"/>
                  </w:tcBorders>
                  <w:tcMar>
                    <w:top w:w="15" w:type="dxa"/>
                    <w:left w:w="15" w:type="dxa"/>
                    <w:right w:w="15" w:type="dxa"/>
                  </w:tcMar>
                  <w:vAlign w:val="center"/>
                </w:tcPr>
                <w:p w14:paraId="24A09568">
                  <w:pPr>
                    <w:pStyle w:val="30"/>
                  </w:pPr>
                  <w:r>
                    <w:t>C</w:t>
                  </w:r>
                  <w:r>
                    <w:rPr>
                      <w:rFonts w:hint="eastAsia"/>
                    </w:rPr>
                    <w:t>3</w:t>
                  </w:r>
                  <w:r>
                    <w:t>K0+580.00</w:t>
                  </w:r>
                </w:p>
              </w:tc>
              <w:tc>
                <w:tcPr>
                  <w:tcW w:w="398" w:type="pct"/>
                  <w:tcBorders>
                    <w:tl2br w:val="nil"/>
                    <w:tr2bl w:val="nil"/>
                  </w:tcBorders>
                  <w:tcMar>
                    <w:top w:w="15" w:type="dxa"/>
                    <w:left w:w="15" w:type="dxa"/>
                    <w:right w:w="15" w:type="dxa"/>
                  </w:tcMar>
                  <w:vAlign w:val="center"/>
                </w:tcPr>
                <w:p w14:paraId="3F907EB6">
                  <w:pPr>
                    <w:pStyle w:val="30"/>
                  </w:pPr>
                  <w:r>
                    <w:t>0.029</w:t>
                  </w:r>
                </w:p>
              </w:tc>
              <w:tc>
                <w:tcPr>
                  <w:tcW w:w="634" w:type="pct"/>
                  <w:tcBorders>
                    <w:tl2br w:val="nil"/>
                    <w:tr2bl w:val="nil"/>
                  </w:tcBorders>
                  <w:tcMar>
                    <w:top w:w="15" w:type="dxa"/>
                    <w:left w:w="15" w:type="dxa"/>
                    <w:right w:w="15" w:type="dxa"/>
                  </w:tcMar>
                  <w:vAlign w:val="center"/>
                </w:tcPr>
                <w:p w14:paraId="2559F458">
                  <w:pPr>
                    <w:pStyle w:val="30"/>
                  </w:pPr>
                  <w:r>
                    <w:rPr>
                      <w:rFonts w:hint="eastAsia"/>
                    </w:rPr>
                    <w:t>1680</w:t>
                  </w:r>
                </w:p>
              </w:tc>
              <w:tc>
                <w:tcPr>
                  <w:tcW w:w="504" w:type="pct"/>
                  <w:tcBorders>
                    <w:tl2br w:val="nil"/>
                    <w:tr2bl w:val="nil"/>
                  </w:tcBorders>
                  <w:tcMar>
                    <w:top w:w="15" w:type="dxa"/>
                    <w:left w:w="15" w:type="dxa"/>
                    <w:right w:w="15" w:type="dxa"/>
                  </w:tcMar>
                  <w:vAlign w:val="center"/>
                </w:tcPr>
                <w:p w14:paraId="06FFA0D9">
                  <w:pPr>
                    <w:pStyle w:val="30"/>
                  </w:pPr>
                  <w:r>
                    <w:rPr>
                      <w:rFonts w:hint="eastAsia"/>
                    </w:rPr>
                    <w:t>50</w:t>
                  </w:r>
                </w:p>
              </w:tc>
              <w:tc>
                <w:tcPr>
                  <w:tcW w:w="1002" w:type="pct"/>
                  <w:tcBorders>
                    <w:tl2br w:val="nil"/>
                    <w:tr2bl w:val="nil"/>
                  </w:tcBorders>
                  <w:tcMar>
                    <w:top w:w="15" w:type="dxa"/>
                    <w:left w:w="15" w:type="dxa"/>
                    <w:right w:w="15" w:type="dxa"/>
                  </w:tcMar>
                  <w:vAlign w:val="center"/>
                </w:tcPr>
                <w:p w14:paraId="17CA663F">
                  <w:pPr>
                    <w:pStyle w:val="30"/>
                  </w:pPr>
                  <w:r>
                    <w:t>弹条Ⅰ型扣件</w:t>
                  </w:r>
                </w:p>
              </w:tc>
            </w:tr>
            <w:tr w14:paraId="09D4A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trPr>
              <w:tc>
                <w:tcPr>
                  <w:tcW w:w="250" w:type="pct"/>
                  <w:vMerge w:val="continue"/>
                  <w:tcBorders>
                    <w:tl2br w:val="nil"/>
                    <w:tr2bl w:val="nil"/>
                  </w:tcBorders>
                  <w:tcMar>
                    <w:top w:w="15" w:type="dxa"/>
                    <w:left w:w="15" w:type="dxa"/>
                    <w:right w:w="15" w:type="dxa"/>
                  </w:tcMar>
                  <w:vAlign w:val="center"/>
                </w:tcPr>
                <w:p w14:paraId="74002590">
                  <w:pPr>
                    <w:pStyle w:val="30"/>
                  </w:pPr>
                </w:p>
              </w:tc>
              <w:tc>
                <w:tcPr>
                  <w:tcW w:w="427" w:type="pct"/>
                  <w:vMerge w:val="continue"/>
                  <w:tcBorders>
                    <w:tl2br w:val="nil"/>
                    <w:tr2bl w:val="nil"/>
                  </w:tcBorders>
                  <w:tcMar>
                    <w:top w:w="15" w:type="dxa"/>
                    <w:left w:w="15" w:type="dxa"/>
                    <w:right w:w="15" w:type="dxa"/>
                  </w:tcMar>
                  <w:vAlign w:val="center"/>
                </w:tcPr>
                <w:p w14:paraId="44ADF2DC">
                  <w:pPr>
                    <w:pStyle w:val="30"/>
                  </w:pPr>
                </w:p>
              </w:tc>
              <w:tc>
                <w:tcPr>
                  <w:tcW w:w="893" w:type="pct"/>
                  <w:tcBorders>
                    <w:tl2br w:val="nil"/>
                    <w:tr2bl w:val="nil"/>
                  </w:tcBorders>
                  <w:tcMar>
                    <w:top w:w="15" w:type="dxa"/>
                    <w:left w:w="15" w:type="dxa"/>
                    <w:right w:w="15" w:type="dxa"/>
                  </w:tcMar>
                  <w:vAlign w:val="center"/>
                </w:tcPr>
                <w:p w14:paraId="604AAAFA">
                  <w:pPr>
                    <w:pStyle w:val="30"/>
                  </w:pPr>
                  <w:r>
                    <w:t>C</w:t>
                  </w:r>
                  <w:r>
                    <w:rPr>
                      <w:rFonts w:hint="eastAsia"/>
                    </w:rPr>
                    <w:t>3</w:t>
                  </w:r>
                  <w:r>
                    <w:t>K0+580.00</w:t>
                  </w:r>
                </w:p>
              </w:tc>
              <w:tc>
                <w:tcPr>
                  <w:tcW w:w="888" w:type="pct"/>
                  <w:tcBorders>
                    <w:tl2br w:val="nil"/>
                    <w:tr2bl w:val="nil"/>
                  </w:tcBorders>
                  <w:tcMar>
                    <w:top w:w="15" w:type="dxa"/>
                    <w:left w:w="15" w:type="dxa"/>
                    <w:right w:w="15" w:type="dxa"/>
                  </w:tcMar>
                  <w:vAlign w:val="center"/>
                </w:tcPr>
                <w:p w14:paraId="2B8E167B">
                  <w:pPr>
                    <w:pStyle w:val="30"/>
                  </w:pPr>
                  <w:r>
                    <w:t>C</w:t>
                  </w:r>
                  <w:r>
                    <w:rPr>
                      <w:rFonts w:hint="eastAsia"/>
                    </w:rPr>
                    <w:t>3</w:t>
                  </w:r>
                  <w:r>
                    <w:t>K0+918.00</w:t>
                  </w:r>
                </w:p>
              </w:tc>
              <w:tc>
                <w:tcPr>
                  <w:tcW w:w="398" w:type="pct"/>
                  <w:tcBorders>
                    <w:tl2br w:val="nil"/>
                    <w:tr2bl w:val="nil"/>
                  </w:tcBorders>
                  <w:tcMar>
                    <w:top w:w="15" w:type="dxa"/>
                    <w:left w:w="15" w:type="dxa"/>
                    <w:right w:w="15" w:type="dxa"/>
                  </w:tcMar>
                  <w:vAlign w:val="center"/>
                </w:tcPr>
                <w:p w14:paraId="0501487A">
                  <w:pPr>
                    <w:pStyle w:val="30"/>
                  </w:pPr>
                  <w:r>
                    <w:t>0.338</w:t>
                  </w:r>
                </w:p>
              </w:tc>
              <w:tc>
                <w:tcPr>
                  <w:tcW w:w="634" w:type="pct"/>
                  <w:tcBorders>
                    <w:tl2br w:val="nil"/>
                    <w:tr2bl w:val="nil"/>
                  </w:tcBorders>
                  <w:tcMar>
                    <w:top w:w="15" w:type="dxa"/>
                    <w:left w:w="15" w:type="dxa"/>
                    <w:right w:w="15" w:type="dxa"/>
                  </w:tcMar>
                  <w:vAlign w:val="center"/>
                </w:tcPr>
                <w:p w14:paraId="1D4610FE">
                  <w:pPr>
                    <w:pStyle w:val="30"/>
                  </w:pPr>
                  <w:r>
                    <w:rPr>
                      <w:rFonts w:hint="eastAsia"/>
                    </w:rPr>
                    <w:t>1600</w:t>
                  </w:r>
                </w:p>
              </w:tc>
              <w:tc>
                <w:tcPr>
                  <w:tcW w:w="504" w:type="pct"/>
                  <w:tcBorders>
                    <w:tl2br w:val="nil"/>
                    <w:tr2bl w:val="nil"/>
                  </w:tcBorders>
                  <w:tcMar>
                    <w:top w:w="15" w:type="dxa"/>
                    <w:left w:w="15" w:type="dxa"/>
                    <w:right w:w="15" w:type="dxa"/>
                  </w:tcMar>
                  <w:vAlign w:val="center"/>
                </w:tcPr>
                <w:p w14:paraId="24069B3E">
                  <w:pPr>
                    <w:pStyle w:val="30"/>
                  </w:pPr>
                  <w:r>
                    <w:rPr>
                      <w:rFonts w:hint="eastAsia"/>
                    </w:rPr>
                    <w:t>541</w:t>
                  </w:r>
                </w:p>
              </w:tc>
              <w:tc>
                <w:tcPr>
                  <w:tcW w:w="1002" w:type="pct"/>
                  <w:tcBorders>
                    <w:tl2br w:val="nil"/>
                    <w:tr2bl w:val="nil"/>
                  </w:tcBorders>
                  <w:tcMar>
                    <w:top w:w="15" w:type="dxa"/>
                    <w:left w:w="15" w:type="dxa"/>
                    <w:right w:w="15" w:type="dxa"/>
                  </w:tcMar>
                  <w:vAlign w:val="center"/>
                </w:tcPr>
                <w:p w14:paraId="2C7E717E">
                  <w:pPr>
                    <w:pStyle w:val="30"/>
                  </w:pPr>
                  <w:r>
                    <w:t>弹条Ⅰ型扣件</w:t>
                  </w:r>
                </w:p>
              </w:tc>
            </w:tr>
            <w:tr w14:paraId="437258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trPr>
              <w:tc>
                <w:tcPr>
                  <w:tcW w:w="250" w:type="pct"/>
                  <w:vMerge w:val="restart"/>
                  <w:tcBorders>
                    <w:tl2br w:val="nil"/>
                    <w:tr2bl w:val="nil"/>
                  </w:tcBorders>
                  <w:tcMar>
                    <w:top w:w="15" w:type="dxa"/>
                    <w:left w:w="15" w:type="dxa"/>
                    <w:right w:w="15" w:type="dxa"/>
                  </w:tcMar>
                  <w:vAlign w:val="center"/>
                </w:tcPr>
                <w:p w14:paraId="3ECB72A1">
                  <w:pPr>
                    <w:pStyle w:val="30"/>
                  </w:pPr>
                  <w:r>
                    <w:rPr>
                      <w:rFonts w:hint="eastAsia"/>
                    </w:rPr>
                    <w:t>3</w:t>
                  </w:r>
                </w:p>
              </w:tc>
              <w:tc>
                <w:tcPr>
                  <w:tcW w:w="427" w:type="pct"/>
                  <w:vMerge w:val="restart"/>
                  <w:tcBorders>
                    <w:tl2br w:val="nil"/>
                    <w:tr2bl w:val="nil"/>
                  </w:tcBorders>
                  <w:tcMar>
                    <w:top w:w="15" w:type="dxa"/>
                    <w:left w:w="15" w:type="dxa"/>
                    <w:right w:w="15" w:type="dxa"/>
                  </w:tcMar>
                  <w:vAlign w:val="center"/>
                </w:tcPr>
                <w:p w14:paraId="1DF94F5A">
                  <w:pPr>
                    <w:pStyle w:val="30"/>
                  </w:pPr>
                  <w:r>
                    <w:rPr>
                      <w:rFonts w:hint="eastAsia"/>
                    </w:rPr>
                    <w:t>4道</w:t>
                  </w:r>
                </w:p>
              </w:tc>
              <w:tc>
                <w:tcPr>
                  <w:tcW w:w="893" w:type="pct"/>
                  <w:tcBorders>
                    <w:tl2br w:val="nil"/>
                    <w:tr2bl w:val="nil"/>
                  </w:tcBorders>
                  <w:tcMar>
                    <w:top w:w="15" w:type="dxa"/>
                    <w:left w:w="15" w:type="dxa"/>
                    <w:right w:w="15" w:type="dxa"/>
                  </w:tcMar>
                  <w:vAlign w:val="center"/>
                </w:tcPr>
                <w:p w14:paraId="0065E067">
                  <w:pPr>
                    <w:pStyle w:val="30"/>
                  </w:pPr>
                  <w:r>
                    <w:t>C</w:t>
                  </w:r>
                  <w:r>
                    <w:rPr>
                      <w:rFonts w:hint="eastAsia"/>
                    </w:rPr>
                    <w:t>4</w:t>
                  </w:r>
                  <w:r>
                    <w:t>K0+585.81</w:t>
                  </w:r>
                </w:p>
              </w:tc>
              <w:tc>
                <w:tcPr>
                  <w:tcW w:w="888" w:type="pct"/>
                  <w:tcBorders>
                    <w:tl2br w:val="nil"/>
                    <w:tr2bl w:val="nil"/>
                  </w:tcBorders>
                  <w:tcMar>
                    <w:top w:w="15" w:type="dxa"/>
                    <w:left w:w="15" w:type="dxa"/>
                    <w:right w:w="15" w:type="dxa"/>
                  </w:tcMar>
                  <w:vAlign w:val="center"/>
                </w:tcPr>
                <w:p w14:paraId="5F5E8571">
                  <w:pPr>
                    <w:pStyle w:val="30"/>
                  </w:pPr>
                  <w:r>
                    <w:t>C</w:t>
                  </w:r>
                  <w:r>
                    <w:rPr>
                      <w:rFonts w:hint="eastAsia"/>
                    </w:rPr>
                    <w:t>4</w:t>
                  </w:r>
                  <w:r>
                    <w:t>K0+800.00</w:t>
                  </w:r>
                </w:p>
              </w:tc>
              <w:tc>
                <w:tcPr>
                  <w:tcW w:w="398" w:type="pct"/>
                  <w:tcBorders>
                    <w:tl2br w:val="nil"/>
                    <w:tr2bl w:val="nil"/>
                  </w:tcBorders>
                  <w:tcMar>
                    <w:top w:w="15" w:type="dxa"/>
                    <w:left w:w="15" w:type="dxa"/>
                    <w:right w:w="15" w:type="dxa"/>
                  </w:tcMar>
                  <w:vAlign w:val="center"/>
                </w:tcPr>
                <w:p w14:paraId="48321878">
                  <w:pPr>
                    <w:pStyle w:val="30"/>
                  </w:pPr>
                  <w:r>
                    <w:t>0.</w:t>
                  </w:r>
                  <w:r>
                    <w:rPr>
                      <w:rFonts w:hint="eastAsia"/>
                    </w:rPr>
                    <w:t>214</w:t>
                  </w:r>
                </w:p>
              </w:tc>
              <w:tc>
                <w:tcPr>
                  <w:tcW w:w="634" w:type="pct"/>
                  <w:tcBorders>
                    <w:tl2br w:val="nil"/>
                    <w:tr2bl w:val="nil"/>
                  </w:tcBorders>
                  <w:tcMar>
                    <w:top w:w="15" w:type="dxa"/>
                    <w:left w:w="15" w:type="dxa"/>
                    <w:right w:w="15" w:type="dxa"/>
                  </w:tcMar>
                  <w:vAlign w:val="center"/>
                </w:tcPr>
                <w:p w14:paraId="44E18258">
                  <w:pPr>
                    <w:pStyle w:val="30"/>
                  </w:pPr>
                  <w:r>
                    <w:rPr>
                      <w:rFonts w:hint="eastAsia"/>
                    </w:rPr>
                    <w:t>1680</w:t>
                  </w:r>
                </w:p>
              </w:tc>
              <w:tc>
                <w:tcPr>
                  <w:tcW w:w="504" w:type="pct"/>
                  <w:tcBorders>
                    <w:tl2br w:val="nil"/>
                    <w:tr2bl w:val="nil"/>
                  </w:tcBorders>
                  <w:tcMar>
                    <w:top w:w="15" w:type="dxa"/>
                    <w:left w:w="15" w:type="dxa"/>
                    <w:right w:w="15" w:type="dxa"/>
                  </w:tcMar>
                  <w:vAlign w:val="center"/>
                </w:tcPr>
                <w:p w14:paraId="1A524024">
                  <w:pPr>
                    <w:pStyle w:val="30"/>
                  </w:pPr>
                  <w:r>
                    <w:rPr>
                      <w:rFonts w:hint="eastAsia"/>
                    </w:rPr>
                    <w:t>362</w:t>
                  </w:r>
                </w:p>
              </w:tc>
              <w:tc>
                <w:tcPr>
                  <w:tcW w:w="1002" w:type="pct"/>
                  <w:tcBorders>
                    <w:tl2br w:val="nil"/>
                    <w:tr2bl w:val="nil"/>
                  </w:tcBorders>
                  <w:tcMar>
                    <w:top w:w="15" w:type="dxa"/>
                    <w:left w:w="15" w:type="dxa"/>
                    <w:right w:w="15" w:type="dxa"/>
                  </w:tcMar>
                  <w:vAlign w:val="center"/>
                </w:tcPr>
                <w:p w14:paraId="60735435">
                  <w:pPr>
                    <w:pStyle w:val="30"/>
                  </w:pPr>
                  <w:r>
                    <w:t>弹条Ⅰ型扣件</w:t>
                  </w:r>
                </w:p>
              </w:tc>
            </w:tr>
            <w:tr w14:paraId="1DAF3C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trPr>
              <w:tc>
                <w:tcPr>
                  <w:tcW w:w="250" w:type="pct"/>
                  <w:vMerge w:val="continue"/>
                  <w:tcBorders>
                    <w:tl2br w:val="nil"/>
                    <w:tr2bl w:val="nil"/>
                  </w:tcBorders>
                  <w:tcMar>
                    <w:top w:w="15" w:type="dxa"/>
                    <w:left w:w="15" w:type="dxa"/>
                    <w:right w:w="15" w:type="dxa"/>
                  </w:tcMar>
                  <w:vAlign w:val="center"/>
                </w:tcPr>
                <w:p w14:paraId="14C3ECB6">
                  <w:pPr>
                    <w:pStyle w:val="30"/>
                  </w:pPr>
                </w:p>
              </w:tc>
              <w:tc>
                <w:tcPr>
                  <w:tcW w:w="427" w:type="pct"/>
                  <w:vMerge w:val="continue"/>
                  <w:tcBorders>
                    <w:tl2br w:val="nil"/>
                    <w:tr2bl w:val="nil"/>
                  </w:tcBorders>
                  <w:tcMar>
                    <w:top w:w="15" w:type="dxa"/>
                    <w:left w:w="15" w:type="dxa"/>
                    <w:right w:w="15" w:type="dxa"/>
                  </w:tcMar>
                  <w:vAlign w:val="center"/>
                </w:tcPr>
                <w:p w14:paraId="3B5CBA9D">
                  <w:pPr>
                    <w:pStyle w:val="30"/>
                  </w:pPr>
                </w:p>
              </w:tc>
              <w:tc>
                <w:tcPr>
                  <w:tcW w:w="893" w:type="pct"/>
                  <w:tcBorders>
                    <w:tl2br w:val="nil"/>
                    <w:tr2bl w:val="nil"/>
                  </w:tcBorders>
                  <w:tcMar>
                    <w:top w:w="15" w:type="dxa"/>
                    <w:left w:w="15" w:type="dxa"/>
                    <w:right w:w="15" w:type="dxa"/>
                  </w:tcMar>
                  <w:vAlign w:val="center"/>
                </w:tcPr>
                <w:p w14:paraId="6F6FF139">
                  <w:pPr>
                    <w:pStyle w:val="30"/>
                  </w:pPr>
                  <w:r>
                    <w:t>C</w:t>
                  </w:r>
                  <w:r>
                    <w:rPr>
                      <w:rFonts w:hint="eastAsia"/>
                    </w:rPr>
                    <w:t>4</w:t>
                  </w:r>
                  <w:r>
                    <w:t>K0+800.00</w:t>
                  </w:r>
                </w:p>
              </w:tc>
              <w:tc>
                <w:tcPr>
                  <w:tcW w:w="888" w:type="pct"/>
                  <w:tcBorders>
                    <w:tl2br w:val="nil"/>
                    <w:tr2bl w:val="nil"/>
                  </w:tcBorders>
                  <w:tcMar>
                    <w:top w:w="15" w:type="dxa"/>
                    <w:left w:w="15" w:type="dxa"/>
                    <w:right w:w="15" w:type="dxa"/>
                  </w:tcMar>
                  <w:vAlign w:val="center"/>
                </w:tcPr>
                <w:p w14:paraId="34860FE5">
                  <w:pPr>
                    <w:pStyle w:val="30"/>
                  </w:pPr>
                  <w:r>
                    <w:t>C</w:t>
                  </w:r>
                  <w:r>
                    <w:rPr>
                      <w:rFonts w:hint="eastAsia"/>
                    </w:rPr>
                    <w:t>4</w:t>
                  </w:r>
                  <w:r>
                    <w:t>K1+121.00</w:t>
                  </w:r>
                </w:p>
              </w:tc>
              <w:tc>
                <w:tcPr>
                  <w:tcW w:w="398" w:type="pct"/>
                  <w:tcBorders>
                    <w:tl2br w:val="nil"/>
                    <w:tr2bl w:val="nil"/>
                  </w:tcBorders>
                  <w:tcMar>
                    <w:top w:w="15" w:type="dxa"/>
                    <w:left w:w="15" w:type="dxa"/>
                    <w:right w:w="15" w:type="dxa"/>
                  </w:tcMar>
                  <w:vAlign w:val="center"/>
                </w:tcPr>
                <w:p w14:paraId="161C8528">
                  <w:pPr>
                    <w:pStyle w:val="30"/>
                  </w:pPr>
                  <w:r>
                    <w:t>0.321</w:t>
                  </w:r>
                </w:p>
              </w:tc>
              <w:tc>
                <w:tcPr>
                  <w:tcW w:w="634" w:type="pct"/>
                  <w:tcBorders>
                    <w:tl2br w:val="nil"/>
                    <w:tr2bl w:val="nil"/>
                  </w:tcBorders>
                  <w:tcMar>
                    <w:top w:w="15" w:type="dxa"/>
                    <w:left w:w="15" w:type="dxa"/>
                    <w:right w:w="15" w:type="dxa"/>
                  </w:tcMar>
                  <w:vAlign w:val="center"/>
                </w:tcPr>
                <w:p w14:paraId="5F2D1583">
                  <w:pPr>
                    <w:pStyle w:val="30"/>
                  </w:pPr>
                  <w:r>
                    <w:rPr>
                      <w:rFonts w:hint="eastAsia"/>
                    </w:rPr>
                    <w:t>1600</w:t>
                  </w:r>
                </w:p>
              </w:tc>
              <w:tc>
                <w:tcPr>
                  <w:tcW w:w="504" w:type="pct"/>
                  <w:tcBorders>
                    <w:tl2br w:val="nil"/>
                    <w:tr2bl w:val="nil"/>
                  </w:tcBorders>
                  <w:tcMar>
                    <w:top w:w="15" w:type="dxa"/>
                    <w:left w:w="15" w:type="dxa"/>
                    <w:right w:w="15" w:type="dxa"/>
                  </w:tcMar>
                  <w:vAlign w:val="center"/>
                </w:tcPr>
                <w:p w14:paraId="5F9F3574">
                  <w:pPr>
                    <w:pStyle w:val="30"/>
                  </w:pPr>
                  <w:r>
                    <w:rPr>
                      <w:rFonts w:hint="eastAsia"/>
                    </w:rPr>
                    <w:t>514</w:t>
                  </w:r>
                </w:p>
              </w:tc>
              <w:tc>
                <w:tcPr>
                  <w:tcW w:w="1002" w:type="pct"/>
                  <w:tcBorders>
                    <w:tl2br w:val="nil"/>
                    <w:tr2bl w:val="nil"/>
                  </w:tcBorders>
                  <w:tcMar>
                    <w:top w:w="15" w:type="dxa"/>
                    <w:left w:w="15" w:type="dxa"/>
                    <w:right w:w="15" w:type="dxa"/>
                  </w:tcMar>
                  <w:vAlign w:val="center"/>
                </w:tcPr>
                <w:p w14:paraId="79D28E6F">
                  <w:pPr>
                    <w:pStyle w:val="30"/>
                  </w:pPr>
                  <w:r>
                    <w:t>弹条Ⅰ型扣件</w:t>
                  </w:r>
                </w:p>
              </w:tc>
            </w:tr>
            <w:tr w14:paraId="28105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exact"/>
              </w:trPr>
              <w:tc>
                <w:tcPr>
                  <w:tcW w:w="677" w:type="pct"/>
                  <w:gridSpan w:val="2"/>
                  <w:tcBorders>
                    <w:tl2br w:val="nil"/>
                    <w:tr2bl w:val="nil"/>
                  </w:tcBorders>
                  <w:tcMar>
                    <w:top w:w="15" w:type="dxa"/>
                    <w:left w:w="15" w:type="dxa"/>
                    <w:right w:w="15" w:type="dxa"/>
                  </w:tcMar>
                  <w:vAlign w:val="center"/>
                </w:tcPr>
                <w:p w14:paraId="66B95D8C">
                  <w:pPr>
                    <w:pStyle w:val="30"/>
                  </w:pPr>
                </w:p>
              </w:tc>
              <w:tc>
                <w:tcPr>
                  <w:tcW w:w="1782" w:type="pct"/>
                  <w:gridSpan w:val="2"/>
                  <w:tcBorders>
                    <w:tl2br w:val="nil"/>
                    <w:tr2bl w:val="nil"/>
                  </w:tcBorders>
                  <w:tcMar>
                    <w:top w:w="15" w:type="dxa"/>
                    <w:left w:w="15" w:type="dxa"/>
                    <w:right w:w="15" w:type="dxa"/>
                  </w:tcMar>
                  <w:vAlign w:val="center"/>
                </w:tcPr>
                <w:p w14:paraId="7046A39D">
                  <w:pPr>
                    <w:pStyle w:val="30"/>
                  </w:pPr>
                  <w:r>
                    <w:t>合计</w:t>
                  </w:r>
                </w:p>
              </w:tc>
              <w:tc>
                <w:tcPr>
                  <w:tcW w:w="398" w:type="pct"/>
                  <w:tcBorders>
                    <w:tl2br w:val="nil"/>
                    <w:tr2bl w:val="nil"/>
                  </w:tcBorders>
                  <w:tcMar>
                    <w:top w:w="15" w:type="dxa"/>
                    <w:left w:w="15" w:type="dxa"/>
                    <w:right w:w="15" w:type="dxa"/>
                  </w:tcMar>
                  <w:vAlign w:val="center"/>
                </w:tcPr>
                <w:p w14:paraId="60FFC37B">
                  <w:pPr>
                    <w:pStyle w:val="30"/>
                  </w:pPr>
                </w:p>
              </w:tc>
              <w:tc>
                <w:tcPr>
                  <w:tcW w:w="634" w:type="pct"/>
                  <w:tcBorders>
                    <w:tl2br w:val="nil"/>
                    <w:tr2bl w:val="nil"/>
                  </w:tcBorders>
                  <w:tcMar>
                    <w:top w:w="15" w:type="dxa"/>
                    <w:left w:w="15" w:type="dxa"/>
                    <w:right w:w="15" w:type="dxa"/>
                  </w:tcMar>
                  <w:vAlign w:val="center"/>
                </w:tcPr>
                <w:p w14:paraId="4EFB32DB">
                  <w:pPr>
                    <w:pStyle w:val="30"/>
                  </w:pPr>
                </w:p>
              </w:tc>
              <w:tc>
                <w:tcPr>
                  <w:tcW w:w="504" w:type="pct"/>
                  <w:tcBorders>
                    <w:tl2br w:val="nil"/>
                    <w:tr2bl w:val="nil"/>
                  </w:tcBorders>
                  <w:tcMar>
                    <w:top w:w="15" w:type="dxa"/>
                    <w:left w:w="15" w:type="dxa"/>
                    <w:right w:w="15" w:type="dxa"/>
                  </w:tcMar>
                  <w:vAlign w:val="center"/>
                </w:tcPr>
                <w:p w14:paraId="15DAC7FD">
                  <w:pPr>
                    <w:pStyle w:val="30"/>
                  </w:pPr>
                  <w:r>
                    <w:rPr>
                      <w:rFonts w:hint="eastAsia"/>
                    </w:rPr>
                    <w:t>1496</w:t>
                  </w:r>
                </w:p>
              </w:tc>
              <w:tc>
                <w:tcPr>
                  <w:tcW w:w="1002" w:type="pct"/>
                  <w:tcBorders>
                    <w:tl2br w:val="nil"/>
                    <w:tr2bl w:val="nil"/>
                  </w:tcBorders>
                  <w:tcMar>
                    <w:top w:w="15" w:type="dxa"/>
                    <w:left w:w="15" w:type="dxa"/>
                    <w:right w:w="15" w:type="dxa"/>
                  </w:tcMar>
                  <w:vAlign w:val="center"/>
                </w:tcPr>
                <w:p w14:paraId="0536F2E1">
                  <w:pPr>
                    <w:pStyle w:val="30"/>
                  </w:pPr>
                </w:p>
              </w:tc>
            </w:tr>
          </w:tbl>
          <w:p w14:paraId="16E1024D">
            <w:pPr>
              <w:ind w:firstLine="480"/>
            </w:pPr>
          </w:p>
          <w:p w14:paraId="5121F9EC">
            <w:pPr>
              <w:ind w:firstLine="480"/>
            </w:pPr>
            <w:r>
              <w:rPr>
                <w:rFonts w:hint="eastAsia"/>
              </w:rPr>
              <w:t>（6）更换道床</w:t>
            </w:r>
          </w:p>
          <w:p w14:paraId="1F7DA42F">
            <w:pPr>
              <w:ind w:firstLine="480"/>
            </w:pPr>
            <w:r>
              <w:t>走行线改造范围内既有为混砂道床，3道和4道既有无道床。本次研究走行线改造范围内挖除YK0+501.25~YK0+590.22之间既有混砂道床，在该范围内新铺碎石道床。3道和4道沿改造线位新铺碎石道床。</w:t>
            </w:r>
          </w:p>
          <w:p w14:paraId="3210638F">
            <w:pPr>
              <w:ind w:firstLine="480"/>
            </w:pPr>
            <w:r>
              <w:rPr>
                <w:rFonts w:hint="eastAsia"/>
              </w:rPr>
              <w:t>（7）站场路基</w:t>
            </w:r>
          </w:p>
          <w:p w14:paraId="39C83F8A">
            <w:pPr>
              <w:ind w:firstLine="480"/>
            </w:pPr>
            <w:r>
              <w:t>3道和4道线路大修范围内清除地表杂填土，按设计高程换填路基。</w:t>
            </w:r>
          </w:p>
          <w:p w14:paraId="523A5BC3">
            <w:pPr>
              <w:ind w:firstLine="480"/>
            </w:pPr>
            <w:r>
              <w:rPr>
                <w:rFonts w:hint="eastAsia"/>
              </w:rPr>
              <w:t>（8）排水沟</w:t>
            </w:r>
          </w:p>
          <w:p w14:paraId="23DF1E62">
            <w:pPr>
              <w:ind w:firstLine="480"/>
            </w:pPr>
            <w:r>
              <w:t>既有3道与左侧混凝土硬化面间设有排水沟1条，线路施工过程中需对既有排水沟进行拆除。本次研究3道大修后在线路两侧路肩外分别新设钢筋混凝土矩形盖板排水沟1条。排水沟通过横向排水槽穿越3道线路引至铁路路基范围外侧散排。</w:t>
            </w:r>
          </w:p>
          <w:p w14:paraId="419D6793">
            <w:pPr>
              <w:ind w:firstLine="480"/>
            </w:pPr>
            <w:r>
              <w:rPr>
                <w:rFonts w:hint="eastAsia"/>
              </w:rPr>
              <w:t>（9）车档</w:t>
            </w:r>
          </w:p>
          <w:p w14:paraId="4E9B414D">
            <w:pPr>
              <w:ind w:firstLine="480"/>
            </w:pPr>
            <w:r>
              <w:t>拆除3道和4道既有车挡，在3道终点C3K0+918和4道终点C4K1+121处分别设置固定式车挡和滑动挡车器各1座，并配置太阳能表示器各1处。</w:t>
            </w:r>
          </w:p>
          <w:p w14:paraId="35250B14">
            <w:pPr>
              <w:ind w:firstLine="482"/>
              <w:rPr>
                <w:b/>
                <w:bCs/>
              </w:rPr>
            </w:pPr>
            <w:r>
              <w:rPr>
                <w:rFonts w:hint="eastAsia"/>
                <w:b/>
                <w:bCs/>
              </w:rPr>
              <w:t>6、站场轨道</w:t>
            </w:r>
          </w:p>
          <w:p w14:paraId="6926CB84">
            <w:pPr>
              <w:ind w:firstLine="480"/>
            </w:pPr>
            <w:r>
              <w:rPr>
                <w:rFonts w:hint="eastAsia"/>
              </w:rPr>
              <w:t>（1）</w:t>
            </w:r>
            <w:r>
              <w:t>钢轨及配件类型</w:t>
            </w:r>
          </w:p>
          <w:p w14:paraId="105A6B36">
            <w:pPr>
              <w:ind w:firstLine="480"/>
            </w:pPr>
            <w:r>
              <w:t>1)钢轨采用50kg/m-25m钢轨。配件采用6孔双头式鱼尾板，接头螺栓采用8.8级及以上高强度接头螺栓，螺母采用10级高强度螺母，垫圈采用单层弹簧垫圈。</w:t>
            </w:r>
          </w:p>
          <w:p w14:paraId="77CFAB70">
            <w:pPr>
              <w:ind w:firstLine="480"/>
            </w:pPr>
            <w:r>
              <w:t>2)不同类型钢轨之间采用12.5m长43kg/m-50kg/m异型钢轨过渡连接。</w:t>
            </w:r>
          </w:p>
          <w:p w14:paraId="74F0EA0F">
            <w:pPr>
              <w:ind w:firstLine="480"/>
            </w:pPr>
            <w:r>
              <w:rPr>
                <w:rFonts w:hint="eastAsia"/>
              </w:rPr>
              <w:t>（2）</w:t>
            </w:r>
            <w:r>
              <w:t>轨枕</w:t>
            </w:r>
          </w:p>
          <w:p w14:paraId="595043C0">
            <w:pPr>
              <w:ind w:firstLine="480"/>
            </w:pPr>
            <w:r>
              <w:t>1)轨枕采用新II型钢筋混凝土枕。轨枕配置根数为1600根/km。</w:t>
            </w:r>
          </w:p>
          <w:p w14:paraId="7743F1CA">
            <w:pPr>
              <w:ind w:firstLine="480"/>
            </w:pPr>
            <w:r>
              <w:t>2)半径400m及以下的曲线地段和坡度大于15‰的地段轨枕配置根数每公里增加80根。</w:t>
            </w:r>
          </w:p>
          <w:p w14:paraId="049FD8CF">
            <w:pPr>
              <w:ind w:firstLine="480"/>
            </w:pPr>
            <w:r>
              <w:t>3)半径小于300m的地段铺设小半径曲线用混凝土轨枕。</w:t>
            </w:r>
          </w:p>
          <w:p w14:paraId="034D2B95">
            <w:pPr>
              <w:ind w:firstLine="480"/>
            </w:pPr>
            <w:r>
              <w:rPr>
                <w:rFonts w:hint="eastAsia"/>
              </w:rPr>
              <w:t>（3）</w:t>
            </w:r>
            <w:r>
              <w:t>扣件类型</w:t>
            </w:r>
          </w:p>
          <w:p w14:paraId="428DB750">
            <w:pPr>
              <w:ind w:firstLine="480"/>
            </w:pPr>
            <w:r>
              <w:t>扣件采用弹条I型扣件。</w:t>
            </w:r>
          </w:p>
          <w:p w14:paraId="51BE5D24">
            <w:pPr>
              <w:ind w:firstLine="480"/>
            </w:pPr>
            <w:r>
              <w:t>（</w:t>
            </w:r>
            <w:r>
              <w:rPr>
                <w:rFonts w:hint="eastAsia"/>
              </w:rPr>
              <w:t>4</w:t>
            </w:r>
            <w:r>
              <w:t>）道床类型</w:t>
            </w:r>
          </w:p>
          <w:p w14:paraId="0F082032">
            <w:pPr>
              <w:ind w:firstLine="480"/>
            </w:pPr>
            <w:r>
              <w:t>新铺道床顶面宽度为2.9m，采用单层碎石道砟，厚度为0.25m。道床边坡坡率为1</w:t>
            </w:r>
            <w:r>
              <w:rPr>
                <w:rFonts w:hint="eastAsia"/>
              </w:rPr>
              <w:t>：</w:t>
            </w:r>
            <w:r>
              <w:t>1.5。</w:t>
            </w:r>
          </w:p>
          <w:p w14:paraId="45C7EA24">
            <w:pPr>
              <w:ind w:firstLine="480"/>
            </w:pPr>
            <w:r>
              <w:rPr>
                <w:rFonts w:hint="eastAsia"/>
              </w:rPr>
              <w:t>（5）</w:t>
            </w:r>
            <w:r>
              <w:t>道岔类型的选择</w:t>
            </w:r>
          </w:p>
          <w:p w14:paraId="216E47F6">
            <w:pPr>
              <w:ind w:firstLine="480"/>
            </w:pPr>
            <w:r>
              <w:t>新铺单开道岔均采用50kg/m钢轨9号混凝土岔枕单开道岔（图号：CZ2209）。新铺道岔均配置扳道器和警冲标。</w:t>
            </w:r>
          </w:p>
          <w:p w14:paraId="1ECB7CE3">
            <w:pPr>
              <w:ind w:firstLine="482"/>
              <w:rPr>
                <w:b/>
                <w:bCs/>
              </w:rPr>
            </w:pPr>
            <w:r>
              <w:rPr>
                <w:rFonts w:hint="eastAsia"/>
                <w:b/>
                <w:bCs/>
              </w:rPr>
              <w:t>7、站场路基及排水</w:t>
            </w:r>
          </w:p>
          <w:p w14:paraId="7F82E61B">
            <w:pPr>
              <w:ind w:firstLine="480"/>
            </w:pPr>
            <w:r>
              <w:rPr>
                <w:rFonts w:hint="eastAsia"/>
              </w:rPr>
              <w:t>（1）</w:t>
            </w:r>
            <w:r>
              <w:t>站线中心线至路基边缘的宽度：车场最外侧线路不应小于3m；有列检作业的车场最外侧线路不应小于4m，困难条件下，采用挡砟墙时不应小于3m；最外侧梯线和平面调车牵出线有调车人员上、下车作业的一侧，不应小于3.5m。</w:t>
            </w:r>
          </w:p>
          <w:p w14:paraId="5BC28B40">
            <w:pPr>
              <w:ind w:firstLine="480"/>
            </w:pPr>
            <w:r>
              <w:rPr>
                <w:rFonts w:hint="eastAsia"/>
              </w:rPr>
              <w:t>（2）</w:t>
            </w:r>
            <w:r>
              <w:t>车站内最外侧线路最小路肩宽度路堤不应小于0.6m，路堑不应小于0.4m。</w:t>
            </w:r>
          </w:p>
          <w:p w14:paraId="5164F063">
            <w:pPr>
              <w:ind w:firstLine="480"/>
            </w:pPr>
            <w:r>
              <w:rPr>
                <w:rFonts w:hint="eastAsia"/>
              </w:rPr>
              <w:t>（3）</w:t>
            </w:r>
            <w:r>
              <w:t>站内路基地段路堤边坡坡度采用1：1.5。</w:t>
            </w:r>
          </w:p>
          <w:p w14:paraId="2866F383">
            <w:pPr>
              <w:ind w:firstLine="480"/>
            </w:pPr>
            <w:r>
              <w:rPr>
                <w:rFonts w:hint="eastAsia"/>
              </w:rPr>
              <w:t>（4）</w:t>
            </w:r>
            <w:r>
              <w:t>路基填料标准</w:t>
            </w:r>
          </w:p>
          <w:p w14:paraId="1098B180">
            <w:pPr>
              <w:ind w:firstLine="480"/>
            </w:pPr>
            <w:r>
              <w:t>本次研究为既有线路大修，新铺线路基本位于既有路基范围内。因路基面杂草丛生，需对表层路基进行换填，路基表层采用B组填料，厚度为0.3m。</w:t>
            </w:r>
          </w:p>
          <w:p w14:paraId="4CDE24DC">
            <w:pPr>
              <w:ind w:firstLine="480"/>
            </w:pPr>
            <w:r>
              <w:rPr>
                <w:rFonts w:hint="eastAsia"/>
              </w:rPr>
              <w:t>（5）</w:t>
            </w:r>
            <w:r>
              <w:t>路基压实标准：基床表层、底层及基床以下路堤压实按《铁路专用线设计规范（试行）》（TB10638-2019）中相关规定执行。</w:t>
            </w:r>
          </w:p>
          <w:p w14:paraId="0138EFF5">
            <w:pPr>
              <w:ind w:firstLine="480"/>
            </w:pPr>
            <w:r>
              <w:rPr>
                <w:rFonts w:hint="eastAsia"/>
              </w:rPr>
              <w:t>（6）</w:t>
            </w:r>
            <w:r>
              <w:t>工程范围内既有路基大部分为低矮路堤、路堑或零断面形式，填高约0～0.5m，挖深约0～1.4m，新建路基维持既有路基植物防护形式。路堤填筑完成后，边坡播撒草籽防护。</w:t>
            </w:r>
          </w:p>
          <w:p w14:paraId="005A29ED">
            <w:pPr>
              <w:ind w:firstLine="480"/>
            </w:pPr>
            <w:r>
              <w:rPr>
                <w:rFonts w:hint="eastAsia"/>
              </w:rPr>
              <w:t>（7）</w:t>
            </w:r>
            <w:r>
              <w:t>站场排水</w:t>
            </w:r>
          </w:p>
          <w:p w14:paraId="1E072B1D">
            <w:pPr>
              <w:ind w:firstLine="480"/>
            </w:pPr>
            <w:r>
              <w:t>1)车站路基面应设有倾向排水系统的横向坡度，可设计为一面坡、两面坡或锯齿形坡。路基面的横向坡度不宜倾向正线。</w:t>
            </w:r>
          </w:p>
          <w:p w14:paraId="140DB77D">
            <w:pPr>
              <w:ind w:firstLine="480"/>
            </w:pPr>
            <w:r>
              <w:t>2)排水沟的横断面底宽可采用0.4m，深度可采用0.4~0.6m，分水点处可采用0.2m。纵横向排水槽底宽不应小于0.4m；深度大于1.2m时，其底宽应适当加宽。当排水沟、槽位于调车、列检、装卸等作业区和人员通行地段时，应加设盖板。</w:t>
            </w:r>
          </w:p>
          <w:p w14:paraId="6D44EA1C">
            <w:pPr>
              <w:ind w:firstLine="480"/>
            </w:pPr>
            <w:r>
              <w:t>3)排水沟、槽的纵坡不宜小于2‰，困难条件下可采用1‰；穿越线路的横向排水槽纵坡不应小于5‰，特别困难条件下可根据具体情况确定。</w:t>
            </w:r>
          </w:p>
          <w:p w14:paraId="07D61AC1">
            <w:pPr>
              <w:ind w:firstLine="480"/>
            </w:pPr>
            <w:r>
              <w:t>4)本次研究路肩采用钢筋混凝土矩形盖板纵向排水沟，长度为0.785km，新建横向排水槽0.02km。</w:t>
            </w:r>
          </w:p>
          <w:p w14:paraId="3BCD04DA">
            <w:pPr>
              <w:ind w:firstLine="482"/>
              <w:rPr>
                <w:b/>
                <w:bCs/>
              </w:rPr>
            </w:pPr>
            <w:r>
              <w:rPr>
                <w:rFonts w:hint="eastAsia"/>
                <w:b/>
                <w:bCs/>
              </w:rPr>
              <w:t>8、桥涵</w:t>
            </w:r>
          </w:p>
          <w:p w14:paraId="433FF583">
            <w:pPr>
              <w:ind w:firstLine="480"/>
            </w:pPr>
            <w:r>
              <w:rPr>
                <w:rFonts w:hint="eastAsia"/>
              </w:rPr>
              <w:t>8.1桥涵概况</w:t>
            </w:r>
          </w:p>
          <w:p w14:paraId="07BA8606">
            <w:pPr>
              <w:ind w:firstLine="480"/>
            </w:pPr>
            <w:r>
              <w:rPr>
                <w:rFonts w:hint="eastAsia"/>
              </w:rPr>
              <w:t>（1）</w:t>
            </w:r>
            <w:r>
              <w:t>既有线桥涵概况</w:t>
            </w:r>
          </w:p>
          <w:p w14:paraId="19B44915">
            <w:pPr>
              <w:ind w:firstLine="480"/>
            </w:pPr>
            <w:r>
              <w:t>本工程既有专用线有1座废弃圆涵。</w:t>
            </w:r>
          </w:p>
          <w:p w14:paraId="3464673F">
            <w:pPr>
              <w:ind w:firstLine="480"/>
            </w:pPr>
            <w:r>
              <w:rPr>
                <w:rFonts w:hint="eastAsia"/>
              </w:rPr>
              <w:t>（2）</w:t>
            </w:r>
            <w:r>
              <w:t>桥涵水文计算方法</w:t>
            </w:r>
          </w:p>
          <w:p w14:paraId="0AD9B3B5">
            <w:pPr>
              <w:ind w:firstLine="480"/>
            </w:pPr>
            <w:r>
              <w:t>本次研究线路无跨越河流，仅跨越沟渠设置涵洞；沿线小流域流量计算采</w:t>
            </w:r>
            <w:r>
              <w:rPr>
                <w:rFonts w:hint="eastAsia" w:ascii="宋体" w:hAnsi="宋体" w:cs="宋体"/>
              </w:rPr>
              <w:t>用“三院一法”</w:t>
            </w:r>
            <w:r>
              <w:t>，并采用黑龙江省地方公式计算进行验证。</w:t>
            </w:r>
          </w:p>
          <w:p w14:paraId="5CCFD5BC">
            <w:pPr>
              <w:ind w:firstLine="480"/>
            </w:pPr>
            <w:r>
              <w:rPr>
                <w:rFonts w:hint="eastAsia"/>
              </w:rPr>
              <w:t>8.2主要设计原则</w:t>
            </w:r>
          </w:p>
          <w:p w14:paraId="2C4762DE">
            <w:pPr>
              <w:ind w:firstLine="480"/>
            </w:pPr>
            <w:r>
              <w:rPr>
                <w:rFonts w:hint="eastAsia"/>
              </w:rPr>
              <w:t>（1）</w:t>
            </w:r>
            <w:r>
              <w:t>采用洪水频率</w:t>
            </w:r>
          </w:p>
          <w:p w14:paraId="49A8A2C2">
            <w:pPr>
              <w:ind w:firstLine="480"/>
            </w:pPr>
            <w:r>
              <w:t>涵洞：1/50</w:t>
            </w:r>
            <w:r>
              <w:rPr>
                <w:rFonts w:hint="eastAsia"/>
              </w:rPr>
              <w:t>；</w:t>
            </w:r>
          </w:p>
          <w:p w14:paraId="6578CA96">
            <w:pPr>
              <w:ind w:firstLine="480"/>
            </w:pPr>
            <w:r>
              <w:rPr>
                <w:rFonts w:hint="eastAsia"/>
              </w:rPr>
              <w:t>（2）</w:t>
            </w:r>
            <w:r>
              <w:t>设计行车速度</w:t>
            </w:r>
          </w:p>
          <w:p w14:paraId="6600BBB9">
            <w:pPr>
              <w:ind w:firstLine="480"/>
            </w:pPr>
            <w:r>
              <w:t>设计行车速度：40km/h</w:t>
            </w:r>
            <w:r>
              <w:rPr>
                <w:rFonts w:hint="eastAsia"/>
              </w:rPr>
              <w:t>；</w:t>
            </w:r>
          </w:p>
          <w:p w14:paraId="452EA33D">
            <w:pPr>
              <w:ind w:firstLine="480"/>
            </w:pPr>
            <w:r>
              <w:rPr>
                <w:rFonts w:hint="eastAsia"/>
              </w:rPr>
              <w:t>（3）</w:t>
            </w:r>
            <w:r>
              <w:t>设计活载</w:t>
            </w:r>
          </w:p>
          <w:p w14:paraId="29393EBE">
            <w:pPr>
              <w:ind w:firstLine="480"/>
            </w:pPr>
            <w:r>
              <w:t>铁路桥涵：ZKH荷载</w:t>
            </w:r>
            <w:r>
              <w:rPr>
                <w:rFonts w:hint="eastAsia"/>
              </w:rPr>
              <w:t>；</w:t>
            </w:r>
          </w:p>
          <w:p w14:paraId="1428C1DD">
            <w:pPr>
              <w:ind w:firstLine="480"/>
            </w:pPr>
            <w:r>
              <w:rPr>
                <w:rFonts w:hint="eastAsia"/>
              </w:rPr>
              <w:t>（4）</w:t>
            </w:r>
            <w:r>
              <w:t>通航（含船筏）净空、立交净空及建筑限界</w:t>
            </w:r>
          </w:p>
          <w:p w14:paraId="7AA1EFA8">
            <w:pPr>
              <w:ind w:firstLine="480"/>
            </w:pPr>
            <w:r>
              <w:t>1)桥梁建筑限界采用《铁路技术管理规程》附图Ⅰ“基本建筑限界图”（v≤160km/h）。</w:t>
            </w:r>
          </w:p>
          <w:p w14:paraId="3173FEF6">
            <w:pPr>
              <w:ind w:firstLine="480"/>
            </w:pPr>
            <w:r>
              <w:t>2)跨线建筑物建筑限界采用《铁路技术管理规程》附图Ⅰ</w:t>
            </w:r>
            <w:r>
              <w:rPr>
                <w:rFonts w:hint="eastAsia" w:ascii="宋体" w:hAnsi="宋体" w:cs="宋体"/>
              </w:rPr>
              <w:t>“桥梁建筑限界图（内燃牵引区段）”</w:t>
            </w:r>
            <w:r>
              <w:t>（V≤160km/h）。</w:t>
            </w:r>
          </w:p>
          <w:p w14:paraId="4A08F1D1">
            <w:pPr>
              <w:ind w:firstLine="480"/>
            </w:pPr>
            <w:r>
              <w:t>3)本线无桥梁跨越的河流。</w:t>
            </w:r>
          </w:p>
          <w:p w14:paraId="5431BF95">
            <w:pPr>
              <w:ind w:firstLine="480"/>
            </w:pPr>
            <w:r>
              <w:rPr>
                <w:rFonts w:hint="eastAsia"/>
              </w:rPr>
              <w:t>（5）</w:t>
            </w:r>
            <w:r>
              <w:t>新建桥涵式样、孔径、基础类型的选择</w:t>
            </w:r>
          </w:p>
          <w:p w14:paraId="138F9D1C">
            <w:pPr>
              <w:ind w:firstLine="480"/>
            </w:pPr>
            <w:r>
              <w:t>1)本工程新建涵洞采用框架涵，涵洞孔径为1.0m。</w:t>
            </w:r>
          </w:p>
          <w:p w14:paraId="078AF6D2">
            <w:pPr>
              <w:ind w:firstLine="480"/>
            </w:pPr>
            <w:r>
              <w:t>2)涵洞斜交法向夹角不大于45°，涵洞斜交斜做。</w:t>
            </w:r>
          </w:p>
          <w:p w14:paraId="792B79E0">
            <w:pPr>
              <w:ind w:firstLine="480"/>
            </w:pPr>
            <w:r>
              <w:t>3)新建涵洞轨底至顶板顶高度不小于1.2m，困难时顶板顶不高于路肩。</w:t>
            </w:r>
          </w:p>
          <w:p w14:paraId="13EF914C">
            <w:pPr>
              <w:ind w:firstLine="480"/>
            </w:pPr>
            <w:r>
              <w:t>4)涵洞基础基底设计应力应小于地基的容许承载力，当检算结果不符合要求时，应采用地基加固措施，涵洞地基加固处理措施应与相邻路基一致。</w:t>
            </w:r>
          </w:p>
          <w:p w14:paraId="68A5BB17">
            <w:pPr>
              <w:ind w:firstLine="482"/>
            </w:pPr>
            <w:r>
              <w:rPr>
                <w:rFonts w:hint="eastAsia"/>
                <w:b/>
                <w:bCs/>
              </w:rPr>
              <w:t>9、信号</w:t>
            </w:r>
          </w:p>
          <w:p w14:paraId="3907612F">
            <w:pPr>
              <w:ind w:firstLine="480"/>
            </w:pPr>
            <w:r>
              <w:t>本次恢复道岔施工范围存在信号分支电缆。施工开始前，应与电务部门仔细核对图纸，并对既有电缆进行探测，将受到影响的信号分支电缆在安全处所重新敷设，并采用复合槽防护。恢复道岔增加岔心切割绝缘，恢复道岔无受分支增加尽头绝缘等。恢复道岔施工期间派专人防护。</w:t>
            </w:r>
          </w:p>
          <w:p w14:paraId="6B281D44">
            <w:pPr>
              <w:ind w:firstLine="482"/>
            </w:pPr>
            <w:r>
              <w:rPr>
                <w:rFonts w:hint="eastAsia"/>
                <w:b/>
                <w:bCs/>
              </w:rPr>
              <w:t>10、电力</w:t>
            </w:r>
          </w:p>
          <w:p w14:paraId="7CF7A7B2">
            <w:pPr>
              <w:ind w:firstLine="480"/>
            </w:pPr>
            <w:r>
              <w:rPr>
                <w:rFonts w:hint="eastAsia"/>
              </w:rPr>
              <w:t>10.1供电负荷的分布及电源选择</w:t>
            </w:r>
          </w:p>
          <w:p w14:paraId="43E94A61">
            <w:pPr>
              <w:ind w:firstLine="480"/>
            </w:pPr>
            <w:r>
              <w:rPr>
                <w:rFonts w:hint="eastAsia"/>
              </w:rPr>
              <w:t>（1）供电负荷的分布及负荷等级</w:t>
            </w:r>
          </w:p>
          <w:p w14:paraId="67D748AC">
            <w:pPr>
              <w:ind w:firstLine="480"/>
            </w:pPr>
            <w:r>
              <w:rPr>
                <w:rFonts w:hint="eastAsia"/>
              </w:rPr>
              <w:t>本工程无新增用电负荷。</w:t>
            </w:r>
          </w:p>
          <w:p w14:paraId="490BDBBB">
            <w:pPr>
              <w:ind w:firstLine="480"/>
            </w:pPr>
            <w:r>
              <w:rPr>
                <w:rFonts w:hint="eastAsia"/>
              </w:rPr>
              <w:t>（2）既有供电设备概况</w:t>
            </w:r>
          </w:p>
          <w:p w14:paraId="66F96854">
            <w:pPr>
              <w:ind w:firstLine="480"/>
            </w:pPr>
            <w:r>
              <w:rPr>
                <w:rFonts w:hint="eastAsia"/>
              </w:rPr>
              <w:t>厂区附近既有国网10kV集粮线、农电10kV福茂线。福利屯车站内既有铁路10kV配电所一座、125+125kVA通号箱变一座。</w:t>
            </w:r>
          </w:p>
          <w:p w14:paraId="09243EBA">
            <w:pPr>
              <w:ind w:firstLine="480"/>
            </w:pPr>
            <w:r>
              <w:rPr>
                <w:rFonts w:hint="eastAsia"/>
              </w:rPr>
              <w:t>10.2供电原则及供电方案</w:t>
            </w:r>
          </w:p>
          <w:p w14:paraId="4E8721BD">
            <w:pPr>
              <w:ind w:firstLine="480"/>
            </w:pPr>
            <w:r>
              <w:rPr>
                <w:rFonts w:hint="eastAsia"/>
              </w:rPr>
              <w:t>（1）</w:t>
            </w:r>
            <w:r>
              <w:t>供电原则</w:t>
            </w:r>
          </w:p>
          <w:p w14:paraId="31262408">
            <w:pPr>
              <w:ind w:firstLine="480"/>
            </w:pPr>
            <w:r>
              <w:t>1)采用技术先进、经济合理、安全可靠的供电方案，保证对负荷的可靠供电。一、二级负荷电源分隔敷设。</w:t>
            </w:r>
          </w:p>
          <w:p w14:paraId="1F410E9D">
            <w:pPr>
              <w:ind w:firstLine="480"/>
            </w:pPr>
            <w:r>
              <w:t>2)铁路电力系统应确保通信等系统重要负荷安全、可靠、不间断运行的基础设施。铁路电力系统必须满足铁路安全、可靠供电的要求。</w:t>
            </w:r>
          </w:p>
          <w:p w14:paraId="1DDA705C">
            <w:pPr>
              <w:ind w:firstLine="480"/>
            </w:pPr>
            <w:r>
              <w:t>3)铁路电力系统的主要设备标准为模数化、标准化、免维护、少维修。</w:t>
            </w:r>
          </w:p>
          <w:p w14:paraId="60152C4C">
            <w:pPr>
              <w:ind w:firstLine="480"/>
            </w:pPr>
            <w:r>
              <w:t>4)各级负荷按下列原则供电：</w:t>
            </w:r>
          </w:p>
          <w:p w14:paraId="27514643">
            <w:pPr>
              <w:ind w:firstLine="480"/>
            </w:pPr>
            <w:r>
              <w:t>一级负荷：由双重电源分别供电至用电设备或低压双电源切换装置处。当一路电源发生故障时，另一路电源不应同时受到损坏。</w:t>
            </w:r>
          </w:p>
          <w:p w14:paraId="74014C55">
            <w:pPr>
              <w:ind w:firstLine="480"/>
            </w:pPr>
            <w:r>
              <w:t>二级负荷：由具备两回电源线路且其高低压至少一侧设有联络的变电所供电；由贯通线路、环网线路以及其他双端供电线路等能够成等效双回电源线路的变电所供电。</w:t>
            </w:r>
          </w:p>
          <w:p w14:paraId="70DA4A78">
            <w:pPr>
              <w:ind w:firstLine="480"/>
            </w:pPr>
            <w:r>
              <w:t>三级负荷：一般采用单回路供电，当供电系统为非正常运行方式时，允许将其切除。</w:t>
            </w:r>
          </w:p>
          <w:p w14:paraId="0167C586">
            <w:pPr>
              <w:ind w:firstLine="480"/>
            </w:pPr>
            <w:r>
              <w:t>5)在近期工程中，新建电力设施和供电线路等，尽量结合远期工程的要求，适当预留规模，避免二次拆迁或改造造成的浪费。</w:t>
            </w:r>
          </w:p>
          <w:p w14:paraId="051156C3">
            <w:pPr>
              <w:ind w:firstLine="480"/>
            </w:pPr>
            <w:r>
              <w:t>6)铁路电力系统遵循国家强制性标准，认真贯彻执行国家能源政策，因地制宜，保护环境，节约土地，积极采取节能措施，降低电能消耗。</w:t>
            </w:r>
          </w:p>
          <w:p w14:paraId="053A2959">
            <w:pPr>
              <w:ind w:firstLine="480"/>
            </w:pPr>
            <w:r>
              <w:rPr>
                <w:rFonts w:hint="eastAsia"/>
              </w:rPr>
              <w:t>（2）</w:t>
            </w:r>
            <w:r>
              <w:t>方案设计（含既有供电设备利用及改建简况）</w:t>
            </w:r>
          </w:p>
          <w:p w14:paraId="2350E447">
            <w:pPr>
              <w:ind w:firstLine="480"/>
            </w:pPr>
            <w:r>
              <w:t>对影响专用线施工的路外电力线路进行迁改，由建设单位负责统一协调。</w:t>
            </w:r>
          </w:p>
          <w:p w14:paraId="7152410C">
            <w:pPr>
              <w:ind w:firstLine="480"/>
            </w:pPr>
            <w:r>
              <w:rPr>
                <w:rFonts w:hint="eastAsia"/>
              </w:rPr>
              <w:t>10.3主要技术标准</w:t>
            </w:r>
          </w:p>
          <w:p w14:paraId="7B965C25">
            <w:pPr>
              <w:ind w:firstLine="480"/>
            </w:pPr>
            <w:r>
              <w:t>电力线路：高压电缆采用YJY23-8.7/15kV型铜芯交联聚乙烯绝缘钢带铠装三芯电力电缆，高压电缆头选用冷缩型。普通负荷低压电缆采用YJY23-1kV型电力电缆。硬化面下电缆穿管敷设。</w:t>
            </w:r>
          </w:p>
          <w:p w14:paraId="525A0222">
            <w:pPr>
              <w:ind w:firstLine="482"/>
              <w:rPr>
                <w:color w:val="auto"/>
              </w:rPr>
            </w:pPr>
            <w:r>
              <w:rPr>
                <w:rFonts w:hint="eastAsia"/>
                <w:b/>
                <w:bCs/>
                <w:color w:val="auto"/>
              </w:rPr>
              <w:t>11、</w:t>
            </w:r>
            <w:r>
              <w:rPr>
                <w:rFonts w:hint="eastAsia"/>
                <w:b/>
                <w:bCs/>
                <w:color w:val="auto"/>
                <w:lang w:val="en-US" w:eastAsia="zh-CN"/>
              </w:rPr>
              <w:t>工程占地</w:t>
            </w:r>
          </w:p>
          <w:p w14:paraId="62E68E73">
            <w:pPr>
              <w:ind w:firstLine="480"/>
              <w:rPr>
                <w:rFonts w:hint="eastAsia"/>
                <w:color w:val="auto"/>
                <w:lang w:val="en-US"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lang w:val="en-US" w:eastAsia="zh-CN"/>
              </w:rPr>
              <w:t>永久占地</w:t>
            </w:r>
          </w:p>
          <w:p w14:paraId="08CCCA90">
            <w:pPr>
              <w:ind w:firstLine="480"/>
              <w:rPr>
                <w:rFonts w:hint="eastAsia"/>
                <w:color w:val="auto"/>
                <w:vertAlign w:val="baseline"/>
                <w:lang w:val="en-US" w:eastAsia="zh-CN"/>
              </w:rPr>
            </w:pPr>
            <w:r>
              <w:rPr>
                <w:rFonts w:hint="eastAsia"/>
                <w:color w:val="auto"/>
                <w:lang w:val="en-US" w:eastAsia="zh-CN"/>
              </w:rPr>
              <w:t>本工程永久占地土地类型为铁路用地，不新增永久占地，占地面积为70470m</w:t>
            </w:r>
            <w:r>
              <w:rPr>
                <w:rFonts w:hint="eastAsia"/>
                <w:color w:val="auto"/>
                <w:vertAlign w:val="superscript"/>
                <w:lang w:val="en-US" w:eastAsia="zh-CN"/>
              </w:rPr>
              <w:t>2</w:t>
            </w:r>
            <w:r>
              <w:rPr>
                <w:rFonts w:hint="eastAsia"/>
                <w:color w:val="auto"/>
                <w:vertAlign w:val="baseline"/>
                <w:lang w:val="en-US" w:eastAsia="zh-CN"/>
              </w:rPr>
              <w:t>。</w:t>
            </w:r>
          </w:p>
          <w:p w14:paraId="1FCEC408">
            <w:pPr>
              <w:ind w:firstLine="480"/>
              <w:rPr>
                <w:rFonts w:hint="default"/>
                <w:color w:val="auto"/>
                <w:vertAlign w:val="baseline"/>
                <w:lang w:val="en-US" w:eastAsia="zh-CN"/>
              </w:rPr>
            </w:pPr>
            <w:r>
              <w:rPr>
                <w:rFonts w:hint="eastAsia"/>
                <w:color w:val="auto"/>
                <w:vertAlign w:val="baseline"/>
                <w:lang w:val="en-US" w:eastAsia="zh-CN"/>
              </w:rPr>
              <w:t>（2）临时占地</w:t>
            </w:r>
          </w:p>
          <w:p w14:paraId="280C71DC">
            <w:pPr>
              <w:ind w:firstLine="480"/>
              <w:rPr>
                <w:rFonts w:hint="eastAsia"/>
                <w:color w:val="auto"/>
                <w:lang w:val="en-US" w:eastAsia="zh-CN"/>
              </w:rPr>
            </w:pPr>
            <w:r>
              <w:rPr>
                <w:rFonts w:hint="eastAsia"/>
                <w:color w:val="auto"/>
                <w:lang w:val="en-US" w:eastAsia="zh-CN"/>
              </w:rPr>
              <w:t>本项目不设集中取、弃土场，拆除后的混凝土及残土等土石方破碎后部分用于路基填筑，拆除专用线道岔的钢筋、钢材部分可回收利用；部分不能回收利用的建筑垃圾去往填埋场。</w:t>
            </w:r>
          </w:p>
          <w:p w14:paraId="6210B495">
            <w:pPr>
              <w:ind w:firstLine="480"/>
              <w:rPr>
                <w:rFonts w:hint="default" w:eastAsia="宋体"/>
                <w:color w:val="auto"/>
                <w:lang w:val="en-US" w:eastAsia="zh-CN"/>
              </w:rPr>
            </w:pPr>
            <w:r>
              <w:rPr>
                <w:rFonts w:hint="eastAsia"/>
                <w:color w:val="auto"/>
              </w:rPr>
              <w:t>本项目临时占地共计19267m</w:t>
            </w:r>
            <w:r>
              <w:rPr>
                <w:rFonts w:hint="eastAsia"/>
                <w:color w:val="auto"/>
                <w:vertAlign w:val="superscript"/>
              </w:rPr>
              <w:t>2</w:t>
            </w:r>
            <w:r>
              <w:rPr>
                <w:rFonts w:hint="eastAsia"/>
                <w:color w:val="auto"/>
              </w:rPr>
              <w:t>，其中施工场地7027m</w:t>
            </w:r>
            <w:r>
              <w:rPr>
                <w:rFonts w:hint="eastAsia"/>
                <w:color w:val="auto"/>
                <w:vertAlign w:val="superscript"/>
              </w:rPr>
              <w:t>2</w:t>
            </w:r>
            <w:r>
              <w:rPr>
                <w:rFonts w:hint="eastAsia"/>
                <w:color w:val="auto"/>
              </w:rPr>
              <w:t>，在专用线一侧设置，占地类型为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；临时堆土场6300m</w:t>
            </w:r>
            <w:r>
              <w:rPr>
                <w:rFonts w:hint="eastAsia"/>
                <w:color w:val="auto"/>
                <w:vertAlign w:val="superscript"/>
              </w:rPr>
              <w:t>2</w:t>
            </w:r>
            <w:r>
              <w:rPr>
                <w:rFonts w:hint="eastAsia"/>
                <w:color w:val="auto"/>
              </w:rPr>
              <w:t>，设在铁路</w:t>
            </w:r>
            <w:r>
              <w:rPr>
                <w:rFonts w:hint="eastAsia"/>
                <w:color w:val="auto"/>
                <w:lang w:val="en-US" w:eastAsia="zh-CN"/>
              </w:rPr>
              <w:t>一</w:t>
            </w:r>
            <w:r>
              <w:rPr>
                <w:rFonts w:hint="eastAsia"/>
                <w:color w:val="auto"/>
              </w:rPr>
              <w:t>侧，占地类型为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，确保耕地面积不减少、质量不降低；临时施工便道5940m</w:t>
            </w:r>
            <w:r>
              <w:rPr>
                <w:rFonts w:hint="eastAsia"/>
                <w:color w:val="auto"/>
                <w:vertAlign w:val="superscript"/>
              </w:rPr>
              <w:t>2</w:t>
            </w:r>
            <w:r>
              <w:rPr>
                <w:rFonts w:hint="eastAsia"/>
                <w:color w:val="auto"/>
              </w:rPr>
              <w:t>，长度850m，占地类型为耕地，施工结束后恢复为耕地。</w:t>
            </w:r>
          </w:p>
          <w:p w14:paraId="35EC96FD">
            <w:pPr>
              <w:pStyle w:val="33"/>
              <w:rPr>
                <w:color w:val="auto"/>
              </w:rPr>
            </w:pPr>
            <w:r>
              <w:rPr>
                <w:rFonts w:hint="eastAsia"/>
                <w:color w:val="auto"/>
              </w:rPr>
              <w:t>表2-7 临时占地一览表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1568"/>
              <w:gridCol w:w="1941"/>
              <w:gridCol w:w="1001"/>
              <w:gridCol w:w="1532"/>
            </w:tblGrid>
            <w:tr w14:paraId="0C4A9FF8">
              <w:tblPrEx>
                <w:tblCellMar>
                  <w:top w:w="0" w:type="dxa"/>
                  <w:left w:w="108" w:type="dxa"/>
                  <w:bottom w:w="0" w:type="dxa"/>
                  <w:right w:w="108" w:type="dxa"/>
                </w:tblCellMar>
              </w:tblPrEx>
              <w:trPr>
                <w:jc w:val="center"/>
              </w:trPr>
              <w:tc>
                <w:tcPr>
                  <w:tcW w:w="810" w:type="pct"/>
                  <w:tcBorders>
                    <w:tl2br w:val="nil"/>
                    <w:tr2bl w:val="nil"/>
                  </w:tcBorders>
                  <w:vAlign w:val="center"/>
                </w:tcPr>
                <w:p w14:paraId="5069401A">
                  <w:pPr>
                    <w:pStyle w:val="30"/>
                    <w:rPr>
                      <w:rFonts w:hint="eastAsia" w:eastAsia="宋体"/>
                      <w:color w:val="auto"/>
                      <w:lang w:eastAsia="zh-CN"/>
                    </w:rPr>
                  </w:pPr>
                  <w:r>
                    <w:rPr>
                      <w:rFonts w:hint="eastAsia"/>
                      <w:color w:val="auto"/>
                      <w:lang w:val="en-US" w:eastAsia="zh-CN"/>
                    </w:rPr>
                    <w:t>项目</w:t>
                  </w:r>
                </w:p>
              </w:tc>
              <w:tc>
                <w:tcPr>
                  <w:tcW w:w="1087" w:type="pct"/>
                  <w:tcBorders>
                    <w:tl2br w:val="nil"/>
                    <w:tr2bl w:val="nil"/>
                  </w:tcBorders>
                  <w:vAlign w:val="center"/>
                </w:tcPr>
                <w:p w14:paraId="70CCF744">
                  <w:pPr>
                    <w:pStyle w:val="30"/>
                    <w:rPr>
                      <w:rFonts w:hint="eastAsia" w:eastAsia="宋体"/>
                      <w:color w:val="auto"/>
                      <w:lang w:eastAsia="zh-CN"/>
                    </w:rPr>
                  </w:pPr>
                  <w:r>
                    <w:rPr>
                      <w:rFonts w:hint="eastAsia"/>
                      <w:color w:val="auto"/>
                      <w:lang w:val="en-US" w:eastAsia="zh-CN"/>
                    </w:rPr>
                    <w:t>耕地</w:t>
                  </w:r>
                </w:p>
              </w:tc>
              <w:tc>
                <w:tcPr>
                  <w:tcW w:w="1345" w:type="pct"/>
                  <w:tcBorders>
                    <w:tl2br w:val="nil"/>
                    <w:tr2bl w:val="nil"/>
                  </w:tcBorders>
                  <w:vAlign w:val="center"/>
                </w:tcPr>
                <w:p w14:paraId="46B3665E">
                  <w:pPr>
                    <w:pStyle w:val="30"/>
                    <w:rPr>
                      <w:rFonts w:hint="eastAsia" w:eastAsia="宋体"/>
                      <w:color w:val="auto"/>
                      <w:lang w:val="en-US" w:eastAsia="zh-CN"/>
                    </w:rPr>
                  </w:pPr>
                  <w:r>
                    <w:rPr>
                      <w:rFonts w:hint="eastAsia"/>
                      <w:color w:val="auto"/>
                      <w:lang w:val="en-US" w:eastAsia="zh-CN"/>
                    </w:rPr>
                    <w:t>铁路用地</w:t>
                  </w:r>
                </w:p>
              </w:tc>
              <w:tc>
                <w:tcPr>
                  <w:tcW w:w="694" w:type="pct"/>
                  <w:tcBorders>
                    <w:tl2br w:val="nil"/>
                    <w:tr2bl w:val="nil"/>
                  </w:tcBorders>
                  <w:vAlign w:val="center"/>
                </w:tcPr>
                <w:p w14:paraId="1F3FD825">
                  <w:pPr>
                    <w:pStyle w:val="30"/>
                    <w:rPr>
                      <w:rFonts w:hint="eastAsia" w:eastAsia="宋体"/>
                      <w:color w:val="auto"/>
                      <w:lang w:val="en-US" w:eastAsia="zh-CN"/>
                    </w:rPr>
                  </w:pPr>
                  <w:r>
                    <w:rPr>
                      <w:rFonts w:hint="eastAsia"/>
                      <w:color w:val="auto"/>
                      <w:lang w:val="en-US" w:eastAsia="zh-CN"/>
                    </w:rPr>
                    <w:t>合计</w:t>
                  </w:r>
                </w:p>
              </w:tc>
              <w:tc>
                <w:tcPr>
                  <w:tcW w:w="1062" w:type="pct"/>
                  <w:tcBorders>
                    <w:tl2br w:val="nil"/>
                    <w:tr2bl w:val="nil"/>
                  </w:tcBorders>
                  <w:vAlign w:val="center"/>
                </w:tcPr>
                <w:p w14:paraId="0236D309">
                  <w:pPr>
                    <w:pStyle w:val="30"/>
                    <w:rPr>
                      <w:rFonts w:hint="eastAsia" w:eastAsia="宋体"/>
                      <w:color w:val="auto"/>
                      <w:lang w:eastAsia="zh-CN"/>
                    </w:rPr>
                  </w:pPr>
                  <w:r>
                    <w:rPr>
                      <w:rFonts w:hint="eastAsia"/>
                      <w:color w:val="auto"/>
                      <w:lang w:val="en-US" w:eastAsia="zh-CN"/>
                    </w:rPr>
                    <w:t>备注</w:t>
                  </w:r>
                </w:p>
              </w:tc>
            </w:tr>
            <w:tr w14:paraId="51CD5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tcBorders>
                    <w:tl2br w:val="nil"/>
                    <w:tr2bl w:val="nil"/>
                  </w:tcBorders>
                  <w:vAlign w:val="center"/>
                </w:tcPr>
                <w:p w14:paraId="25E79A34">
                  <w:pPr>
                    <w:pStyle w:val="30"/>
                    <w:rPr>
                      <w:rFonts w:hint="eastAsia" w:eastAsia="宋体"/>
                      <w:color w:val="auto"/>
                      <w:lang w:eastAsia="zh-CN"/>
                    </w:rPr>
                  </w:pPr>
                  <w:r>
                    <w:rPr>
                      <w:rFonts w:hint="eastAsia"/>
                      <w:color w:val="auto"/>
                    </w:rPr>
                    <w:t>施工</w:t>
                  </w:r>
                  <w:r>
                    <w:rPr>
                      <w:rFonts w:hint="eastAsia"/>
                      <w:color w:val="auto"/>
                      <w:lang w:val="en-US" w:eastAsia="zh-CN"/>
                    </w:rPr>
                    <w:t>场地</w:t>
                  </w:r>
                </w:p>
              </w:tc>
              <w:tc>
                <w:tcPr>
                  <w:tcW w:w="1087" w:type="pct"/>
                  <w:tcBorders>
                    <w:tl2br w:val="nil"/>
                    <w:tr2bl w:val="nil"/>
                  </w:tcBorders>
                  <w:vAlign w:val="center"/>
                </w:tcPr>
                <w:p w14:paraId="411394B3">
                  <w:pPr>
                    <w:pStyle w:val="30"/>
                    <w:rPr>
                      <w:rFonts w:hint="eastAsia" w:eastAsia="宋体"/>
                      <w:color w:val="auto"/>
                      <w:lang w:val="en-US" w:eastAsia="zh-CN"/>
                    </w:rPr>
                  </w:pPr>
                  <w:r>
                    <w:rPr>
                      <w:rFonts w:hint="eastAsia"/>
                      <w:color w:val="auto"/>
                      <w:lang w:val="en-US" w:eastAsia="zh-CN"/>
                    </w:rPr>
                    <w:t>/</w:t>
                  </w:r>
                </w:p>
              </w:tc>
              <w:tc>
                <w:tcPr>
                  <w:tcW w:w="1345" w:type="pct"/>
                  <w:tcBorders>
                    <w:tl2br w:val="nil"/>
                    <w:tr2bl w:val="nil"/>
                  </w:tcBorders>
                  <w:vAlign w:val="center"/>
                </w:tcPr>
                <w:p w14:paraId="76B63230">
                  <w:pPr>
                    <w:pStyle w:val="30"/>
                    <w:rPr>
                      <w:rFonts w:hint="default" w:eastAsia="宋体"/>
                      <w:color w:val="auto"/>
                      <w:lang w:val="en-US" w:eastAsia="zh-CN"/>
                    </w:rPr>
                  </w:pPr>
                  <w:r>
                    <w:rPr>
                      <w:rFonts w:hint="eastAsia"/>
                      <w:color w:val="auto"/>
                      <w:lang w:val="en-US" w:eastAsia="zh-CN"/>
                    </w:rPr>
                    <w:t>7027</w:t>
                  </w:r>
                </w:p>
              </w:tc>
              <w:tc>
                <w:tcPr>
                  <w:tcW w:w="694" w:type="pct"/>
                  <w:tcBorders>
                    <w:tl2br w:val="nil"/>
                    <w:tr2bl w:val="nil"/>
                  </w:tcBorders>
                  <w:vAlign w:val="center"/>
                </w:tcPr>
                <w:p w14:paraId="1DECADEF">
                  <w:pPr>
                    <w:pStyle w:val="30"/>
                    <w:rPr>
                      <w:rFonts w:hint="default" w:eastAsia="宋体"/>
                      <w:color w:val="auto"/>
                      <w:lang w:val="en-US" w:eastAsia="zh-CN"/>
                    </w:rPr>
                  </w:pPr>
                  <w:r>
                    <w:rPr>
                      <w:rFonts w:hint="eastAsia"/>
                      <w:color w:val="auto"/>
                      <w:lang w:val="en-US" w:eastAsia="zh-CN"/>
                    </w:rPr>
                    <w:t>7027</w:t>
                  </w:r>
                </w:p>
              </w:tc>
              <w:tc>
                <w:tcPr>
                  <w:tcW w:w="1062" w:type="pct"/>
                  <w:tcBorders>
                    <w:tl2br w:val="nil"/>
                    <w:tr2bl w:val="nil"/>
                  </w:tcBorders>
                  <w:vAlign w:val="center"/>
                </w:tcPr>
                <w:p w14:paraId="273C5D20">
                  <w:pPr>
                    <w:pStyle w:val="30"/>
                    <w:rPr>
                      <w:color w:val="auto"/>
                    </w:rPr>
                  </w:pPr>
                  <w:r>
                    <w:rPr>
                      <w:rFonts w:hint="eastAsia"/>
                      <w:color w:val="auto"/>
                    </w:rPr>
                    <w:t>-</w:t>
                  </w:r>
                </w:p>
              </w:tc>
            </w:tr>
            <w:tr w14:paraId="1F853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tcBorders>
                    <w:tl2br w:val="nil"/>
                    <w:tr2bl w:val="nil"/>
                  </w:tcBorders>
                  <w:vAlign w:val="center"/>
                </w:tcPr>
                <w:p w14:paraId="4DC3A30E">
                  <w:pPr>
                    <w:pStyle w:val="30"/>
                    <w:rPr>
                      <w:rFonts w:hint="eastAsia" w:eastAsia="宋体"/>
                      <w:color w:val="auto"/>
                      <w:lang w:eastAsia="zh-CN"/>
                    </w:rPr>
                  </w:pPr>
                  <w:r>
                    <w:rPr>
                      <w:rFonts w:hint="eastAsia"/>
                      <w:color w:val="auto"/>
                      <w:lang w:val="en-US" w:eastAsia="zh-CN"/>
                    </w:rPr>
                    <w:t>施工便道</w:t>
                  </w:r>
                </w:p>
              </w:tc>
              <w:tc>
                <w:tcPr>
                  <w:tcW w:w="1087" w:type="pct"/>
                  <w:tcBorders>
                    <w:tl2br w:val="nil"/>
                    <w:tr2bl w:val="nil"/>
                  </w:tcBorders>
                  <w:vAlign w:val="center"/>
                </w:tcPr>
                <w:p w14:paraId="65531D8F">
                  <w:pPr>
                    <w:pStyle w:val="30"/>
                    <w:rPr>
                      <w:rFonts w:hint="default" w:eastAsia="宋体"/>
                      <w:color w:val="auto"/>
                      <w:lang w:val="en-US" w:eastAsia="zh-CN"/>
                    </w:rPr>
                  </w:pPr>
                  <w:r>
                    <w:rPr>
                      <w:rFonts w:hint="eastAsia"/>
                      <w:color w:val="auto"/>
                      <w:lang w:val="en-US" w:eastAsia="zh-CN"/>
                    </w:rPr>
                    <w:t>5940</w:t>
                  </w:r>
                </w:p>
              </w:tc>
              <w:tc>
                <w:tcPr>
                  <w:tcW w:w="1345" w:type="pct"/>
                  <w:tcBorders>
                    <w:tl2br w:val="nil"/>
                    <w:tr2bl w:val="nil"/>
                  </w:tcBorders>
                  <w:vAlign w:val="center"/>
                </w:tcPr>
                <w:p w14:paraId="74282073">
                  <w:pPr>
                    <w:pStyle w:val="30"/>
                    <w:rPr>
                      <w:rFonts w:hint="eastAsia" w:eastAsia="宋体"/>
                      <w:color w:val="auto"/>
                      <w:lang w:val="en-US" w:eastAsia="zh-CN"/>
                    </w:rPr>
                  </w:pPr>
                  <w:r>
                    <w:rPr>
                      <w:rFonts w:hint="eastAsia"/>
                      <w:color w:val="auto"/>
                      <w:lang w:val="en-US" w:eastAsia="zh-CN"/>
                    </w:rPr>
                    <w:t>/</w:t>
                  </w:r>
                </w:p>
              </w:tc>
              <w:tc>
                <w:tcPr>
                  <w:tcW w:w="694" w:type="pct"/>
                  <w:tcBorders>
                    <w:tl2br w:val="nil"/>
                    <w:tr2bl w:val="nil"/>
                  </w:tcBorders>
                  <w:vAlign w:val="center"/>
                </w:tcPr>
                <w:p w14:paraId="7F972E03">
                  <w:pPr>
                    <w:pStyle w:val="30"/>
                    <w:rPr>
                      <w:rFonts w:hint="default" w:eastAsia="宋体"/>
                      <w:color w:val="auto"/>
                      <w:lang w:val="en-US" w:eastAsia="zh-CN"/>
                    </w:rPr>
                  </w:pPr>
                  <w:r>
                    <w:rPr>
                      <w:rFonts w:hint="eastAsia"/>
                      <w:color w:val="auto"/>
                      <w:lang w:val="en-US" w:eastAsia="zh-CN"/>
                    </w:rPr>
                    <w:t>5940</w:t>
                  </w:r>
                </w:p>
              </w:tc>
              <w:tc>
                <w:tcPr>
                  <w:tcW w:w="1062" w:type="pct"/>
                  <w:tcBorders>
                    <w:tl2br w:val="nil"/>
                    <w:tr2bl w:val="nil"/>
                  </w:tcBorders>
                  <w:vAlign w:val="center"/>
                </w:tcPr>
                <w:p w14:paraId="40A1F01C">
                  <w:pPr>
                    <w:pStyle w:val="30"/>
                    <w:rPr>
                      <w:color w:val="auto"/>
                    </w:rPr>
                  </w:pPr>
                  <w:r>
                    <w:rPr>
                      <w:rFonts w:hint="eastAsia"/>
                      <w:color w:val="auto"/>
                    </w:rPr>
                    <w:t>-</w:t>
                  </w:r>
                </w:p>
              </w:tc>
            </w:tr>
            <w:tr w14:paraId="72C3D6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tcBorders>
                    <w:tl2br w:val="nil"/>
                    <w:tr2bl w:val="nil"/>
                  </w:tcBorders>
                  <w:vAlign w:val="center"/>
                </w:tcPr>
                <w:p w14:paraId="53B583C6">
                  <w:pPr>
                    <w:pStyle w:val="30"/>
                    <w:rPr>
                      <w:rFonts w:hint="eastAsia" w:eastAsia="宋体"/>
                      <w:color w:val="auto"/>
                      <w:lang w:eastAsia="zh-CN"/>
                    </w:rPr>
                  </w:pPr>
                  <w:r>
                    <w:rPr>
                      <w:rFonts w:hint="eastAsia"/>
                      <w:color w:val="auto"/>
                      <w:lang w:val="en-US" w:eastAsia="zh-CN"/>
                    </w:rPr>
                    <w:t>临时堆土场</w:t>
                  </w:r>
                </w:p>
              </w:tc>
              <w:tc>
                <w:tcPr>
                  <w:tcW w:w="1087" w:type="pct"/>
                  <w:tcBorders>
                    <w:tl2br w:val="nil"/>
                    <w:tr2bl w:val="nil"/>
                  </w:tcBorders>
                  <w:vAlign w:val="center"/>
                </w:tcPr>
                <w:p w14:paraId="758D144D">
                  <w:pPr>
                    <w:pStyle w:val="30"/>
                    <w:rPr>
                      <w:rFonts w:hint="default" w:eastAsia="宋体"/>
                      <w:color w:val="auto"/>
                      <w:lang w:val="en-US" w:eastAsia="zh-CN"/>
                    </w:rPr>
                  </w:pPr>
                  <w:r>
                    <w:rPr>
                      <w:rFonts w:hint="eastAsia"/>
                      <w:color w:val="auto"/>
                      <w:lang w:val="en-US" w:eastAsia="zh-CN"/>
                    </w:rPr>
                    <w:t>/</w:t>
                  </w:r>
                </w:p>
              </w:tc>
              <w:tc>
                <w:tcPr>
                  <w:tcW w:w="1345" w:type="pct"/>
                  <w:tcBorders>
                    <w:tl2br w:val="nil"/>
                    <w:tr2bl w:val="nil"/>
                  </w:tcBorders>
                  <w:vAlign w:val="center"/>
                </w:tcPr>
                <w:p w14:paraId="5CBD234A">
                  <w:pPr>
                    <w:pStyle w:val="30"/>
                    <w:rPr>
                      <w:rFonts w:hint="default" w:eastAsia="宋体"/>
                      <w:color w:val="auto"/>
                      <w:lang w:val="en-US" w:eastAsia="zh-CN"/>
                    </w:rPr>
                  </w:pPr>
                  <w:r>
                    <w:rPr>
                      <w:rFonts w:hint="eastAsia"/>
                      <w:color w:val="auto"/>
                      <w:lang w:val="en-US" w:eastAsia="zh-CN"/>
                    </w:rPr>
                    <w:t>6300</w:t>
                  </w:r>
                </w:p>
              </w:tc>
              <w:tc>
                <w:tcPr>
                  <w:tcW w:w="694" w:type="pct"/>
                  <w:tcBorders>
                    <w:tl2br w:val="nil"/>
                    <w:tr2bl w:val="nil"/>
                  </w:tcBorders>
                  <w:vAlign w:val="center"/>
                </w:tcPr>
                <w:p w14:paraId="71731DB9">
                  <w:pPr>
                    <w:pStyle w:val="30"/>
                    <w:rPr>
                      <w:rFonts w:hint="default" w:eastAsia="宋体"/>
                      <w:color w:val="auto"/>
                      <w:lang w:val="en-US" w:eastAsia="zh-CN"/>
                    </w:rPr>
                  </w:pPr>
                  <w:r>
                    <w:rPr>
                      <w:rFonts w:hint="eastAsia"/>
                      <w:color w:val="auto"/>
                      <w:lang w:val="en-US" w:eastAsia="zh-CN"/>
                    </w:rPr>
                    <w:t>6300</w:t>
                  </w:r>
                </w:p>
              </w:tc>
              <w:tc>
                <w:tcPr>
                  <w:tcW w:w="1062" w:type="pct"/>
                  <w:tcBorders>
                    <w:tl2br w:val="nil"/>
                    <w:tr2bl w:val="nil"/>
                  </w:tcBorders>
                  <w:vAlign w:val="center"/>
                </w:tcPr>
                <w:p w14:paraId="4050B1DA">
                  <w:pPr>
                    <w:pStyle w:val="30"/>
                    <w:rPr>
                      <w:rFonts w:hint="default" w:eastAsia="宋体"/>
                      <w:color w:val="auto"/>
                      <w:lang w:val="en-US" w:eastAsia="zh-CN"/>
                    </w:rPr>
                  </w:pPr>
                  <w:r>
                    <w:rPr>
                      <w:rFonts w:hint="eastAsia"/>
                      <w:color w:val="auto"/>
                      <w:lang w:val="en-US" w:eastAsia="zh-CN"/>
                    </w:rPr>
                    <w:t>1处</w:t>
                  </w:r>
                </w:p>
              </w:tc>
            </w:tr>
            <w:tr w14:paraId="754A1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tcBorders>
                    <w:tl2br w:val="nil"/>
                    <w:tr2bl w:val="nil"/>
                  </w:tcBorders>
                  <w:vAlign w:val="center"/>
                </w:tcPr>
                <w:p w14:paraId="0695F50E">
                  <w:pPr>
                    <w:pStyle w:val="30"/>
                    <w:rPr>
                      <w:rFonts w:hint="default"/>
                      <w:color w:val="auto"/>
                      <w:lang w:val="en-US" w:eastAsia="zh-CN"/>
                    </w:rPr>
                  </w:pPr>
                  <w:r>
                    <w:rPr>
                      <w:rFonts w:hint="eastAsia"/>
                      <w:color w:val="auto"/>
                      <w:lang w:val="en-US" w:eastAsia="zh-CN"/>
                    </w:rPr>
                    <w:t>合计</w:t>
                  </w:r>
                </w:p>
              </w:tc>
              <w:tc>
                <w:tcPr>
                  <w:tcW w:w="1087" w:type="pct"/>
                  <w:tcBorders>
                    <w:tl2br w:val="nil"/>
                    <w:tr2bl w:val="nil"/>
                  </w:tcBorders>
                  <w:vAlign w:val="center"/>
                </w:tcPr>
                <w:p w14:paraId="59AEEF99">
                  <w:pPr>
                    <w:pStyle w:val="30"/>
                    <w:rPr>
                      <w:rFonts w:hint="default" w:eastAsia="宋体"/>
                      <w:color w:val="auto"/>
                      <w:lang w:val="en-US" w:eastAsia="zh-CN"/>
                    </w:rPr>
                  </w:pPr>
                  <w:r>
                    <w:rPr>
                      <w:rFonts w:hint="eastAsia"/>
                      <w:color w:val="auto"/>
                      <w:lang w:val="en-US" w:eastAsia="zh-CN"/>
                    </w:rPr>
                    <w:t>5940</w:t>
                  </w:r>
                </w:p>
              </w:tc>
              <w:tc>
                <w:tcPr>
                  <w:tcW w:w="1345" w:type="pct"/>
                  <w:tcBorders>
                    <w:tl2br w:val="nil"/>
                    <w:tr2bl w:val="nil"/>
                  </w:tcBorders>
                  <w:vAlign w:val="center"/>
                </w:tcPr>
                <w:p w14:paraId="15850633">
                  <w:pPr>
                    <w:pStyle w:val="30"/>
                    <w:rPr>
                      <w:rFonts w:hint="default" w:eastAsia="宋体"/>
                      <w:color w:val="auto"/>
                      <w:lang w:val="en-US" w:eastAsia="zh-CN"/>
                    </w:rPr>
                  </w:pPr>
                  <w:r>
                    <w:rPr>
                      <w:rFonts w:hint="eastAsia"/>
                      <w:color w:val="auto"/>
                      <w:lang w:val="en-US" w:eastAsia="zh-CN"/>
                    </w:rPr>
                    <w:t>13327</w:t>
                  </w:r>
                </w:p>
              </w:tc>
              <w:tc>
                <w:tcPr>
                  <w:tcW w:w="694" w:type="pct"/>
                  <w:tcBorders>
                    <w:tl2br w:val="nil"/>
                    <w:tr2bl w:val="nil"/>
                  </w:tcBorders>
                  <w:vAlign w:val="center"/>
                </w:tcPr>
                <w:p w14:paraId="26CE8C42">
                  <w:pPr>
                    <w:pStyle w:val="30"/>
                    <w:rPr>
                      <w:rFonts w:hint="default" w:eastAsia="宋体"/>
                      <w:color w:val="auto"/>
                      <w:lang w:val="en-US" w:eastAsia="zh-CN"/>
                    </w:rPr>
                  </w:pPr>
                  <w:r>
                    <w:rPr>
                      <w:rFonts w:hint="eastAsia"/>
                      <w:color w:val="auto"/>
                      <w:lang w:val="en-US" w:eastAsia="zh-CN"/>
                    </w:rPr>
                    <w:t>19267</w:t>
                  </w:r>
                </w:p>
              </w:tc>
              <w:tc>
                <w:tcPr>
                  <w:tcW w:w="1062" w:type="pct"/>
                  <w:tcBorders>
                    <w:tl2br w:val="nil"/>
                    <w:tr2bl w:val="nil"/>
                  </w:tcBorders>
                  <w:vAlign w:val="center"/>
                </w:tcPr>
                <w:p w14:paraId="114FF405">
                  <w:pPr>
                    <w:pStyle w:val="30"/>
                    <w:rPr>
                      <w:rFonts w:hint="eastAsia" w:eastAsia="宋体"/>
                      <w:color w:val="auto"/>
                      <w:lang w:val="en-US" w:eastAsia="zh-CN"/>
                    </w:rPr>
                  </w:pPr>
                  <w:r>
                    <w:rPr>
                      <w:rFonts w:hint="eastAsia"/>
                      <w:color w:val="auto"/>
                      <w:lang w:val="en-US" w:eastAsia="zh-CN"/>
                    </w:rPr>
                    <w:t>/</w:t>
                  </w:r>
                </w:p>
              </w:tc>
            </w:tr>
          </w:tbl>
          <w:p w14:paraId="582EFE4A">
            <w:pPr>
              <w:ind w:firstLine="480"/>
              <w:rPr>
                <w:color w:val="auto"/>
                <w:highlight w:val="red"/>
              </w:rPr>
            </w:pPr>
          </w:p>
          <w:p w14:paraId="732F0B28">
            <w:pPr>
              <w:ind w:firstLine="482"/>
              <w:rPr>
                <w:rFonts w:hint="default" w:eastAsia="宋体"/>
                <w:color w:val="auto"/>
                <w:highlight w:val="red"/>
                <w:lang w:val="en-US" w:eastAsia="zh-CN"/>
              </w:rPr>
            </w:pPr>
            <w:r>
              <w:rPr>
                <w:rFonts w:hint="eastAsia"/>
                <w:b/>
                <w:bCs/>
                <w:color w:val="auto"/>
              </w:rPr>
              <w:t>12、土石方平衡</w:t>
            </w:r>
          </w:p>
          <w:p w14:paraId="7ABCE0B4">
            <w:pPr>
              <w:ind w:firstLine="480"/>
              <w:rPr>
                <w:rFonts w:hint="default"/>
                <w:color w:val="auto"/>
                <w:lang w:val="en-US"/>
              </w:rPr>
            </w:pPr>
            <w:r>
              <w:rPr>
                <w:rFonts w:hint="eastAsia"/>
                <w:color w:val="auto"/>
              </w:rPr>
              <w:t>本项目土石方挖方总量为8440m</w:t>
            </w:r>
            <w:r>
              <w:rPr>
                <w:rFonts w:hint="eastAsia"/>
                <w:color w:val="auto"/>
                <w:vertAlign w:val="superscript"/>
              </w:rPr>
              <w:t>3</w:t>
            </w:r>
            <w:r>
              <w:rPr>
                <w:rFonts w:hint="eastAsia"/>
                <w:color w:val="auto"/>
              </w:rPr>
              <w:t>，填方总量为16184m</w:t>
            </w:r>
            <w:r>
              <w:rPr>
                <w:rFonts w:hint="eastAsia"/>
                <w:color w:val="auto"/>
                <w:vertAlign w:val="superscript"/>
              </w:rPr>
              <w:t>3</w:t>
            </w:r>
            <w:r>
              <w:rPr>
                <w:rFonts w:hint="eastAsia"/>
                <w:color w:val="auto"/>
              </w:rPr>
              <w:t>，借方总量为9674m</w:t>
            </w:r>
            <w:r>
              <w:rPr>
                <w:rFonts w:hint="eastAsia"/>
                <w:color w:val="auto"/>
                <w:vertAlign w:val="superscript"/>
              </w:rPr>
              <w:t>3</w:t>
            </w:r>
            <w:r>
              <w:rPr>
                <w:rFonts w:hint="eastAsia"/>
                <w:color w:val="auto"/>
              </w:rPr>
              <w:t>，</w:t>
            </w:r>
            <w:r>
              <w:rPr>
                <w:rFonts w:hint="eastAsia"/>
                <w:color w:val="auto"/>
                <w:lang w:eastAsia="zh-CN"/>
              </w:rPr>
              <w:t>弃方</w:t>
            </w:r>
            <w:r>
              <w:rPr>
                <w:rFonts w:hint="eastAsia"/>
                <w:color w:val="auto"/>
              </w:rPr>
              <w:t>总量为304m</w:t>
            </w:r>
            <w:r>
              <w:rPr>
                <w:rFonts w:hint="eastAsia"/>
                <w:color w:val="auto"/>
                <w:vertAlign w:val="superscript"/>
              </w:rPr>
              <w:t>3</w:t>
            </w:r>
            <w:r>
              <w:rPr>
                <w:rFonts w:hint="eastAsia"/>
                <w:color w:val="auto"/>
              </w:rPr>
              <w:t>。借方全部为碎石、中粗砂，砂料主要以河砂为主，石料以碎石为主，考虑从附近石场供应，本项目不设取</w:t>
            </w:r>
            <w:r>
              <w:rPr>
                <w:rFonts w:hint="eastAsia"/>
                <w:color w:val="auto"/>
                <w:lang w:eastAsia="zh-CN"/>
              </w:rPr>
              <w:t>、</w:t>
            </w:r>
            <w:r>
              <w:rPr>
                <w:rFonts w:hint="eastAsia"/>
                <w:color w:val="auto"/>
                <w:lang w:val="en-US" w:eastAsia="zh-CN"/>
              </w:rPr>
              <w:t>弃</w:t>
            </w:r>
            <w:r>
              <w:rPr>
                <w:rFonts w:hint="eastAsia"/>
                <w:color w:val="auto"/>
              </w:rPr>
              <w:t>土场。</w:t>
            </w:r>
            <w:r>
              <w:rPr>
                <w:rFonts w:hint="eastAsia"/>
                <w:color w:val="auto"/>
                <w:lang w:val="en-US" w:eastAsia="zh-CN"/>
              </w:rPr>
              <w:t>本项目路基工程主要以填方段为主，部分路段为挖方段，土石方主要是路基开挖、场地平整和排水沟开挖等。站场工程土石方主要是场地平整、建构筑物基础开挖和管沟开挖等。桥涵工程土石方主要包括场地平整。弃方为拆除后的混凝土及残土等，土石方破碎后部分用于路基填筑，拆除专用线道岔的钢筋、钢材部分可回收利用；部分不能回收利用的建筑垃圾去往填埋场。</w:t>
            </w:r>
          </w:p>
          <w:p w14:paraId="3B05443D">
            <w:pPr>
              <w:ind w:firstLine="480"/>
              <w:rPr>
                <w:color w:val="auto"/>
              </w:rPr>
            </w:pPr>
            <w:r>
              <w:rPr>
                <w:color w:val="auto"/>
              </w:rPr>
              <w:t>本项目土石方平衡见表</w:t>
            </w:r>
            <w:r>
              <w:rPr>
                <w:rFonts w:hint="eastAsia"/>
                <w:color w:val="auto"/>
              </w:rPr>
              <w:t>2-8</w:t>
            </w:r>
            <w:r>
              <w:rPr>
                <w:color w:val="auto"/>
              </w:rPr>
              <w:t>。</w:t>
            </w:r>
          </w:p>
          <w:p w14:paraId="5417B2E6">
            <w:pPr>
              <w:pStyle w:val="33"/>
              <w:rPr>
                <w:color w:val="auto"/>
              </w:rPr>
            </w:pPr>
            <w:r>
              <w:rPr>
                <w:rFonts w:hint="eastAsia"/>
                <w:color w:val="auto"/>
              </w:rPr>
              <w:t>表2-8 土石方平衡一览表        单位：m</w:t>
            </w:r>
            <w:r>
              <w:rPr>
                <w:rFonts w:hint="eastAsia"/>
                <w:color w:val="auto"/>
                <w:vertAlign w:val="superscript"/>
              </w:rPr>
              <w:t>3</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850"/>
              <w:gridCol w:w="850"/>
              <w:gridCol w:w="1393"/>
              <w:gridCol w:w="1396"/>
              <w:gridCol w:w="1396"/>
            </w:tblGrid>
            <w:tr w14:paraId="557F5B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9" w:type="pct"/>
                  <w:tcBorders>
                    <w:tl2br w:val="nil"/>
                    <w:tr2bl w:val="nil"/>
                  </w:tcBorders>
                  <w:vAlign w:val="center"/>
                </w:tcPr>
                <w:p w14:paraId="2C36FA1F">
                  <w:pPr>
                    <w:pStyle w:val="30"/>
                    <w:rPr>
                      <w:color w:val="auto"/>
                    </w:rPr>
                  </w:pPr>
                  <w:r>
                    <w:rPr>
                      <w:rFonts w:hint="eastAsia"/>
                      <w:color w:val="auto"/>
                    </w:rPr>
                    <w:t>项目</w:t>
                  </w:r>
                </w:p>
              </w:tc>
              <w:tc>
                <w:tcPr>
                  <w:tcW w:w="589" w:type="pct"/>
                  <w:tcBorders>
                    <w:tl2br w:val="nil"/>
                    <w:tr2bl w:val="nil"/>
                  </w:tcBorders>
                  <w:vAlign w:val="center"/>
                </w:tcPr>
                <w:p w14:paraId="5B477808">
                  <w:pPr>
                    <w:pStyle w:val="30"/>
                    <w:rPr>
                      <w:rFonts w:hint="eastAsia" w:eastAsia="宋体"/>
                      <w:color w:val="auto"/>
                      <w:lang w:eastAsia="zh-CN"/>
                    </w:rPr>
                  </w:pPr>
                  <w:r>
                    <w:rPr>
                      <w:rFonts w:hint="eastAsia"/>
                      <w:color w:val="auto"/>
                      <w:lang w:val="en-US" w:eastAsia="zh-CN"/>
                    </w:rPr>
                    <w:t>总量</w:t>
                  </w:r>
                </w:p>
              </w:tc>
              <w:tc>
                <w:tcPr>
                  <w:tcW w:w="589" w:type="pct"/>
                  <w:tcBorders>
                    <w:tl2br w:val="nil"/>
                    <w:tr2bl w:val="nil"/>
                  </w:tcBorders>
                  <w:vAlign w:val="center"/>
                </w:tcPr>
                <w:p w14:paraId="06F03229">
                  <w:pPr>
                    <w:pStyle w:val="30"/>
                    <w:ind w:firstLine="0" w:firstLineChars="0"/>
                    <w:rPr>
                      <w:rFonts w:hint="eastAsia"/>
                      <w:color w:val="auto"/>
                    </w:rPr>
                  </w:pPr>
                  <w:r>
                    <w:rPr>
                      <w:rFonts w:hint="eastAsia"/>
                      <w:color w:val="auto"/>
                    </w:rPr>
                    <w:t>挖方</w:t>
                  </w:r>
                </w:p>
              </w:tc>
              <w:tc>
                <w:tcPr>
                  <w:tcW w:w="965" w:type="pct"/>
                  <w:tcBorders>
                    <w:tl2br w:val="nil"/>
                    <w:tr2bl w:val="nil"/>
                  </w:tcBorders>
                  <w:vAlign w:val="center"/>
                </w:tcPr>
                <w:p w14:paraId="5FD4B920">
                  <w:pPr>
                    <w:pStyle w:val="30"/>
                    <w:rPr>
                      <w:color w:val="auto"/>
                    </w:rPr>
                  </w:pPr>
                  <w:r>
                    <w:rPr>
                      <w:rFonts w:hint="eastAsia"/>
                      <w:color w:val="auto"/>
                    </w:rPr>
                    <w:t>填方</w:t>
                  </w:r>
                </w:p>
              </w:tc>
              <w:tc>
                <w:tcPr>
                  <w:tcW w:w="967" w:type="pct"/>
                  <w:tcBorders>
                    <w:tl2br w:val="nil"/>
                    <w:tr2bl w:val="nil"/>
                  </w:tcBorders>
                  <w:vAlign w:val="center"/>
                </w:tcPr>
                <w:p w14:paraId="61BC6C19">
                  <w:pPr>
                    <w:pStyle w:val="30"/>
                    <w:rPr>
                      <w:color w:val="auto"/>
                    </w:rPr>
                  </w:pPr>
                  <w:r>
                    <w:rPr>
                      <w:rFonts w:hint="eastAsia"/>
                      <w:color w:val="auto"/>
                    </w:rPr>
                    <w:t>借方</w:t>
                  </w:r>
                </w:p>
              </w:tc>
              <w:tc>
                <w:tcPr>
                  <w:tcW w:w="967" w:type="pct"/>
                  <w:tcBorders>
                    <w:tl2br w:val="nil"/>
                    <w:tr2bl w:val="nil"/>
                  </w:tcBorders>
                  <w:vAlign w:val="center"/>
                </w:tcPr>
                <w:p w14:paraId="148BE290">
                  <w:pPr>
                    <w:pStyle w:val="30"/>
                    <w:rPr>
                      <w:rFonts w:hint="eastAsia" w:eastAsia="宋体"/>
                      <w:color w:val="auto"/>
                      <w:lang w:eastAsia="zh-CN"/>
                    </w:rPr>
                  </w:pPr>
                  <w:r>
                    <w:rPr>
                      <w:rFonts w:hint="eastAsia"/>
                      <w:color w:val="auto"/>
                      <w:lang w:eastAsia="zh-CN"/>
                    </w:rPr>
                    <w:t>弃方</w:t>
                  </w:r>
                </w:p>
              </w:tc>
            </w:tr>
            <w:tr w14:paraId="51519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9" w:type="pct"/>
                  <w:tcBorders>
                    <w:tl2br w:val="nil"/>
                    <w:tr2bl w:val="nil"/>
                  </w:tcBorders>
                  <w:vAlign w:val="center"/>
                </w:tcPr>
                <w:p w14:paraId="6BDA4381">
                  <w:pPr>
                    <w:pStyle w:val="30"/>
                    <w:rPr>
                      <w:rFonts w:hint="default"/>
                      <w:color w:val="auto"/>
                      <w:lang w:val="en-US" w:eastAsia="zh-CN"/>
                    </w:rPr>
                  </w:pPr>
                  <w:r>
                    <w:rPr>
                      <w:rFonts w:hint="eastAsia"/>
                      <w:color w:val="auto"/>
                      <w:lang w:val="en-US" w:eastAsia="zh-CN"/>
                    </w:rPr>
                    <w:t>路基工程区</w:t>
                  </w:r>
                </w:p>
              </w:tc>
              <w:tc>
                <w:tcPr>
                  <w:tcW w:w="589" w:type="pct"/>
                  <w:tcBorders>
                    <w:tl2br w:val="nil"/>
                    <w:tr2bl w:val="nil"/>
                  </w:tcBorders>
                  <w:vAlign w:val="center"/>
                </w:tcPr>
                <w:p w14:paraId="2E0F8D82">
                  <w:pPr>
                    <w:pStyle w:val="30"/>
                    <w:rPr>
                      <w:rFonts w:hint="default" w:eastAsia="宋体"/>
                      <w:color w:val="auto"/>
                      <w:lang w:val="en-US" w:eastAsia="zh-CN"/>
                    </w:rPr>
                  </w:pPr>
                  <w:r>
                    <w:rPr>
                      <w:rFonts w:hint="eastAsia"/>
                      <w:color w:val="auto"/>
                      <w:lang w:val="en-US" w:eastAsia="zh-CN"/>
                    </w:rPr>
                    <w:t>16522</w:t>
                  </w:r>
                </w:p>
              </w:tc>
              <w:tc>
                <w:tcPr>
                  <w:tcW w:w="589" w:type="pct"/>
                  <w:tcBorders>
                    <w:tl2br w:val="nil"/>
                    <w:tr2bl w:val="nil"/>
                  </w:tcBorders>
                  <w:vAlign w:val="center"/>
                </w:tcPr>
                <w:p w14:paraId="3A93A156">
                  <w:pPr>
                    <w:pStyle w:val="30"/>
                    <w:ind w:firstLine="0" w:firstLineChars="0"/>
                    <w:rPr>
                      <w:rFonts w:hint="default" w:eastAsia="宋体"/>
                      <w:color w:val="auto"/>
                      <w:lang w:val="en-US" w:eastAsia="zh-CN"/>
                    </w:rPr>
                  </w:pPr>
                  <w:r>
                    <w:rPr>
                      <w:rFonts w:hint="eastAsia"/>
                      <w:color w:val="auto"/>
                      <w:lang w:val="en-US" w:eastAsia="zh-CN"/>
                    </w:rPr>
                    <w:t>6987.2</w:t>
                  </w:r>
                </w:p>
              </w:tc>
              <w:tc>
                <w:tcPr>
                  <w:tcW w:w="965" w:type="pct"/>
                  <w:tcBorders>
                    <w:tl2br w:val="nil"/>
                    <w:tr2bl w:val="nil"/>
                  </w:tcBorders>
                  <w:vAlign w:val="center"/>
                </w:tcPr>
                <w:p w14:paraId="28D4ADAC">
                  <w:pPr>
                    <w:pStyle w:val="30"/>
                    <w:rPr>
                      <w:rFonts w:hint="default" w:eastAsia="宋体"/>
                      <w:color w:val="auto"/>
                      <w:lang w:val="en-US" w:eastAsia="zh-CN"/>
                    </w:rPr>
                  </w:pPr>
                  <w:r>
                    <w:rPr>
                      <w:rFonts w:hint="eastAsia"/>
                      <w:color w:val="auto"/>
                      <w:lang w:val="en-US" w:eastAsia="zh-CN"/>
                    </w:rPr>
                    <w:t>9534.8</w:t>
                  </w:r>
                </w:p>
              </w:tc>
              <w:tc>
                <w:tcPr>
                  <w:tcW w:w="967" w:type="pct"/>
                  <w:tcBorders>
                    <w:tl2br w:val="nil"/>
                    <w:tr2bl w:val="nil"/>
                  </w:tcBorders>
                  <w:vAlign w:val="center"/>
                </w:tcPr>
                <w:p w14:paraId="7C02233B">
                  <w:pPr>
                    <w:pStyle w:val="30"/>
                    <w:rPr>
                      <w:rFonts w:hint="default" w:eastAsia="宋体"/>
                      <w:color w:val="auto"/>
                      <w:lang w:val="en-US" w:eastAsia="zh-CN"/>
                    </w:rPr>
                  </w:pPr>
                  <w:r>
                    <w:rPr>
                      <w:rFonts w:hint="eastAsia"/>
                      <w:color w:val="auto"/>
                      <w:lang w:val="en-US" w:eastAsia="zh-CN"/>
                    </w:rPr>
                    <w:t>6743</w:t>
                  </w:r>
                </w:p>
              </w:tc>
              <w:tc>
                <w:tcPr>
                  <w:tcW w:w="967" w:type="pct"/>
                  <w:tcBorders>
                    <w:tl2br w:val="nil"/>
                    <w:tr2bl w:val="nil"/>
                  </w:tcBorders>
                  <w:vAlign w:val="center"/>
                </w:tcPr>
                <w:p w14:paraId="562A16EF">
                  <w:pPr>
                    <w:pStyle w:val="30"/>
                    <w:rPr>
                      <w:rFonts w:hint="default" w:eastAsia="宋体"/>
                      <w:color w:val="auto"/>
                      <w:lang w:val="en-US" w:eastAsia="zh-CN"/>
                    </w:rPr>
                  </w:pPr>
                  <w:r>
                    <w:rPr>
                      <w:rFonts w:hint="eastAsia"/>
                      <w:color w:val="auto"/>
                      <w:lang w:val="en-US" w:eastAsia="zh-CN"/>
                    </w:rPr>
                    <w:t>214</w:t>
                  </w:r>
                </w:p>
              </w:tc>
            </w:tr>
            <w:tr w14:paraId="1E3E8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919" w:type="pct"/>
                  <w:tcBorders>
                    <w:tl2br w:val="nil"/>
                    <w:tr2bl w:val="nil"/>
                  </w:tcBorders>
                  <w:vAlign w:val="center"/>
                </w:tcPr>
                <w:p w14:paraId="11F43E46">
                  <w:pPr>
                    <w:pStyle w:val="30"/>
                    <w:rPr>
                      <w:rFonts w:hint="default" w:eastAsia="宋体"/>
                      <w:color w:val="auto"/>
                      <w:lang w:val="en-US" w:eastAsia="zh-CN"/>
                    </w:rPr>
                  </w:pPr>
                  <w:r>
                    <w:rPr>
                      <w:rFonts w:hint="eastAsia"/>
                      <w:color w:val="auto"/>
                      <w:lang w:val="en-US" w:eastAsia="zh-CN"/>
                    </w:rPr>
                    <w:t>站场工程区</w:t>
                  </w:r>
                </w:p>
              </w:tc>
              <w:tc>
                <w:tcPr>
                  <w:tcW w:w="589" w:type="pct"/>
                  <w:tcBorders>
                    <w:tl2br w:val="nil"/>
                    <w:tr2bl w:val="nil"/>
                  </w:tcBorders>
                  <w:vAlign w:val="center"/>
                </w:tcPr>
                <w:p w14:paraId="13013488">
                  <w:pPr>
                    <w:pStyle w:val="30"/>
                    <w:rPr>
                      <w:rFonts w:hint="default" w:eastAsia="宋体"/>
                      <w:color w:val="auto"/>
                      <w:lang w:val="en-US" w:eastAsia="zh-CN"/>
                    </w:rPr>
                  </w:pPr>
                  <w:r>
                    <w:rPr>
                      <w:rFonts w:hint="eastAsia"/>
                      <w:color w:val="auto"/>
                      <w:lang w:val="en-US" w:eastAsia="zh-CN"/>
                    </w:rPr>
                    <w:t>7833</w:t>
                  </w:r>
                </w:p>
              </w:tc>
              <w:tc>
                <w:tcPr>
                  <w:tcW w:w="589" w:type="pct"/>
                  <w:tcBorders>
                    <w:tl2br w:val="nil"/>
                    <w:tr2bl w:val="nil"/>
                  </w:tcBorders>
                  <w:vAlign w:val="center"/>
                </w:tcPr>
                <w:p w14:paraId="2E45B5C2">
                  <w:pPr>
                    <w:pStyle w:val="30"/>
                    <w:ind w:firstLine="0" w:firstLineChars="0"/>
                    <w:rPr>
                      <w:rFonts w:hint="default" w:eastAsia="宋体"/>
                      <w:color w:val="auto"/>
                      <w:lang w:val="en-US" w:eastAsia="zh-CN"/>
                    </w:rPr>
                  </w:pPr>
                  <w:r>
                    <w:rPr>
                      <w:rFonts w:hint="eastAsia"/>
                      <w:color w:val="auto"/>
                      <w:lang w:val="en-US" w:eastAsia="zh-CN"/>
                    </w:rPr>
                    <w:t>1318.3</w:t>
                  </w:r>
                </w:p>
              </w:tc>
              <w:tc>
                <w:tcPr>
                  <w:tcW w:w="965" w:type="pct"/>
                  <w:tcBorders>
                    <w:tl2br w:val="nil"/>
                    <w:tr2bl w:val="nil"/>
                  </w:tcBorders>
                  <w:vAlign w:val="center"/>
                </w:tcPr>
                <w:p w14:paraId="02AEC196">
                  <w:pPr>
                    <w:pStyle w:val="30"/>
                    <w:rPr>
                      <w:rFonts w:hint="default" w:eastAsia="宋体"/>
                      <w:color w:val="auto"/>
                      <w:lang w:val="en-US" w:eastAsia="zh-CN"/>
                    </w:rPr>
                  </w:pPr>
                  <w:r>
                    <w:rPr>
                      <w:rFonts w:hint="eastAsia"/>
                      <w:color w:val="auto"/>
                      <w:lang w:val="en-US" w:eastAsia="zh-CN"/>
                    </w:rPr>
                    <w:t>6514.7</w:t>
                  </w:r>
                </w:p>
              </w:tc>
              <w:tc>
                <w:tcPr>
                  <w:tcW w:w="967" w:type="pct"/>
                  <w:tcBorders>
                    <w:tl2br w:val="nil"/>
                    <w:tr2bl w:val="nil"/>
                  </w:tcBorders>
                  <w:vAlign w:val="center"/>
                </w:tcPr>
                <w:p w14:paraId="01DF5789">
                  <w:pPr>
                    <w:pStyle w:val="30"/>
                    <w:rPr>
                      <w:rFonts w:hint="default" w:eastAsia="宋体"/>
                      <w:color w:val="auto"/>
                      <w:lang w:val="en-US" w:eastAsia="zh-CN"/>
                    </w:rPr>
                  </w:pPr>
                  <w:r>
                    <w:rPr>
                      <w:rFonts w:hint="eastAsia"/>
                      <w:color w:val="auto"/>
                      <w:lang w:val="en-US" w:eastAsia="zh-CN"/>
                    </w:rPr>
                    <w:t>2931</w:t>
                  </w:r>
                </w:p>
              </w:tc>
              <w:tc>
                <w:tcPr>
                  <w:tcW w:w="967" w:type="pct"/>
                  <w:tcBorders>
                    <w:tl2br w:val="nil"/>
                    <w:tr2bl w:val="nil"/>
                  </w:tcBorders>
                  <w:vAlign w:val="center"/>
                </w:tcPr>
                <w:p w14:paraId="007BB681">
                  <w:pPr>
                    <w:pStyle w:val="30"/>
                    <w:rPr>
                      <w:rFonts w:hint="default" w:eastAsia="宋体"/>
                      <w:color w:val="auto"/>
                      <w:lang w:val="en-US" w:eastAsia="zh-CN"/>
                    </w:rPr>
                  </w:pPr>
                  <w:r>
                    <w:rPr>
                      <w:rFonts w:hint="eastAsia"/>
                      <w:color w:val="auto"/>
                      <w:lang w:val="en-US" w:eastAsia="zh-CN"/>
                    </w:rPr>
                    <w:t>53</w:t>
                  </w:r>
                </w:p>
              </w:tc>
            </w:tr>
            <w:tr w14:paraId="2A2DA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919" w:type="pct"/>
                  <w:tcBorders>
                    <w:tl2br w:val="nil"/>
                    <w:tr2bl w:val="nil"/>
                  </w:tcBorders>
                  <w:vAlign w:val="center"/>
                </w:tcPr>
                <w:p w14:paraId="0FFB6CE4">
                  <w:pPr>
                    <w:pStyle w:val="30"/>
                    <w:rPr>
                      <w:rFonts w:hint="default" w:eastAsia="宋体"/>
                      <w:color w:val="auto"/>
                      <w:lang w:val="en-US" w:eastAsia="zh-CN"/>
                    </w:rPr>
                  </w:pPr>
                  <w:r>
                    <w:rPr>
                      <w:rFonts w:hint="eastAsia"/>
                      <w:color w:val="auto"/>
                      <w:lang w:val="en-US" w:eastAsia="zh-CN"/>
                    </w:rPr>
                    <w:t>桥涵工程区</w:t>
                  </w:r>
                </w:p>
              </w:tc>
              <w:tc>
                <w:tcPr>
                  <w:tcW w:w="589" w:type="pct"/>
                  <w:tcBorders>
                    <w:tl2br w:val="nil"/>
                    <w:tr2bl w:val="nil"/>
                  </w:tcBorders>
                  <w:vAlign w:val="center"/>
                </w:tcPr>
                <w:p w14:paraId="2DEC62E2">
                  <w:pPr>
                    <w:pStyle w:val="30"/>
                    <w:rPr>
                      <w:rFonts w:hint="default" w:eastAsia="宋体"/>
                      <w:color w:val="auto"/>
                      <w:lang w:val="en-US" w:eastAsia="zh-CN"/>
                    </w:rPr>
                  </w:pPr>
                  <w:r>
                    <w:rPr>
                      <w:rFonts w:hint="eastAsia"/>
                      <w:color w:val="auto"/>
                      <w:lang w:val="en-US" w:eastAsia="zh-CN"/>
                    </w:rPr>
                    <w:t>269</w:t>
                  </w:r>
                </w:p>
              </w:tc>
              <w:tc>
                <w:tcPr>
                  <w:tcW w:w="589" w:type="pct"/>
                  <w:tcBorders>
                    <w:tl2br w:val="nil"/>
                    <w:tr2bl w:val="nil"/>
                  </w:tcBorders>
                  <w:vAlign w:val="center"/>
                </w:tcPr>
                <w:p w14:paraId="507FA826">
                  <w:pPr>
                    <w:pStyle w:val="30"/>
                    <w:ind w:firstLine="0" w:firstLineChars="0"/>
                    <w:rPr>
                      <w:rFonts w:hint="default" w:eastAsia="宋体"/>
                      <w:color w:val="auto"/>
                      <w:lang w:val="en-US" w:eastAsia="zh-CN"/>
                    </w:rPr>
                  </w:pPr>
                  <w:r>
                    <w:rPr>
                      <w:rFonts w:hint="eastAsia"/>
                      <w:color w:val="auto"/>
                      <w:lang w:val="en-US" w:eastAsia="zh-CN"/>
                    </w:rPr>
                    <w:t>134.5</w:t>
                  </w:r>
                </w:p>
              </w:tc>
              <w:tc>
                <w:tcPr>
                  <w:tcW w:w="965" w:type="pct"/>
                  <w:tcBorders>
                    <w:tl2br w:val="nil"/>
                    <w:tr2bl w:val="nil"/>
                  </w:tcBorders>
                  <w:vAlign w:val="center"/>
                </w:tcPr>
                <w:p w14:paraId="609A38B0">
                  <w:pPr>
                    <w:pStyle w:val="30"/>
                    <w:rPr>
                      <w:rFonts w:hint="default" w:eastAsia="宋体"/>
                      <w:color w:val="auto"/>
                      <w:lang w:val="en-US" w:eastAsia="zh-CN"/>
                    </w:rPr>
                  </w:pPr>
                  <w:r>
                    <w:rPr>
                      <w:rFonts w:hint="eastAsia"/>
                      <w:color w:val="auto"/>
                      <w:lang w:val="en-US" w:eastAsia="zh-CN"/>
                    </w:rPr>
                    <w:t>134.5</w:t>
                  </w:r>
                </w:p>
              </w:tc>
              <w:tc>
                <w:tcPr>
                  <w:tcW w:w="967" w:type="pct"/>
                  <w:tcBorders>
                    <w:tl2br w:val="nil"/>
                    <w:tr2bl w:val="nil"/>
                  </w:tcBorders>
                  <w:vAlign w:val="center"/>
                </w:tcPr>
                <w:p w14:paraId="4A9B6AF1">
                  <w:pPr>
                    <w:pStyle w:val="30"/>
                    <w:rPr>
                      <w:color w:val="auto"/>
                    </w:rPr>
                  </w:pPr>
                  <w:r>
                    <w:rPr>
                      <w:rFonts w:hint="eastAsia"/>
                      <w:color w:val="auto"/>
                    </w:rPr>
                    <w:t>0</w:t>
                  </w:r>
                </w:p>
              </w:tc>
              <w:tc>
                <w:tcPr>
                  <w:tcW w:w="967" w:type="pct"/>
                  <w:tcBorders>
                    <w:tl2br w:val="nil"/>
                    <w:tr2bl w:val="nil"/>
                  </w:tcBorders>
                  <w:vAlign w:val="center"/>
                </w:tcPr>
                <w:p w14:paraId="476288FA">
                  <w:pPr>
                    <w:pStyle w:val="30"/>
                    <w:rPr>
                      <w:rFonts w:hint="default" w:eastAsia="宋体"/>
                      <w:color w:val="auto"/>
                      <w:lang w:val="en-US" w:eastAsia="zh-CN"/>
                    </w:rPr>
                  </w:pPr>
                  <w:r>
                    <w:rPr>
                      <w:rFonts w:hint="eastAsia"/>
                      <w:color w:val="auto"/>
                      <w:lang w:val="en-US" w:eastAsia="zh-CN"/>
                    </w:rPr>
                    <w:t>37</w:t>
                  </w:r>
                </w:p>
              </w:tc>
            </w:tr>
            <w:tr w14:paraId="04A712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19" w:type="pct"/>
                  <w:tcBorders>
                    <w:tl2br w:val="nil"/>
                    <w:tr2bl w:val="nil"/>
                  </w:tcBorders>
                  <w:vAlign w:val="center"/>
                </w:tcPr>
                <w:p w14:paraId="3496B9A6">
                  <w:pPr>
                    <w:pStyle w:val="30"/>
                    <w:rPr>
                      <w:color w:val="auto"/>
                    </w:rPr>
                  </w:pPr>
                  <w:r>
                    <w:rPr>
                      <w:rFonts w:hint="eastAsia"/>
                      <w:color w:val="auto"/>
                    </w:rPr>
                    <w:t>合计</w:t>
                  </w:r>
                </w:p>
              </w:tc>
              <w:tc>
                <w:tcPr>
                  <w:tcW w:w="589" w:type="pct"/>
                  <w:tcBorders>
                    <w:tl2br w:val="nil"/>
                    <w:tr2bl w:val="nil"/>
                  </w:tcBorders>
                  <w:vAlign w:val="center"/>
                </w:tcPr>
                <w:p w14:paraId="0339A11B">
                  <w:pPr>
                    <w:pStyle w:val="30"/>
                    <w:rPr>
                      <w:rFonts w:hint="default" w:eastAsia="宋体"/>
                      <w:color w:val="auto"/>
                      <w:lang w:val="en-US" w:eastAsia="zh-CN"/>
                    </w:rPr>
                  </w:pPr>
                  <w:r>
                    <w:rPr>
                      <w:rFonts w:hint="eastAsia"/>
                      <w:color w:val="auto"/>
                      <w:lang w:val="en-US" w:eastAsia="zh-CN"/>
                    </w:rPr>
                    <w:t>24624</w:t>
                  </w:r>
                </w:p>
              </w:tc>
              <w:tc>
                <w:tcPr>
                  <w:tcW w:w="589" w:type="pct"/>
                  <w:tcBorders>
                    <w:tl2br w:val="nil"/>
                    <w:tr2bl w:val="nil"/>
                  </w:tcBorders>
                  <w:vAlign w:val="center"/>
                </w:tcPr>
                <w:p w14:paraId="1C9C114A">
                  <w:pPr>
                    <w:pStyle w:val="30"/>
                    <w:ind w:firstLine="0" w:firstLineChars="0"/>
                    <w:rPr>
                      <w:rFonts w:hint="eastAsia"/>
                      <w:color w:val="auto"/>
                    </w:rPr>
                  </w:pPr>
                  <w:r>
                    <w:rPr>
                      <w:rFonts w:hint="eastAsia"/>
                      <w:color w:val="auto"/>
                    </w:rPr>
                    <w:t>8440</w:t>
                  </w:r>
                </w:p>
              </w:tc>
              <w:tc>
                <w:tcPr>
                  <w:tcW w:w="965" w:type="pct"/>
                  <w:tcBorders>
                    <w:tl2br w:val="nil"/>
                    <w:tr2bl w:val="nil"/>
                  </w:tcBorders>
                  <w:vAlign w:val="center"/>
                </w:tcPr>
                <w:p w14:paraId="27BFA217">
                  <w:pPr>
                    <w:pStyle w:val="30"/>
                    <w:rPr>
                      <w:color w:val="auto"/>
                    </w:rPr>
                  </w:pPr>
                  <w:r>
                    <w:rPr>
                      <w:rFonts w:hint="eastAsia"/>
                      <w:color w:val="auto"/>
                    </w:rPr>
                    <w:t>16184</w:t>
                  </w:r>
                </w:p>
              </w:tc>
              <w:tc>
                <w:tcPr>
                  <w:tcW w:w="967" w:type="pct"/>
                  <w:tcBorders>
                    <w:tl2br w:val="nil"/>
                    <w:tr2bl w:val="nil"/>
                  </w:tcBorders>
                  <w:vAlign w:val="center"/>
                </w:tcPr>
                <w:p w14:paraId="68E24323">
                  <w:pPr>
                    <w:pStyle w:val="30"/>
                    <w:rPr>
                      <w:color w:val="auto"/>
                    </w:rPr>
                  </w:pPr>
                  <w:r>
                    <w:rPr>
                      <w:rFonts w:hint="eastAsia"/>
                      <w:color w:val="auto"/>
                    </w:rPr>
                    <w:t>9674</w:t>
                  </w:r>
                </w:p>
              </w:tc>
              <w:tc>
                <w:tcPr>
                  <w:tcW w:w="967" w:type="pct"/>
                  <w:tcBorders>
                    <w:tl2br w:val="nil"/>
                    <w:tr2bl w:val="nil"/>
                  </w:tcBorders>
                  <w:vAlign w:val="center"/>
                </w:tcPr>
                <w:p w14:paraId="4B367EB0">
                  <w:pPr>
                    <w:pStyle w:val="30"/>
                    <w:rPr>
                      <w:color w:val="auto"/>
                    </w:rPr>
                  </w:pPr>
                  <w:r>
                    <w:rPr>
                      <w:rFonts w:hint="eastAsia"/>
                      <w:color w:val="auto"/>
                    </w:rPr>
                    <w:t>304</w:t>
                  </w:r>
                </w:p>
              </w:tc>
            </w:tr>
          </w:tbl>
          <w:p w14:paraId="186F8748">
            <w:pPr>
              <w:pStyle w:val="37"/>
              <w:ind w:firstLine="210"/>
            </w:pPr>
            <w:r>
              <w:rPr>
                <w:rFonts w:hint="eastAsia"/>
                <w:color w:val="auto"/>
              </w:rPr>
              <w:t>注：借方全部为碎石中粗砂</w:t>
            </w:r>
          </w:p>
        </w:tc>
      </w:tr>
      <w:tr w14:paraId="77256E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640" w:type="pct"/>
            <w:vAlign w:val="center"/>
          </w:tcPr>
          <w:p w14:paraId="3251742A">
            <w:pPr>
              <w:adjustRightInd w:val="0"/>
              <w:snapToGrid w:val="0"/>
              <w:ind w:firstLine="0" w:firstLineChars="0"/>
              <w:jc w:val="center"/>
              <w:rPr>
                <w:kern w:val="0"/>
                <w:szCs w:val="21"/>
              </w:rPr>
            </w:pPr>
            <w:r>
              <w:rPr>
                <w:kern w:val="0"/>
                <w:szCs w:val="21"/>
              </w:rPr>
              <w:t>总平面及现场布置</w:t>
            </w:r>
          </w:p>
        </w:tc>
        <w:tc>
          <w:tcPr>
            <w:tcW w:w="4359" w:type="pct"/>
            <w:vAlign w:val="center"/>
          </w:tcPr>
          <w:p w14:paraId="79E24E90">
            <w:pPr>
              <w:ind w:firstLine="482"/>
              <w:rPr>
                <w:b/>
                <w:bCs/>
              </w:rPr>
            </w:pPr>
            <w:r>
              <w:rPr>
                <w:rFonts w:hint="eastAsia"/>
                <w:b/>
                <w:bCs/>
              </w:rPr>
              <w:t>1、</w:t>
            </w:r>
            <w:r>
              <w:rPr>
                <w:b/>
                <w:bCs/>
              </w:rPr>
              <w:t>工程布局情况</w:t>
            </w:r>
          </w:p>
          <w:p w14:paraId="79ECEC4F">
            <w:pPr>
              <w:ind w:firstLine="480"/>
            </w:pPr>
            <w:r>
              <w:t>本项目全部在原有铁路用地范围内进行建设，不需要新征土地。</w:t>
            </w:r>
          </w:p>
          <w:p w14:paraId="11329899">
            <w:pPr>
              <w:ind w:firstLine="482"/>
            </w:pPr>
            <w:r>
              <w:rPr>
                <w:b/>
                <w:bCs/>
              </w:rPr>
              <w:t>2</w:t>
            </w:r>
            <w:r>
              <w:rPr>
                <w:rFonts w:hint="eastAsia"/>
                <w:b/>
                <w:bCs/>
              </w:rPr>
              <w:t>、</w:t>
            </w:r>
            <w:r>
              <w:rPr>
                <w:b/>
                <w:bCs/>
              </w:rPr>
              <w:t>施工布置情况</w:t>
            </w:r>
          </w:p>
          <w:p w14:paraId="5D14EFD6">
            <w:pPr>
              <w:ind w:firstLine="480"/>
              <w:rPr>
                <w:color w:val="auto"/>
              </w:rPr>
            </w:pPr>
            <w:r>
              <w:rPr>
                <w:color w:val="auto"/>
              </w:rPr>
              <w:t>为保证3道和4道的正常使用，本次研究重新设置17#和19#道岔。在既有安全线道岔外侧依次新设50kg/m钢轨、混凝土岔枕单开道岔共2组（图号为CZ2209）。</w:t>
            </w:r>
          </w:p>
          <w:p w14:paraId="0741BECF">
            <w:pPr>
              <w:ind w:firstLine="480"/>
              <w:rPr>
                <w:color w:val="auto"/>
              </w:rPr>
            </w:pPr>
            <w:r>
              <w:rPr>
                <w:color w:val="auto"/>
              </w:rPr>
              <w:t>既有油库专用线采用43kg/m钢轨木枕道岔，道岔连续布置，道岔前后未设置间距，新设道岔采用50kg/m钢轨混凝土岔枕道岔，需要根据《铁路专用线设计规范（试行）》（TB10638-2019）中关于道岔间插入钢轨最小长度要求调整道岔间距。道岔间距调整后，改造岔后曲线并重新连接3道和4道。</w:t>
            </w:r>
          </w:p>
          <w:p w14:paraId="0041CB6B">
            <w:pPr>
              <w:ind w:firstLine="480"/>
            </w:pPr>
            <w:r>
              <w:rPr>
                <w:color w:val="auto"/>
              </w:rPr>
              <w:t>本次研究3道曲线半径由510m调整为500m，线路有效长为346m，装卸长度为301m。4道曲线半径由280m调整为240m，线路有效长为508m，装卸长度为313m。4道半径240m曲线范围内每25m设置10根轨距杆。</w:t>
            </w:r>
          </w:p>
        </w:tc>
      </w:tr>
      <w:tr w14:paraId="38E4B2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640" w:type="pct"/>
            <w:vAlign w:val="center"/>
          </w:tcPr>
          <w:p w14:paraId="720E4D1E">
            <w:pPr>
              <w:adjustRightInd w:val="0"/>
              <w:snapToGrid w:val="0"/>
              <w:ind w:firstLine="0" w:firstLineChars="0"/>
              <w:jc w:val="center"/>
              <w:rPr>
                <w:kern w:val="0"/>
                <w:szCs w:val="21"/>
              </w:rPr>
            </w:pPr>
            <w:r>
              <w:rPr>
                <w:kern w:val="0"/>
                <w:szCs w:val="21"/>
              </w:rPr>
              <w:t>施工方案</w:t>
            </w:r>
          </w:p>
        </w:tc>
        <w:tc>
          <w:tcPr>
            <w:tcW w:w="4359" w:type="pct"/>
            <w:vAlign w:val="center"/>
          </w:tcPr>
          <w:p w14:paraId="29B16DEA">
            <w:pPr>
              <w:ind w:firstLine="482"/>
              <w:rPr>
                <w:b/>
                <w:bCs/>
                <w:color w:val="auto"/>
              </w:rPr>
            </w:pPr>
            <w:r>
              <w:rPr>
                <w:rFonts w:hint="eastAsia"/>
                <w:b/>
                <w:bCs/>
                <w:color w:val="auto"/>
              </w:rPr>
              <w:t>1、</w:t>
            </w:r>
            <w:r>
              <w:rPr>
                <w:b/>
                <w:bCs/>
                <w:color w:val="auto"/>
              </w:rPr>
              <w:t>施工</w:t>
            </w:r>
            <w:r>
              <w:rPr>
                <w:rFonts w:hint="eastAsia"/>
                <w:b/>
                <w:bCs/>
                <w:color w:val="auto"/>
              </w:rPr>
              <w:t>工艺、方法</w:t>
            </w:r>
          </w:p>
          <w:p w14:paraId="16D260C9">
            <w:pPr>
              <w:ind w:firstLine="482"/>
              <w:rPr>
                <w:b/>
                <w:bCs/>
                <w:color w:val="auto"/>
              </w:rPr>
            </w:pPr>
            <w:r>
              <w:rPr>
                <w:rFonts w:hint="eastAsia"/>
                <w:b/>
                <w:bCs/>
                <w:color w:val="auto"/>
              </w:rPr>
              <w:t>（一）铁路工程</w:t>
            </w:r>
          </w:p>
          <w:p w14:paraId="1FD7AA08">
            <w:pPr>
              <w:ind w:firstLine="480"/>
              <w:rPr>
                <w:color w:val="auto"/>
              </w:rPr>
            </w:pPr>
            <w:r>
              <w:rPr>
                <w:rFonts w:hint="eastAsia"/>
                <w:color w:val="auto"/>
              </w:rPr>
              <w:t>（1）路基工程</w:t>
            </w:r>
          </w:p>
          <w:p w14:paraId="2FA2B26C">
            <w:pPr>
              <w:ind w:firstLine="480"/>
              <w:rPr>
                <w:color w:val="auto"/>
              </w:rPr>
            </w:pPr>
            <w:r>
              <w:rPr>
                <w:rFonts w:hint="eastAsia"/>
                <w:color w:val="auto"/>
              </w:rPr>
              <w:t>应在施工准备完成之后尽早开工，因地制宜选择机具。在挖、装、运、卸、夯等各工序间，机具应配套，连续作业。土石方工程与各项工程的施工都有关联，必须互相配合，互相利用，减少干扰，保证施工质量；各段施工工期结合其他工程统筹安排。</w:t>
            </w:r>
          </w:p>
          <w:p w14:paraId="0FA3B7F2">
            <w:pPr>
              <w:ind w:firstLine="480"/>
              <w:rPr>
                <w:color w:val="auto"/>
              </w:rPr>
            </w:pPr>
            <w:r>
              <w:rPr>
                <w:rFonts w:hint="eastAsia"/>
                <w:color w:val="auto"/>
              </w:rPr>
              <w:t>1）清表</w:t>
            </w:r>
          </w:p>
          <w:p w14:paraId="16D4892C">
            <w:pPr>
              <w:ind w:firstLine="480"/>
              <w:rPr>
                <w:color w:val="auto"/>
              </w:rPr>
            </w:pPr>
            <w:r>
              <w:rPr>
                <w:rFonts w:hint="eastAsia"/>
                <w:color w:val="auto"/>
              </w:rPr>
              <w:t>路基在填方前需清除原地表腐殖层，集中堆放，并采取临时挡护，工程结束时作为绿化用土及复垦土源；清表后将工作面基本平整压实。</w:t>
            </w:r>
          </w:p>
          <w:p w14:paraId="729F10AF">
            <w:pPr>
              <w:ind w:firstLine="480"/>
              <w:rPr>
                <w:color w:val="auto"/>
              </w:rPr>
            </w:pPr>
            <w:r>
              <w:rPr>
                <w:rFonts w:hint="eastAsia"/>
                <w:color w:val="auto"/>
              </w:rPr>
              <w:t>2）挖方</w:t>
            </w:r>
          </w:p>
          <w:p w14:paraId="5B4FF026">
            <w:pPr>
              <w:ind w:firstLine="480"/>
              <w:rPr>
                <w:color w:val="auto"/>
              </w:rPr>
            </w:pPr>
            <w:r>
              <w:rPr>
                <w:rFonts w:hint="eastAsia"/>
                <w:color w:val="auto"/>
              </w:rPr>
              <w:t>地形平缓的浅路堑采取全断面纵向开挖方法；当路堑长度较短，挖深较大时，采取横向分台阶开挖方法；路堑较长且深度较大时，采取纵向分层分台阶开挖方法；当地起伏较大，且路堑长度长、开挖深时，采取纵横向分台阶结合的开挖方法。</w:t>
            </w:r>
          </w:p>
          <w:p w14:paraId="24BCD545">
            <w:pPr>
              <w:ind w:firstLine="480"/>
              <w:rPr>
                <w:color w:val="auto"/>
              </w:rPr>
            </w:pPr>
            <w:r>
              <w:rPr>
                <w:rFonts w:hint="eastAsia"/>
                <w:color w:val="auto"/>
              </w:rPr>
              <w:t>3）路基填筑</w:t>
            </w:r>
          </w:p>
          <w:p w14:paraId="7B4E8E61">
            <w:pPr>
              <w:ind w:firstLine="480"/>
              <w:rPr>
                <w:color w:val="auto"/>
              </w:rPr>
            </w:pPr>
            <w:r>
              <w:rPr>
                <w:rFonts w:hint="eastAsia"/>
                <w:color w:val="auto"/>
              </w:rPr>
              <w:t>路基填筑采用水平分层分断面填筑方法施工，逐段逐层向上填筑。采取挖、装、运、摊、平、压实等机械化流水作业，每层填压的土方均要平行于最终路基面。为保证路基稳定性和后期沉降量控制的要求，需进行地基加固和基床换填处理，然后进行分层填筑和压实，保证密实度。</w:t>
            </w:r>
          </w:p>
          <w:p w14:paraId="0FB92909">
            <w:pPr>
              <w:ind w:firstLine="480"/>
              <w:rPr>
                <w:color w:val="auto"/>
              </w:rPr>
            </w:pPr>
            <w:r>
              <w:rPr>
                <w:rFonts w:hint="eastAsia"/>
                <w:color w:val="auto"/>
              </w:rPr>
              <w:t>设计优先利用挖方填筑路基，土石方工程采用以机械施工为主，适当的配合人力施工的方案。填方采用逐层填筑，分层压实的方法施工。填筑采用水平分层断面填筑方法施工，即按照横断面全宽分成水平层次逐层向上填筑。采取挖、装、运、摊、平、压实等机械化流水作业，逐段逐层向上填筑。如原地面不平，应由最低处分层填起，每填一层，经过压实并符合压实度规定要求后再填上一层。</w:t>
            </w:r>
          </w:p>
          <w:p w14:paraId="4D67F33E">
            <w:pPr>
              <w:ind w:firstLine="480"/>
              <w:rPr>
                <w:color w:val="auto"/>
              </w:rPr>
            </w:pPr>
            <w:r>
              <w:rPr>
                <w:rFonts w:hint="eastAsia"/>
                <w:color w:val="auto"/>
              </w:rPr>
              <w:t>（2）铺轨工程</w:t>
            </w:r>
          </w:p>
          <w:p w14:paraId="27EB7B79">
            <w:pPr>
              <w:ind w:firstLine="480"/>
              <w:rPr>
                <w:color w:val="auto"/>
              </w:rPr>
            </w:pPr>
            <w:r>
              <w:rPr>
                <w:rFonts w:hint="eastAsia"/>
                <w:color w:val="auto"/>
              </w:rPr>
              <w:t>本项目轨道采用人工铺轨。铺轨工程应在路基土石方工程完工半个月后开始，在此期间应检查路基、复测中线及水平，为铺轨做好准备。铺轨和铺碴施工组织间隔不宜超过1至2个区间，铺碴工程按底碴、面碴分层铺设的程序进行。</w:t>
            </w:r>
          </w:p>
          <w:p w14:paraId="0FECA4A8">
            <w:pPr>
              <w:ind w:firstLine="482"/>
              <w:rPr>
                <w:b/>
                <w:bCs/>
                <w:color w:val="auto"/>
              </w:rPr>
            </w:pPr>
            <w:r>
              <w:rPr>
                <w:rFonts w:hint="eastAsia"/>
                <w:b/>
                <w:bCs/>
                <w:color w:val="auto"/>
              </w:rPr>
              <w:t>（二）道路工程</w:t>
            </w:r>
          </w:p>
          <w:p w14:paraId="04757064">
            <w:pPr>
              <w:ind w:firstLine="480"/>
              <w:rPr>
                <w:color w:val="auto"/>
              </w:rPr>
            </w:pPr>
            <w:r>
              <w:rPr>
                <w:rFonts w:hint="eastAsia"/>
                <w:color w:val="auto"/>
              </w:rPr>
              <w:t>道路工程施工采用机械化作业。</w:t>
            </w:r>
          </w:p>
          <w:p w14:paraId="28655803">
            <w:pPr>
              <w:ind w:firstLine="480"/>
              <w:rPr>
                <w:color w:val="auto"/>
              </w:rPr>
            </w:pPr>
            <w:r>
              <w:rPr>
                <w:rFonts w:hint="eastAsia"/>
                <w:color w:val="auto"/>
              </w:rPr>
              <w:t>（1）土方开挖</w:t>
            </w:r>
          </w:p>
          <w:p w14:paraId="52EE40F5">
            <w:pPr>
              <w:ind w:firstLine="480"/>
              <w:rPr>
                <w:color w:val="auto"/>
              </w:rPr>
            </w:pPr>
            <w:r>
              <w:rPr>
                <w:rFonts w:hint="eastAsia"/>
                <w:color w:val="auto"/>
              </w:rPr>
              <w:t>土方开挖采用挖掘机，装载机装车，自卸汽车运输。</w:t>
            </w:r>
          </w:p>
          <w:p w14:paraId="193ED6FD">
            <w:pPr>
              <w:ind w:firstLine="480"/>
              <w:rPr>
                <w:color w:val="auto"/>
              </w:rPr>
            </w:pPr>
            <w:r>
              <w:rPr>
                <w:rFonts w:hint="eastAsia"/>
                <w:color w:val="auto"/>
              </w:rPr>
              <w:t>（2）基底处理</w:t>
            </w:r>
          </w:p>
          <w:p w14:paraId="1ACA758A">
            <w:pPr>
              <w:ind w:firstLine="480"/>
              <w:rPr>
                <w:color w:val="auto"/>
              </w:rPr>
            </w:pPr>
            <w:r>
              <w:rPr>
                <w:rFonts w:hint="eastAsia"/>
                <w:color w:val="auto"/>
              </w:rPr>
              <w:t>路基下处理换填山皮土，自卸汽车运输，挖掘机粗平，平地机精平，压路机碾压。</w:t>
            </w:r>
          </w:p>
          <w:p w14:paraId="640BE980">
            <w:pPr>
              <w:ind w:firstLine="480"/>
              <w:rPr>
                <w:color w:val="auto"/>
              </w:rPr>
            </w:pPr>
            <w:r>
              <w:rPr>
                <w:rFonts w:hint="eastAsia"/>
                <w:color w:val="auto"/>
              </w:rPr>
              <w:t>（3）基层施工</w:t>
            </w:r>
          </w:p>
          <w:p w14:paraId="3809C072">
            <w:pPr>
              <w:ind w:firstLine="480"/>
              <w:rPr>
                <w:color w:val="auto"/>
              </w:rPr>
            </w:pPr>
            <w:r>
              <w:rPr>
                <w:rFonts w:hint="eastAsia"/>
                <w:color w:val="auto"/>
              </w:rPr>
              <w:t>基层、底基层材料均采用厂拌法、自卸汽车运输，平地机摊铺施工，压路机碾压。</w:t>
            </w:r>
          </w:p>
          <w:p w14:paraId="6928B34C">
            <w:pPr>
              <w:ind w:firstLine="480"/>
              <w:rPr>
                <w:color w:val="auto"/>
              </w:rPr>
            </w:pPr>
            <w:r>
              <w:rPr>
                <w:rFonts w:hint="eastAsia"/>
                <w:color w:val="auto"/>
              </w:rPr>
              <w:t>（4）路面施工</w:t>
            </w:r>
          </w:p>
          <w:p w14:paraId="59735B4D">
            <w:pPr>
              <w:ind w:left="480" w:leftChars="200" w:firstLine="0" w:firstLineChars="0"/>
              <w:rPr>
                <w:color w:val="auto"/>
              </w:rPr>
            </w:pPr>
            <w:r>
              <w:rPr>
                <w:rFonts w:hint="eastAsia"/>
                <w:color w:val="auto"/>
              </w:rPr>
              <w:t>硬化面结构采用C40混凝土，摊铺机摊铺，压路机碾压成型。</w:t>
            </w:r>
          </w:p>
          <w:p w14:paraId="39827A01">
            <w:pPr>
              <w:ind w:firstLine="482"/>
              <w:rPr>
                <w:b/>
                <w:bCs/>
                <w:color w:val="auto"/>
              </w:rPr>
            </w:pPr>
            <w:r>
              <w:rPr>
                <w:rFonts w:hint="eastAsia"/>
                <w:b/>
                <w:bCs/>
                <w:color w:val="auto"/>
              </w:rPr>
              <w:t>（三）桥涵工程</w:t>
            </w:r>
          </w:p>
          <w:p w14:paraId="5D8F5AD1">
            <w:pPr>
              <w:ind w:firstLine="480"/>
              <w:rPr>
                <w:color w:val="auto"/>
              </w:rPr>
            </w:pPr>
            <w:r>
              <w:rPr>
                <w:rFonts w:hint="eastAsia"/>
                <w:color w:val="auto"/>
              </w:rPr>
              <w:t>（1）施工开挖</w:t>
            </w:r>
          </w:p>
          <w:p w14:paraId="5F9BF7B0">
            <w:pPr>
              <w:ind w:firstLine="480"/>
              <w:rPr>
                <w:color w:val="auto"/>
              </w:rPr>
            </w:pPr>
            <w:r>
              <w:rPr>
                <w:rFonts w:hint="eastAsia"/>
                <w:color w:val="auto"/>
              </w:rPr>
              <w:t>测量放线后，基坑采用人工配合挖掘机作业。开挖时，确保边坡稳定。坑内有水时，坑的一侧设汇水沟和集水井，用水泵排出坑外。基坑开挖完成并检查签证后，开始基础施工。</w:t>
            </w:r>
          </w:p>
          <w:p w14:paraId="7D7A0D20">
            <w:pPr>
              <w:ind w:firstLine="480"/>
              <w:rPr>
                <w:color w:val="auto"/>
              </w:rPr>
            </w:pPr>
            <w:r>
              <w:rPr>
                <w:rFonts w:hint="eastAsia"/>
                <w:color w:val="auto"/>
              </w:rPr>
              <w:t>（2）基础及框架施工</w:t>
            </w:r>
          </w:p>
          <w:p w14:paraId="4E567DEF">
            <w:pPr>
              <w:ind w:firstLine="480"/>
              <w:rPr>
                <w:color w:val="auto"/>
              </w:rPr>
            </w:pPr>
            <w:r>
              <w:rPr>
                <w:rFonts w:hint="eastAsia"/>
                <w:color w:val="auto"/>
              </w:rPr>
              <w:t>各部建设施工时，先用经纬仪按设计尺寸放样，施工时以挂线、设模型板方式控制尺寸及垂直度。混凝土基础施工时，钢筋现场加工、制作、安装，模板采用大块组合钢模，两侧设木支撑，混凝土现场强制式拌合机拌制，翻斗车运输，人工送料，通过滑槽或串筒入模，水平分层浇筑，插入式振捣器振捣密实。</w:t>
            </w:r>
          </w:p>
          <w:p w14:paraId="672A16A9">
            <w:pPr>
              <w:ind w:firstLine="480"/>
              <w:rPr>
                <w:color w:val="auto"/>
              </w:rPr>
            </w:pPr>
            <w:r>
              <w:rPr>
                <w:rFonts w:hint="eastAsia"/>
                <w:color w:val="auto"/>
              </w:rPr>
              <w:t>（3）顶板施工</w:t>
            </w:r>
          </w:p>
          <w:p w14:paraId="54B42D41">
            <w:pPr>
              <w:ind w:firstLine="480"/>
              <w:rPr>
                <w:color w:val="auto"/>
              </w:rPr>
            </w:pPr>
            <w:r>
              <w:rPr>
                <w:rFonts w:hint="eastAsia"/>
                <w:color w:val="auto"/>
              </w:rPr>
              <w:t>顶板采用现浇法施工。钢筋骨架现场绑扎，模板采用大块组合钢模板，支撑采用碗扣式脚手架，两侧支撑紧靠边墙。混凝土现场拌制，自动计量，翻斗车水平运输，汽车吊送料入模，插入式振捣器振捣，连续一次浇筑完成。混凝土浇筑结束后，上覆草袋浇水养生。到龄期后拆模，拆模时确保安全。</w:t>
            </w:r>
          </w:p>
          <w:p w14:paraId="1F390AFB">
            <w:pPr>
              <w:ind w:firstLine="480"/>
              <w:rPr>
                <w:color w:val="auto"/>
              </w:rPr>
            </w:pPr>
            <w:r>
              <w:rPr>
                <w:rFonts w:hint="eastAsia"/>
                <w:color w:val="auto"/>
              </w:rPr>
              <w:t>（4）防水层施工</w:t>
            </w:r>
          </w:p>
          <w:p w14:paraId="6A66F607">
            <w:pPr>
              <w:ind w:left="480" w:leftChars="200" w:firstLine="0" w:firstLineChars="0"/>
              <w:rPr>
                <w:color w:val="auto"/>
              </w:rPr>
            </w:pPr>
            <w:r>
              <w:rPr>
                <w:rFonts w:hint="eastAsia"/>
                <w:color w:val="auto"/>
              </w:rPr>
              <w:t>防水层按要求铺设到位，达到“验标”要求。</w:t>
            </w:r>
          </w:p>
          <w:p w14:paraId="0AF96940">
            <w:pPr>
              <w:ind w:firstLine="482"/>
              <w:rPr>
                <w:color w:val="auto"/>
              </w:rPr>
            </w:pPr>
            <w:r>
              <w:rPr>
                <w:rFonts w:hint="eastAsia"/>
                <w:b/>
                <w:bCs/>
                <w:color w:val="auto"/>
              </w:rPr>
              <w:t>（四）站后工程</w:t>
            </w:r>
          </w:p>
          <w:p w14:paraId="1D4775A6">
            <w:pPr>
              <w:ind w:firstLine="480"/>
              <w:rPr>
                <w:color w:val="auto"/>
              </w:rPr>
            </w:pPr>
            <w:r>
              <w:rPr>
                <w:rFonts w:hint="eastAsia"/>
                <w:color w:val="auto"/>
              </w:rPr>
              <w:t>通信、信号、电力、给排水、房屋、设备等工程配合铺架进度及通车需要逐步配套完成，对于常规部分的施工方法，按已有成熟的方法、施工工艺进行组织施工。</w:t>
            </w:r>
          </w:p>
          <w:p w14:paraId="59791A06">
            <w:pPr>
              <w:ind w:firstLine="482"/>
              <w:rPr>
                <w:b/>
                <w:bCs/>
                <w:color w:val="auto"/>
              </w:rPr>
            </w:pPr>
            <w:r>
              <w:rPr>
                <w:rFonts w:hint="eastAsia"/>
                <w:b/>
                <w:bCs/>
                <w:color w:val="auto"/>
              </w:rPr>
              <w:t>二、项目生产工艺及产污环节</w:t>
            </w:r>
          </w:p>
          <w:p w14:paraId="15E84547">
            <w:pPr>
              <w:ind w:firstLine="482"/>
              <w:rPr>
                <w:b/>
                <w:bCs/>
                <w:color w:val="auto"/>
              </w:rPr>
            </w:pPr>
            <w:r>
              <w:rPr>
                <w:rFonts w:hint="eastAsia"/>
                <w:b/>
                <w:bCs/>
                <w:color w:val="auto"/>
              </w:rPr>
              <w:t>1、施工期工艺流程及产污环节</w:t>
            </w:r>
          </w:p>
          <w:p w14:paraId="0AB67A41">
            <w:pPr>
              <w:ind w:firstLine="0" w:firstLineChars="0"/>
              <w:jc w:val="center"/>
              <w:rPr>
                <w:b/>
                <w:bCs/>
                <w:color w:val="0000FF"/>
              </w:rPr>
            </w:pPr>
            <w:r>
              <w:rPr>
                <w:b/>
                <w:bCs/>
                <w:color w:val="0000FF"/>
              </w:rPr>
              <w:drawing>
                <wp:inline distT="0" distB="0" distL="114300" distR="114300">
                  <wp:extent cx="4497070" cy="2997835"/>
                  <wp:effectExtent l="0" t="0" r="17780" b="12065"/>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12"/>
                          <a:stretch>
                            <a:fillRect/>
                          </a:stretch>
                        </pic:blipFill>
                        <pic:spPr>
                          <a:xfrm>
                            <a:off x="0" y="0"/>
                            <a:ext cx="4497070" cy="2997835"/>
                          </a:xfrm>
                          <a:prstGeom prst="rect">
                            <a:avLst/>
                          </a:prstGeom>
                          <a:noFill/>
                          <a:ln>
                            <a:noFill/>
                          </a:ln>
                        </pic:spPr>
                      </pic:pic>
                    </a:graphicData>
                  </a:graphic>
                </wp:inline>
              </w:drawing>
            </w:r>
          </w:p>
          <w:p w14:paraId="157CD1B4">
            <w:pPr>
              <w:pStyle w:val="33"/>
              <w:rPr>
                <w:color w:val="auto"/>
              </w:rPr>
            </w:pPr>
            <w:r>
              <w:rPr>
                <w:rFonts w:hint="eastAsia"/>
                <w:color w:val="auto"/>
              </w:rPr>
              <w:t>图2-1 施工工艺流程及产污环节</w:t>
            </w:r>
          </w:p>
          <w:p w14:paraId="49389A85">
            <w:pPr>
              <w:ind w:firstLine="480"/>
              <w:rPr>
                <w:rFonts w:hint="eastAsia"/>
                <w:color w:val="auto"/>
              </w:rPr>
            </w:pPr>
          </w:p>
          <w:p w14:paraId="7085A1CE">
            <w:pPr>
              <w:ind w:firstLine="480"/>
              <w:rPr>
                <w:color w:val="auto"/>
              </w:rPr>
            </w:pPr>
            <w:r>
              <w:rPr>
                <w:rFonts w:hint="eastAsia"/>
                <w:color w:val="auto"/>
              </w:rPr>
              <w:t>本项目首先进行清表工作，清表后工作边基本平整压实。其次进行材料运输和土方调配，进行挖方工程。然后进行道口看守房建设、路基填筑工作。设计优先利用挖方填筑路基，土石方工程以机械施工为主，适当的配合人力施工的方案，填方采用逐层填筑，分层压实的方法施工。最后进行轨道铺架工程，铺轨工程按底碴、面碴分层铺设的程序进行。铺设完成后工程竣工。</w:t>
            </w:r>
          </w:p>
          <w:p w14:paraId="519D5D9C">
            <w:pPr>
              <w:ind w:firstLine="480"/>
              <w:rPr>
                <w:color w:val="auto"/>
              </w:rPr>
            </w:pPr>
            <w:r>
              <w:rPr>
                <w:rFonts w:hint="eastAsia"/>
                <w:color w:val="auto"/>
              </w:rPr>
              <w:t>施工期工程的环境影响主要集中于施工准备和路基等主体工程对生态环境的干扰和破坏，其次为施工噪声、扬尘、废水和固体废物排放对局部环境形成短期影响。</w:t>
            </w:r>
          </w:p>
          <w:p w14:paraId="1D1D1A97">
            <w:pPr>
              <w:ind w:firstLine="482"/>
              <w:rPr>
                <w:color w:val="auto"/>
              </w:rPr>
            </w:pPr>
            <w:r>
              <w:rPr>
                <w:rFonts w:hint="eastAsia"/>
                <w:b/>
                <w:bCs/>
                <w:color w:val="auto"/>
              </w:rPr>
              <w:t>2、运营期工艺流程及产污环节</w:t>
            </w:r>
          </w:p>
          <w:p w14:paraId="0091E26F">
            <w:pPr>
              <w:ind w:firstLine="0" w:firstLineChars="0"/>
              <w:rPr>
                <w:color w:val="0000FF"/>
              </w:rPr>
            </w:pPr>
            <w:r>
              <w:rPr>
                <w:rFonts w:hint="eastAsia"/>
                <w:color w:val="0000FF"/>
              </w:rPr>
              <w:drawing>
                <wp:inline distT="0" distB="0" distL="114300" distR="114300">
                  <wp:extent cx="4493895" cy="2069465"/>
                  <wp:effectExtent l="0" t="0" r="1905" b="6985"/>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13"/>
                          <a:stretch>
                            <a:fillRect/>
                          </a:stretch>
                        </pic:blipFill>
                        <pic:spPr>
                          <a:xfrm>
                            <a:off x="0" y="0"/>
                            <a:ext cx="4493895" cy="2069465"/>
                          </a:xfrm>
                          <a:prstGeom prst="rect">
                            <a:avLst/>
                          </a:prstGeom>
                          <a:noFill/>
                          <a:ln>
                            <a:noFill/>
                          </a:ln>
                        </pic:spPr>
                      </pic:pic>
                    </a:graphicData>
                  </a:graphic>
                </wp:inline>
              </w:drawing>
            </w:r>
          </w:p>
          <w:p w14:paraId="77A86C0D">
            <w:pPr>
              <w:pStyle w:val="33"/>
              <w:rPr>
                <w:color w:val="auto"/>
              </w:rPr>
            </w:pPr>
            <w:r>
              <w:rPr>
                <w:rFonts w:hint="eastAsia"/>
                <w:color w:val="auto"/>
              </w:rPr>
              <w:t>图2-2 运营期流程及产污环节</w:t>
            </w:r>
          </w:p>
          <w:p w14:paraId="1346239D">
            <w:pPr>
              <w:ind w:firstLine="480"/>
              <w:rPr>
                <w:color w:val="auto"/>
              </w:rPr>
            </w:pPr>
            <w:r>
              <w:rPr>
                <w:color w:val="auto"/>
              </w:rPr>
              <w:t>铁路专用线工程建成运营后，对大气环境的影响主要来自运输扬尘；噪声来源于交通噪声和振动</w:t>
            </w:r>
            <w:r>
              <w:rPr>
                <w:rFonts w:hint="eastAsia"/>
                <w:color w:val="auto"/>
              </w:rPr>
              <w:t>。</w:t>
            </w:r>
          </w:p>
          <w:p w14:paraId="04D10AD7">
            <w:pPr>
              <w:ind w:firstLine="482"/>
              <w:rPr>
                <w:kern w:val="0"/>
                <w:szCs w:val="21"/>
              </w:rPr>
            </w:pPr>
            <w:r>
              <w:rPr>
                <w:rFonts w:hint="eastAsia"/>
                <w:b/>
                <w:bCs/>
                <w:kern w:val="0"/>
                <w:szCs w:val="21"/>
              </w:rPr>
              <w:t>3、建设周期</w:t>
            </w:r>
          </w:p>
          <w:p w14:paraId="6299948C">
            <w:pPr>
              <w:ind w:firstLine="480"/>
            </w:pPr>
            <w:r>
              <w:rPr>
                <w:rFonts w:hint="eastAsia"/>
              </w:rPr>
              <w:t>项目施工高峰期总用工人数为45人，本项目工期为2025.5-2025.10，6个月。</w:t>
            </w:r>
          </w:p>
        </w:tc>
      </w:tr>
      <w:tr w14:paraId="46E9C2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2" w:hRule="atLeast"/>
          <w:jc w:val="center"/>
        </w:trPr>
        <w:tc>
          <w:tcPr>
            <w:tcW w:w="640" w:type="pct"/>
            <w:vAlign w:val="center"/>
          </w:tcPr>
          <w:p w14:paraId="38AB2FB2">
            <w:pPr>
              <w:adjustRightInd w:val="0"/>
              <w:snapToGrid w:val="0"/>
              <w:ind w:firstLine="0" w:firstLineChars="0"/>
              <w:jc w:val="center"/>
              <w:rPr>
                <w:kern w:val="0"/>
                <w:szCs w:val="21"/>
              </w:rPr>
            </w:pPr>
            <w:r>
              <w:rPr>
                <w:kern w:val="0"/>
                <w:szCs w:val="21"/>
              </w:rPr>
              <w:t>其他</w:t>
            </w:r>
          </w:p>
        </w:tc>
        <w:tc>
          <w:tcPr>
            <w:tcW w:w="4359" w:type="pct"/>
            <w:vAlign w:val="center"/>
          </w:tcPr>
          <w:p w14:paraId="1A518A5F">
            <w:pPr>
              <w:ind w:firstLine="480"/>
              <w:rPr>
                <w:color w:val="auto"/>
              </w:rPr>
            </w:pPr>
            <w:r>
              <w:rPr>
                <w:rFonts w:hint="eastAsia"/>
                <w:color w:val="auto"/>
              </w:rPr>
              <w:t>油库专用线接轨于福利屯站佳木斯侧咽喉区。专用线接轨后折向南方行进，设置油库装卸线2条（1道、2道）。专用线库外既有17#和19#道岔，并在走行线两侧由北向南分别设置装卸线（3道、4道）各1条。目前，3道和4道的道岔已被拆除。本次研究在油库专用线走行线上重新插入17#和19#道岔，分别连通3道和4道，并按《铁路专用线设计规范（试行）》（TB10638-2019）要求调整线路坡度。更换既有线路钢轨、轨枕和扣配件，铺设道床，并换填路基表层。拆除既有路基排水沟，在路基两侧新设排水沟各一条。拆除既有车挡并新设固定式车挡和滑动挡车器。</w:t>
            </w:r>
          </w:p>
          <w:p w14:paraId="453615A9">
            <w:pPr>
              <w:ind w:firstLine="480"/>
            </w:pPr>
            <w:r>
              <w:rPr>
                <w:rFonts w:hint="eastAsia"/>
                <w:color w:val="auto"/>
              </w:rPr>
              <w:t>由于本项目线路是改建原有线路，因此无线路比选方案研究。</w:t>
            </w:r>
          </w:p>
        </w:tc>
      </w:tr>
    </w:tbl>
    <w:p w14:paraId="10CDBA2A">
      <w:pPr>
        <w:pStyle w:val="21"/>
        <w:ind w:firstLine="0" w:firstLineChars="0"/>
        <w:jc w:val="center"/>
        <w:outlineLvl w:val="0"/>
        <w:rPr>
          <w:rFonts w:ascii="Times New Roman" w:hAnsi="Times New Roman" w:eastAsia="黑体"/>
          <w:snapToGrid w:val="0"/>
          <w:sz w:val="30"/>
          <w:szCs w:val="30"/>
        </w:rPr>
      </w:pPr>
      <w:r>
        <w:rPr>
          <w:rFonts w:ascii="Times New Roman" w:hAnsi="Times New Roman" w:eastAsia="仿宋_GB2312"/>
          <w:b/>
          <w:bCs/>
        </w:rPr>
        <w:br w:type="page"/>
      </w:r>
      <w:bookmarkStart w:id="11" w:name="_Toc14770"/>
      <w:r>
        <w:rPr>
          <w:rFonts w:ascii="Times New Roman" w:hAnsi="Times New Roman" w:eastAsia="黑体"/>
          <w:snapToGrid w:val="0"/>
          <w:sz w:val="30"/>
          <w:szCs w:val="30"/>
        </w:rPr>
        <w:t>三、生态环境现状、保护目标及评价标准</w:t>
      </w:r>
      <w:bookmarkEnd w:id="11"/>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3"/>
        <w:gridCol w:w="8079"/>
      </w:tblGrid>
      <w:tr w14:paraId="3CB1D6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05" w:type="pct"/>
            <w:vAlign w:val="center"/>
          </w:tcPr>
          <w:p w14:paraId="3F6B977A">
            <w:pPr>
              <w:adjustRightInd w:val="0"/>
              <w:snapToGrid w:val="0"/>
              <w:ind w:firstLine="0" w:firstLineChars="0"/>
              <w:jc w:val="center"/>
              <w:rPr>
                <w:kern w:val="0"/>
                <w:szCs w:val="21"/>
              </w:rPr>
            </w:pPr>
            <w:r>
              <w:rPr>
                <w:kern w:val="0"/>
                <w:szCs w:val="21"/>
              </w:rPr>
              <w:t>生态环境现状</w:t>
            </w:r>
          </w:p>
        </w:tc>
        <w:tc>
          <w:tcPr>
            <w:tcW w:w="4294" w:type="pct"/>
            <w:vAlign w:val="center"/>
          </w:tcPr>
          <w:p w14:paraId="1D9F0255">
            <w:pPr>
              <w:ind w:firstLine="482"/>
            </w:pPr>
            <w:r>
              <w:rPr>
                <w:rFonts w:hint="eastAsia"/>
                <w:b/>
                <w:bCs/>
              </w:rPr>
              <w:t>1、</w:t>
            </w:r>
            <w:r>
              <w:rPr>
                <w:b/>
                <w:bCs/>
              </w:rPr>
              <w:t>主体功能区规划</w:t>
            </w:r>
          </w:p>
          <w:p w14:paraId="782936A4">
            <w:pPr>
              <w:ind w:firstLine="480"/>
            </w:pPr>
            <w:r>
              <w:t>根据《黑龙江省主体功能区规划》，</w:t>
            </w:r>
            <w:r>
              <w:rPr>
                <w:rFonts w:hint="eastAsia"/>
              </w:rPr>
              <w:t>集贤县福利镇</w:t>
            </w:r>
            <w:r>
              <w:t>属于</w:t>
            </w:r>
            <w:r>
              <w:rPr>
                <w:rFonts w:hint="eastAsia"/>
              </w:rPr>
              <w:t>限制开发区域（国家农产品主产区），区域功能定位以提供农产品为主体功能，保障农产品供给安全的重要区域。重要的商品粮生产基地、绿色食品生产基地、畜牧业生产基地和农产品深加工区、农业综合开发试验区、社会主义新农村建设的示范区。</w:t>
            </w:r>
          </w:p>
          <w:p w14:paraId="60222185">
            <w:pPr>
              <w:ind w:firstLine="480"/>
            </w:pPr>
            <w:r>
              <w:rPr>
                <w:rFonts w:hint="eastAsia"/>
              </w:rPr>
              <w:t>发展方向：建设农业综合开发试验区，保护耕地，集约开发，加强农业基础设施建设，显著提高农业综合生产能力、产业化水平、物资装备水平、支撑服务能力，提高农业生产效率，大力发展高产、高效、优质、安全的现代化大农业，保障农产品供给，确保国家粮食安全和食品安全；积极推进农业规模化水平，搞好绿色（有机）食品基地建设，发展农产品深加工，加大绿色（有机）食品和无公害农产品开发力度，拓展农村就业和增收空间，加强农村基础设施和公共服务设施建设，改善生产生活条件。</w:t>
            </w:r>
          </w:p>
          <w:p w14:paraId="65B80571">
            <w:pPr>
              <w:ind w:firstLine="480"/>
              <w:rPr>
                <w:rFonts w:hint="eastAsia"/>
                <w:color w:val="auto"/>
              </w:rPr>
            </w:pPr>
            <w:r>
              <w:rPr>
                <w:rFonts w:hint="eastAsia"/>
                <w:color w:val="auto"/>
              </w:rPr>
              <w:t>本项目为黑龙江省中国石油福利屯油库铁路专用线大修工程，为铁路专用线建设项目，</w:t>
            </w:r>
            <w:r>
              <w:rPr>
                <w:rFonts w:hint="eastAsia"/>
                <w:color w:val="auto"/>
                <w:lang w:val="en-US" w:eastAsia="zh-CN"/>
              </w:rPr>
              <w:t>属于基础设施建设项目，项目建设不采伐林木，不新增建设用地，</w:t>
            </w:r>
            <w:r>
              <w:rPr>
                <w:rFonts w:hint="eastAsia"/>
                <w:color w:val="auto"/>
              </w:rPr>
              <w:t>对充分发挥铁路运能、提高铁路经济效益具有重要作用</w:t>
            </w:r>
            <w:r>
              <w:rPr>
                <w:rFonts w:hint="eastAsia"/>
                <w:color w:val="auto"/>
                <w:lang w:val="en-US" w:eastAsia="zh-CN"/>
              </w:rPr>
              <w:t>，项目选址属于农村环境，避开了城镇发展，占地类型为铁路用地，不新增永久占地，面积较小，施工内容较少，同时施工周期较短，施工期污染影响较小，竣工后及时恢复临时占地，恢复耕种，对区域农产品影响较小，符合该规划要求。</w:t>
            </w:r>
          </w:p>
          <w:p w14:paraId="186CD38B">
            <w:pPr>
              <w:ind w:firstLine="480"/>
              <w:rPr>
                <w:color w:val="auto"/>
              </w:rPr>
            </w:pPr>
            <w:r>
              <w:rPr>
                <w:rFonts w:hint="eastAsia"/>
                <w:color w:val="auto"/>
              </w:rPr>
              <w:t>因此，本项目符合《黑龙江省主体功能区规划》相关要求。</w:t>
            </w:r>
          </w:p>
          <w:p w14:paraId="21FC4860">
            <w:pPr>
              <w:ind w:firstLine="480"/>
            </w:pPr>
            <w:r>
              <mc:AlternateContent>
                <mc:Choice Requires="wpg">
                  <w:drawing>
                    <wp:anchor distT="0" distB="0" distL="114300" distR="114300" simplePos="0" relativeHeight="251661312" behindDoc="1" locked="0" layoutInCell="1" allowOverlap="1">
                      <wp:simplePos x="0" y="0"/>
                      <wp:positionH relativeFrom="column">
                        <wp:posOffset>2131060</wp:posOffset>
                      </wp:positionH>
                      <wp:positionV relativeFrom="paragraph">
                        <wp:posOffset>1284605</wp:posOffset>
                      </wp:positionV>
                      <wp:extent cx="889000" cy="771525"/>
                      <wp:effectExtent l="4445" t="4445" r="20955" b="24130"/>
                      <wp:wrapThrough wrapText="bothSides">
                        <wp:wrapPolygon>
                          <wp:start x="-108" y="-124"/>
                          <wp:lineTo x="-108" y="8942"/>
                          <wp:lineTo x="15166" y="16942"/>
                          <wp:lineTo x="17018" y="21209"/>
                          <wp:lineTo x="20258" y="21209"/>
                          <wp:lineTo x="19332" y="16942"/>
                          <wp:lineTo x="21183" y="8942"/>
                          <wp:lineTo x="21183" y="-124"/>
                          <wp:lineTo x="-108" y="-124"/>
                        </wp:wrapPolygon>
                      </wp:wrapThrough>
                      <wp:docPr id="32" name="组合 32"/>
                      <wp:cNvGraphicFramePr/>
                      <a:graphic xmlns:a="http://schemas.openxmlformats.org/drawingml/2006/main">
                        <a:graphicData uri="http://schemas.microsoft.com/office/word/2010/wordprocessingGroup">
                          <wpg:wgp>
                            <wpg:cNvGrpSpPr/>
                            <wpg:grpSpPr>
                              <a:xfrm>
                                <a:off x="0" y="0"/>
                                <a:ext cx="889000" cy="771525"/>
                                <a:chOff x="5834" y="350208"/>
                                <a:chExt cx="1400" cy="1215"/>
                              </a:xfrm>
                            </wpg:grpSpPr>
                            <wps:wsp>
                              <wps:cNvPr id="15" name="矩形标注 15"/>
                              <wps:cNvSpPr/>
                              <wps:spPr>
                                <a:xfrm>
                                  <a:off x="5834" y="350208"/>
                                  <a:ext cx="1400" cy="461"/>
                                </a:xfrm>
                                <a:prstGeom prst="wedgeRectCallout">
                                  <a:avLst>
                                    <a:gd name="adj1" fmla="val 35856"/>
                                    <a:gd name="adj2" fmla="val 203144"/>
                                  </a:avLst>
                                </a:prstGeom>
                                <a:solidFill>
                                  <a:srgbClr val="FFFFFF"/>
                                </a:solidFill>
                                <a:ln w="9525" cap="flat" cmpd="sng">
                                  <a:solidFill>
                                    <a:srgbClr val="000000"/>
                                  </a:solidFill>
                                  <a:prstDash val="solid"/>
                                  <a:miter/>
                                  <a:headEnd type="none" w="med" len="med"/>
                                  <a:tailEnd type="none" w="med" len="med"/>
                                </a:ln>
                              </wps:spPr>
                              <wps:txbx>
                                <w:txbxContent>
                                  <w:p w14:paraId="6E1927A9">
                                    <w:pPr>
                                      <w:pStyle w:val="30"/>
                                    </w:pPr>
                                    <w:r>
                                      <w:rPr>
                                        <w:rFonts w:hint="eastAsia"/>
                                      </w:rPr>
                                      <w:t>项目所在地</w:t>
                                    </w:r>
                                  </w:p>
                                </w:txbxContent>
                              </wps:txbx>
                              <wps:bodyPr upright="1"/>
                            </wps:wsp>
                            <wps:wsp>
                              <wps:cNvPr id="16" name="任意多边形 16"/>
                              <wps:cNvSpPr/>
                              <wps:spPr>
                                <a:xfrm>
                                  <a:off x="6995" y="351303"/>
                                  <a:ext cx="120" cy="120"/>
                                </a:xfrm>
                                <a:custGeom>
                                  <a:avLst/>
                                  <a:gdLst/>
                                  <a:ahLst/>
                                  <a:cxnLst>
                                    <a:cxn ang="16187392">
                                      <a:pos x="38100" y="0"/>
                                    </a:cxn>
                                    <a:cxn ang="10747904">
                                      <a:pos x="0" y="29105"/>
                                    </a:cxn>
                                    <a:cxn ang="5373952">
                                      <a:pos x="14552" y="76199"/>
                                    </a:cxn>
                                    <a:cxn ang="5373952">
                                      <a:pos x="61647" y="76199"/>
                                    </a:cxn>
                                    <a:cxn ang="0">
                                      <a:pos x="76199" y="29105"/>
                                    </a:cxn>
                                  </a:cxnLst>
                                  <a:rect l="0" t="0" r="0" b="0"/>
                                  <a:pathLst>
                                    <a:path w="76200" h="76200">
                                      <a:moveTo>
                                        <a:pt x="0" y="29105"/>
                                      </a:moveTo>
                                      <a:lnTo>
                                        <a:pt x="29105" y="29105"/>
                                      </a:lnTo>
                                      <a:lnTo>
                                        <a:pt x="38100" y="0"/>
                                      </a:lnTo>
                                      <a:lnTo>
                                        <a:pt x="47094" y="29105"/>
                                      </a:lnTo>
                                      <a:lnTo>
                                        <a:pt x="76199" y="29105"/>
                                      </a:lnTo>
                                      <a:lnTo>
                                        <a:pt x="52652" y="47093"/>
                                      </a:lnTo>
                                      <a:lnTo>
                                        <a:pt x="61647" y="76199"/>
                                      </a:lnTo>
                                      <a:lnTo>
                                        <a:pt x="38100" y="58211"/>
                                      </a:lnTo>
                                      <a:lnTo>
                                        <a:pt x="14552" y="76199"/>
                                      </a:lnTo>
                                      <a:lnTo>
                                        <a:pt x="23547" y="47093"/>
                                      </a:lnTo>
                                      <a:close/>
                                    </a:path>
                                  </a:pathLst>
                                </a:custGeom>
                                <a:solidFill>
                                  <a:srgbClr val="FF0000"/>
                                </a:solidFill>
                                <a:ln w="25400" cap="flat" cmpd="sng">
                                  <a:solidFill>
                                    <a:srgbClr val="FF0000"/>
                                  </a:solidFill>
                                  <a:prstDash val="solid"/>
                                  <a:round/>
                                  <a:headEnd type="none" w="med" len="med"/>
                                  <a:tailEnd type="none" w="med" len="med"/>
                                </a:ln>
                              </wps:spPr>
                              <wps:bodyPr anchor="ctr" anchorCtr="0" upright="1"/>
                            </wps:wsp>
                          </wpg:wgp>
                        </a:graphicData>
                      </a:graphic>
                    </wp:anchor>
                  </w:drawing>
                </mc:Choice>
                <mc:Fallback>
                  <w:pict>
                    <v:group id="_x0000_s1026" o:spid="_x0000_s1026" o:spt="203" style="position:absolute;left:0pt;margin-left:167.8pt;margin-top:101.15pt;height:60.75pt;width:70pt;mso-wrap-distance-left:9pt;mso-wrap-distance-right:9pt;z-index:-251655168;mso-width-relative:page;mso-height-relative:page;" coordorigin="5834,350208" coordsize="1400,1215" wrapcoords="-108 -124 -108 8942 15166 16942 17018 21209 20258 21209 19332 16942 21183 8942 21183 -124 -108 -124" o:gfxdata="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">
                      <o:lock v:ext="edit" aspectratio="f"/>
                      <v:shape id="_x0000_s1026" o:spid="_x0000_s1026" o:spt="61" type="#_x0000_t61" style="position:absolute;left:5834;top:350208;height:461;width:1400;" fillcolor="#FFFFFF" filled="t" stroked="t" coordsize="21600,21600" o:gfxdata="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GVyMvQAA&#10;ANsAAAAPAAAAAAAAAAEAIAAAACIAAABkcnMvZG93bnJldi54bWxQSwECFAAUAAAACACHTuJAMy8F&#10;njsAAAA5AAAAEAAAAAAAAAABACAAAAAMAQAAZHJzL3NoYXBleG1sLnhtbFBLBQYAAAAABgAGAFsB&#10;AAC2AwAAAAA=&#10;" adj="18545,54679">
                        <v:fill on="t" focussize="0,0"/>
                        <v:stroke color="#000000" joinstyle="miter"/>
                        <v:imagedata o:title=""/>
                        <o:lock v:ext="edit" aspectratio="f"/>
                        <v:textbox>
                          <w:txbxContent>
                            <w:p w14:paraId="6E1927A9">
                              <w:pPr>
                                <w:pStyle w:val="30"/>
                              </w:pPr>
                              <w:r>
                                <w:rPr>
                                  <w:rFonts w:hint="eastAsia"/>
                                </w:rPr>
                                <w:t>项目所在地</w:t>
                              </w:r>
                            </w:p>
                          </w:txbxContent>
                        </v:textbox>
                      </v:shape>
                      <v:shape id="_x0000_s1026" o:spid="_x0000_s1026" o:spt="100" style="position:absolute;left:6995;top:351303;height:120;width:120;v-text-anchor:middle;" fillcolor="#FF0000" filled="t" stroked="t" coordsize="76200,76200" o:gfxdata="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3ZJ0ugAAANsA&#10;AAAPAAAAAAAAAAEAIAAAACIAAABkcnMvZG93bnJldi54bWxQSwECFAAUAAAACACHTuJAMy8FnjsA&#10;AAA5AAAAEAAAAAAAAAABACAAAAAJAQAAZHJzL3NoYXBleG1sLnhtbFBLBQYAAAAABgAGAFsBAACz&#10;AwAAAAA=&#10;" path="m0,29105l29105,29105,38100,0,47094,29105,76199,29105,52652,47093,61647,76199,38100,58211,14552,76199,23547,47093xe">
                        <v:path o:connectlocs="38100,0;0,29105;14552,76199;61647,76199;76199,29105" o:connectangles="247,164,82,82,0"/>
                        <v:fill on="t" focussize="0,0"/>
                        <v:stroke weight="2pt" color="#FF0000" joinstyle="round"/>
                        <v:imagedata o:title=""/>
                        <o:lock v:ext="edit" aspectratio="f"/>
                      </v:shape>
                      <w10:wrap type="through"/>
                    </v:group>
                  </w:pict>
                </mc:Fallback>
              </mc:AlternateContent>
            </w:r>
            <w:r>
              <w:drawing>
                <wp:inline distT="0" distB="0" distL="114300" distR="114300">
                  <wp:extent cx="4109085" cy="3098165"/>
                  <wp:effectExtent l="0" t="0" r="5715" b="6985"/>
                  <wp:docPr id="3" name="图片 7" descr="黑龙江主体功能区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黑龙江主体功能区分布图"/>
                          <pic:cNvPicPr>
                            <a:picLocks noChangeAspect="1"/>
                          </pic:cNvPicPr>
                        </pic:nvPicPr>
                        <pic:blipFill>
                          <a:blip r:embed="rId11"/>
                          <a:srcRect l="17789" t="18567" r="17839" b="12735"/>
                          <a:stretch>
                            <a:fillRect/>
                          </a:stretch>
                        </pic:blipFill>
                        <pic:spPr>
                          <a:xfrm>
                            <a:off x="0" y="0"/>
                            <a:ext cx="4109085" cy="3098165"/>
                          </a:xfrm>
                          <a:prstGeom prst="rect">
                            <a:avLst/>
                          </a:prstGeom>
                          <a:noFill/>
                          <a:ln>
                            <a:noFill/>
                          </a:ln>
                        </pic:spPr>
                      </pic:pic>
                    </a:graphicData>
                  </a:graphic>
                </wp:inline>
              </w:drawing>
            </w:r>
          </w:p>
          <w:p w14:paraId="66714C49">
            <w:pPr>
              <w:pStyle w:val="33"/>
            </w:pPr>
            <w:r>
              <w:rPr>
                <w:rFonts w:hint="eastAsia"/>
              </w:rPr>
              <w:t>图3-1 黑龙江省主体功能区规划图</w:t>
            </w:r>
          </w:p>
          <w:p w14:paraId="23887C51">
            <w:pPr>
              <w:ind w:firstLine="482"/>
            </w:pPr>
            <w:r>
              <w:rPr>
                <w:rFonts w:hint="eastAsia"/>
                <w:b/>
                <w:bCs/>
              </w:rPr>
              <w:t>2、</w:t>
            </w:r>
            <w:r>
              <w:rPr>
                <w:b/>
                <w:bCs/>
              </w:rPr>
              <w:t>生态功能区划</w:t>
            </w:r>
          </w:p>
          <w:p w14:paraId="4615E334">
            <w:pPr>
              <w:ind w:firstLine="480"/>
            </w:pPr>
            <w:r>
              <w:t>根据《黑龙江</w:t>
            </w:r>
            <w:r>
              <w:rPr>
                <w:rFonts w:hint="eastAsia"/>
              </w:rPr>
              <w:t>省</w:t>
            </w:r>
            <w:r>
              <w:t>生态功能区划》，</w:t>
            </w:r>
            <w:r>
              <w:rPr>
                <w:rFonts w:hint="eastAsia"/>
              </w:rPr>
              <w:t>双鸭山市集贤县</w:t>
            </w:r>
            <w:r>
              <w:t>所在生态功能区为Ⅰ—</w:t>
            </w:r>
            <w:r>
              <w:rPr>
                <w:rFonts w:hint="eastAsia"/>
              </w:rPr>
              <w:t>3</w:t>
            </w:r>
            <w:r>
              <w:t>—</w:t>
            </w:r>
            <w:r>
              <w:rPr>
                <w:rFonts w:hint="eastAsia"/>
              </w:rPr>
              <w:t>2</w:t>
            </w:r>
            <w:r>
              <w:t>—</w:t>
            </w:r>
            <w:r>
              <w:rPr>
                <w:rFonts w:hint="eastAsia"/>
              </w:rPr>
              <w:t>3双鸭山—集贤矿业与林业、农业</w:t>
            </w:r>
            <w:r>
              <w:t>生态功能区，辖区主要由</w:t>
            </w:r>
            <w:r>
              <w:rPr>
                <w:rFonts w:hint="eastAsia"/>
              </w:rPr>
              <w:t>双鸭山</w:t>
            </w:r>
            <w:r>
              <w:t>市和</w:t>
            </w:r>
            <w:r>
              <w:rPr>
                <w:rFonts w:hint="eastAsia"/>
              </w:rPr>
              <w:t>集贤</w:t>
            </w:r>
            <w:r>
              <w:t>县组成，面积</w:t>
            </w:r>
            <w:r>
              <w:rPr>
                <w:rFonts w:hint="eastAsia"/>
              </w:rPr>
              <w:t>4051</w:t>
            </w:r>
            <w:r>
              <w:t>平方公里，区域主要生态问题</w:t>
            </w:r>
            <w:r>
              <w:rPr>
                <w:rFonts w:hint="eastAsia"/>
              </w:rPr>
              <w:t>为</w:t>
            </w:r>
            <w:r>
              <w:t>矿山开采导致生态环境极为脆弱；资源超采严重；产业结构不合理，物能消耗高，产生较大的环境压力；环境生态敏感性：</w:t>
            </w:r>
            <w:r>
              <w:rPr>
                <w:rFonts w:hint="eastAsia"/>
              </w:rPr>
              <w:t>大部分地区土地沙漠化敏感性为高度敏感；土壤侵蚀敏感性为中度敏感</w:t>
            </w:r>
            <w:r>
              <w:t>；主要生态系统服务功能为</w:t>
            </w:r>
            <w:r>
              <w:rPr>
                <w:rFonts w:hint="eastAsia"/>
              </w:rPr>
              <w:t>土地沙漠化控制、土壤保持、矿、林、农业生产</w:t>
            </w:r>
            <w:r>
              <w:t>；保护措施与发展方向：</w:t>
            </w:r>
            <w:r>
              <w:rPr>
                <w:rFonts w:hint="eastAsia"/>
              </w:rPr>
              <w:t>加大对开采迹地的恢复工作，调整产业结构，加大城市环境基础设施建设。</w:t>
            </w:r>
          </w:p>
          <w:p w14:paraId="50BA0912">
            <w:pPr>
              <w:ind w:firstLine="480"/>
            </w:pPr>
            <w:r>
              <w:t>本项目属于油库专用线大修改造工程，不会进行大量挖方，不会加重水土流失现象，同时本项目对临时用地进行复垦，对铁路边坡进行修复，为当地生活条件提供了更多的便利，侧方面可以加大生态安全保护。</w:t>
            </w:r>
          </w:p>
          <w:p w14:paraId="0BFAE6D0">
            <w:pPr>
              <w:ind w:left="0" w:leftChars="0" w:firstLine="0" w:firstLineChars="0"/>
              <w:jc w:val="center"/>
            </w:pPr>
            <w:r>
              <w:drawing>
                <wp:inline distT="0" distB="0" distL="114300" distR="114300">
                  <wp:extent cx="4512945" cy="5974715"/>
                  <wp:effectExtent l="0" t="0" r="1905" b="6985"/>
                  <wp:docPr id="25" name="图片 25" descr="2b3eb6f80ce55f1c055f07edcafd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b3eb6f80ce55f1c055f07edcafdd2f"/>
                          <pic:cNvPicPr>
                            <a:picLocks noChangeAspect="1"/>
                          </pic:cNvPicPr>
                        </pic:nvPicPr>
                        <pic:blipFill>
                          <a:blip r:embed="rId14"/>
                          <a:stretch>
                            <a:fillRect/>
                          </a:stretch>
                        </pic:blipFill>
                        <pic:spPr>
                          <a:xfrm>
                            <a:off x="0" y="0"/>
                            <a:ext cx="4512945" cy="5974715"/>
                          </a:xfrm>
                          <a:prstGeom prst="rect">
                            <a:avLst/>
                          </a:prstGeom>
                        </pic:spPr>
                      </pic:pic>
                    </a:graphicData>
                  </a:graphic>
                </wp:inline>
              </w:drawing>
            </w:r>
            <w:r>
              <mc:AlternateContent>
                <mc:Choice Requires="wpg">
                  <w:drawing>
                    <wp:anchor distT="0" distB="0" distL="114300" distR="114300" simplePos="0" relativeHeight="251698176" behindDoc="0" locked="0" layoutInCell="1" allowOverlap="1">
                      <wp:simplePos x="0" y="0"/>
                      <wp:positionH relativeFrom="column">
                        <wp:posOffset>2604770</wp:posOffset>
                      </wp:positionH>
                      <wp:positionV relativeFrom="paragraph">
                        <wp:posOffset>1185545</wp:posOffset>
                      </wp:positionV>
                      <wp:extent cx="889000" cy="771525"/>
                      <wp:effectExtent l="4445" t="4445" r="20955" b="24130"/>
                      <wp:wrapNone/>
                      <wp:docPr id="77" name="组合 77"/>
                      <wp:cNvGraphicFramePr/>
                      <a:graphic xmlns:a="http://schemas.openxmlformats.org/drawingml/2006/main">
                        <a:graphicData uri="http://schemas.microsoft.com/office/word/2010/wordprocessingGroup">
                          <wpg:wgp>
                            <wpg:cNvGrpSpPr/>
                            <wpg:grpSpPr>
                              <a:xfrm>
                                <a:off x="0" y="0"/>
                                <a:ext cx="889000" cy="771525"/>
                                <a:chOff x="5834" y="350208"/>
                                <a:chExt cx="1400" cy="1215"/>
                              </a:xfrm>
                            </wpg:grpSpPr>
                            <wps:wsp>
                              <wps:cNvPr id="86" name="矩形标注 15"/>
                              <wps:cNvSpPr/>
                              <wps:spPr>
                                <a:xfrm>
                                  <a:off x="5834" y="350208"/>
                                  <a:ext cx="1400" cy="461"/>
                                </a:xfrm>
                                <a:prstGeom prst="wedgeRectCallout">
                                  <a:avLst>
                                    <a:gd name="adj1" fmla="val 35856"/>
                                    <a:gd name="adj2" fmla="val 203144"/>
                                  </a:avLst>
                                </a:prstGeom>
                                <a:solidFill>
                                  <a:srgbClr val="FFFFFF"/>
                                </a:solidFill>
                                <a:ln w="9525" cap="flat" cmpd="sng">
                                  <a:solidFill>
                                    <a:srgbClr val="000000"/>
                                  </a:solidFill>
                                  <a:prstDash val="solid"/>
                                  <a:miter/>
                                  <a:headEnd type="none" w="med" len="med"/>
                                  <a:tailEnd type="none" w="med" len="med"/>
                                </a:ln>
                              </wps:spPr>
                              <wps:txbx>
                                <w:txbxContent>
                                  <w:p w14:paraId="641BCA17">
                                    <w:pPr>
                                      <w:pStyle w:val="30"/>
                                    </w:pPr>
                                    <w:r>
                                      <w:rPr>
                                        <w:rFonts w:hint="eastAsia"/>
                                      </w:rPr>
                                      <w:t>项目所在地</w:t>
                                    </w:r>
                                  </w:p>
                                </w:txbxContent>
                              </wps:txbx>
                              <wps:bodyPr upright="1"/>
                            </wps:wsp>
                            <wps:wsp>
                              <wps:cNvPr id="87" name="任意多边形 16"/>
                              <wps:cNvSpPr/>
                              <wps:spPr>
                                <a:xfrm>
                                  <a:off x="6995" y="351303"/>
                                  <a:ext cx="120" cy="120"/>
                                </a:xfrm>
                                <a:custGeom>
                                  <a:avLst/>
                                  <a:gdLst/>
                                  <a:ahLst/>
                                  <a:cxnLst>
                                    <a:cxn ang="16187392">
                                      <a:pos x="38100" y="0"/>
                                    </a:cxn>
                                    <a:cxn ang="10747904">
                                      <a:pos x="0" y="29105"/>
                                    </a:cxn>
                                    <a:cxn ang="5373952">
                                      <a:pos x="14552" y="76199"/>
                                    </a:cxn>
                                    <a:cxn ang="5373952">
                                      <a:pos x="61647" y="76199"/>
                                    </a:cxn>
                                    <a:cxn ang="0">
                                      <a:pos x="76199" y="29105"/>
                                    </a:cxn>
                                  </a:cxnLst>
                                  <a:rect l="0" t="0" r="0" b="0"/>
                                  <a:pathLst>
                                    <a:path w="76200" h="76200">
                                      <a:moveTo>
                                        <a:pt x="0" y="29105"/>
                                      </a:moveTo>
                                      <a:lnTo>
                                        <a:pt x="29105" y="29105"/>
                                      </a:lnTo>
                                      <a:lnTo>
                                        <a:pt x="38100" y="0"/>
                                      </a:lnTo>
                                      <a:lnTo>
                                        <a:pt x="47094" y="29105"/>
                                      </a:lnTo>
                                      <a:lnTo>
                                        <a:pt x="76199" y="29105"/>
                                      </a:lnTo>
                                      <a:lnTo>
                                        <a:pt x="52652" y="47093"/>
                                      </a:lnTo>
                                      <a:lnTo>
                                        <a:pt x="61647" y="76199"/>
                                      </a:lnTo>
                                      <a:lnTo>
                                        <a:pt x="38100" y="58211"/>
                                      </a:lnTo>
                                      <a:lnTo>
                                        <a:pt x="14552" y="76199"/>
                                      </a:lnTo>
                                      <a:lnTo>
                                        <a:pt x="23547" y="47093"/>
                                      </a:lnTo>
                                      <a:close/>
                                    </a:path>
                                  </a:pathLst>
                                </a:custGeom>
                                <a:solidFill>
                                  <a:srgbClr val="FF0000"/>
                                </a:solidFill>
                                <a:ln w="25400" cap="flat" cmpd="sng">
                                  <a:solidFill>
                                    <a:srgbClr val="FF0000"/>
                                  </a:solidFill>
                                  <a:prstDash val="solid"/>
                                  <a:round/>
                                  <a:headEnd type="none" w="med" len="med"/>
                                  <a:tailEnd type="none" w="med" len="med"/>
                                </a:ln>
                              </wps:spPr>
                              <wps:bodyPr anchor="ctr" anchorCtr="0" upright="1"/>
                            </wps:wsp>
                          </wpg:wgp>
                        </a:graphicData>
                      </a:graphic>
                    </wp:anchor>
                  </w:drawing>
                </mc:Choice>
                <mc:Fallback>
                  <w:pict>
                    <v:group id="_x0000_s1026" o:spid="_x0000_s1026" o:spt="203" style="position:absolute;left:0pt;margin-left:205.1pt;margin-top:93.35pt;height:60.75pt;width:70pt;z-index:251698176;mso-width-relative:page;mso-height-relative:page;" coordorigin="5834,350208" coordsize="1400,1215" o:gfxdata="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">
                      <o:lock v:ext="edit" aspectratio="f"/>
                      <v:shape id="矩形标注 15" o:spid="_x0000_s1026" o:spt="61" type="#_x0000_t61" style="position:absolute;left:5834;top:350208;height:461;width:1400;" fillcolor="#FFFFFF" filled="t" stroked="t" coordsize="21600,21600" o:gfxdata="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wVd8&#10;wAAAANsAAAAPAAAAAAAAAAEAIAAAACIAAABkcnMvZG93bnJldi54bWxQSwECFAAUAAAACACHTuJA&#10;My8FnjsAAAA5AAAAEAAAAAAAAAABACAAAAAPAQAAZHJzL3NoYXBleG1sLnhtbFBLBQYAAAAABgAG&#10;AFsBAAC5AwAAAAA=&#10;" adj="18545,54679">
                        <v:fill on="t" focussize="0,0"/>
                        <v:stroke color="#000000" joinstyle="miter"/>
                        <v:imagedata o:title=""/>
                        <o:lock v:ext="edit" aspectratio="f"/>
                        <v:textbox>
                          <w:txbxContent>
                            <w:p w14:paraId="641BCA17">
                              <w:pPr>
                                <w:pStyle w:val="30"/>
                              </w:pPr>
                              <w:r>
                                <w:rPr>
                                  <w:rFonts w:hint="eastAsia"/>
                                </w:rPr>
                                <w:t>项目所在地</w:t>
                              </w:r>
                            </w:p>
                          </w:txbxContent>
                        </v:textbox>
                      </v:shape>
                      <v:shape id="任意多边形 16" o:spid="_x0000_s1026" o:spt="100" style="position:absolute;left:6995;top:351303;height:120;width:120;v-text-anchor:middle;" fillcolor="#FF0000" filled="t" stroked="t" coordsize="76200,76200" o:gfxdata="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m6JougAAANsA&#10;AAAPAAAAAAAAAAEAIAAAACIAAABkcnMvZG93bnJldi54bWxQSwECFAAUAAAACACHTuJAMy8FnjsA&#10;AAA5AAAAEAAAAAAAAAABACAAAAAJAQAAZHJzL3NoYXBleG1sLnhtbFBLBQYAAAAABgAGAFsBAACz&#10;AwAAAAA=&#10;" path="m0,29105l29105,29105,38100,0,47094,29105,76199,29105,52652,47093,61647,76199,38100,58211,14552,76199,23547,47093xe">
                        <v:path o:connectlocs="38100,0;0,29105;14552,76199;61647,76199;76199,29105" o:connectangles="247,164,82,82,0"/>
                        <v:fill on="t" focussize="0,0"/>
                        <v:stroke weight="2pt" color="#FF0000" joinstyle="round"/>
                        <v:imagedata o:title=""/>
                        <o:lock v:ext="edit" aspectratio="f"/>
                      </v:shape>
                    </v:group>
                  </w:pict>
                </mc:Fallback>
              </mc:AlternateContent>
            </w:r>
          </w:p>
          <w:p w14:paraId="337562ED">
            <w:pPr>
              <w:pStyle w:val="33"/>
              <w:rPr>
                <w:color w:val="auto"/>
              </w:rPr>
            </w:pPr>
            <w:r>
              <w:rPr>
                <w:rFonts w:hint="eastAsia"/>
                <w:color w:val="auto"/>
              </w:rPr>
              <w:t>图3-2 黑龙江生态功能区划图</w:t>
            </w:r>
          </w:p>
          <w:p w14:paraId="3960DBC4">
            <w:pPr>
              <w:ind w:firstLine="482"/>
              <w:rPr>
                <w:b/>
                <w:bCs/>
                <w:lang w:bidi="ar"/>
              </w:rPr>
            </w:pPr>
            <w:r>
              <w:rPr>
                <w:rFonts w:hint="eastAsia"/>
                <w:b/>
                <w:bCs/>
              </w:rPr>
              <w:t>3</w:t>
            </w:r>
            <w:r>
              <w:rPr>
                <w:b/>
                <w:bCs/>
              </w:rPr>
              <w:t>、生态环境现状</w:t>
            </w:r>
          </w:p>
          <w:p w14:paraId="53DBB47C">
            <w:pPr>
              <w:ind w:firstLine="480"/>
            </w:pPr>
            <w:r>
              <w:t>双鸭山市集贤县位于黑龙江省东北部，幅员辽阔，资源丰富。集贤县拥有丰富的湿地资源，这些湿地不仅是众多野生动植物的栖息地，还具有调节气候、净化水质的重要功能。</w:t>
            </w:r>
          </w:p>
          <w:p w14:paraId="2EA7E16C">
            <w:pPr>
              <w:ind w:firstLine="480"/>
            </w:pPr>
            <w:r>
              <w:rPr>
                <w:rFonts w:hint="eastAsia"/>
              </w:rPr>
              <w:t>（1）地形地貌</w:t>
            </w:r>
          </w:p>
          <w:p w14:paraId="797FC70B">
            <w:pPr>
              <w:ind w:firstLine="480"/>
            </w:pPr>
            <w:r>
              <w:t>集贤县整体地势西南高东北低，由西南向东北倾斜，呈现出明显的梯级下降态势。全县总面积约为2227.5平方公里，其中大部分地区海拔在200米以下的平原区，占据了总面积的75%以上，构成了典型的三江平原地貌。这种地貌特征使得集贤县拥有广阔的耕地资源，非常适合农业发展。</w:t>
            </w:r>
          </w:p>
          <w:p w14:paraId="3603F6E5">
            <w:pPr>
              <w:ind w:firstLine="480"/>
              <w:rPr>
                <w:color w:val="auto"/>
              </w:rPr>
            </w:pPr>
            <w:r>
              <w:rPr>
                <w:rFonts w:hint="eastAsia"/>
              </w:rPr>
              <w:t>本区福利镇的地形以平原为主，属于三江平原的一部分。三江平原是由黑龙江、乌苏里江和松花江冲积而成的平原，是中国最大的沼泽分布区之一。这里土地肥沃，适宜大规模机械化耕作，是黑龙江省重要的粮食生产基地。福利镇拥有广阔的耕地面积，据2011年数据，耕地面积达到16.8万亩，人均耕地面积约1.6亩，主要种植玉米、大豆和水稻等农作物。</w:t>
            </w:r>
            <w:r>
              <w:rPr>
                <w:rFonts w:hint="eastAsia"/>
                <w:color w:val="auto"/>
              </w:rPr>
              <w:t>本项目位于黑龙江省双鸭山市集贤县福利屯站，车站中心里程为佳富线K62+243、福前线K0+000。油库专用线在福利屯站佳木斯侧咽喉区接轨，北侧为繁荣街、西侧为西环路，南侧为居民区。本项目临时占地共计19267m</w:t>
            </w:r>
            <w:r>
              <w:rPr>
                <w:rFonts w:hint="eastAsia"/>
                <w:color w:val="auto"/>
                <w:vertAlign w:val="superscript"/>
              </w:rPr>
              <w:t>2</w:t>
            </w:r>
            <w:r>
              <w:rPr>
                <w:rFonts w:hint="eastAsia"/>
                <w:color w:val="auto"/>
              </w:rPr>
              <w:t>，其中施工场地7027m</w:t>
            </w:r>
            <w:r>
              <w:rPr>
                <w:rFonts w:hint="eastAsia"/>
                <w:color w:val="auto"/>
                <w:vertAlign w:val="superscript"/>
              </w:rPr>
              <w:t>2</w:t>
            </w:r>
            <w:r>
              <w:rPr>
                <w:rFonts w:hint="eastAsia"/>
                <w:color w:val="auto"/>
              </w:rPr>
              <w:t>，在专用线一侧设置，占地类型为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；临时堆土场6300m</w:t>
            </w:r>
            <w:r>
              <w:rPr>
                <w:rFonts w:hint="eastAsia"/>
                <w:color w:val="auto"/>
                <w:vertAlign w:val="superscript"/>
              </w:rPr>
              <w:t>2</w:t>
            </w:r>
            <w:r>
              <w:rPr>
                <w:rFonts w:hint="eastAsia"/>
                <w:color w:val="auto"/>
              </w:rPr>
              <w:t>，设在铁路</w:t>
            </w:r>
            <w:r>
              <w:rPr>
                <w:rFonts w:hint="eastAsia"/>
                <w:color w:val="auto"/>
                <w:lang w:val="en-US" w:eastAsia="zh-CN"/>
              </w:rPr>
              <w:t>一</w:t>
            </w:r>
            <w:r>
              <w:rPr>
                <w:rFonts w:hint="eastAsia"/>
                <w:color w:val="auto"/>
              </w:rPr>
              <w:t>侧，占地类型为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，确保耕地面积不减少、质量不降低；临时施工便道5940m</w:t>
            </w:r>
            <w:r>
              <w:rPr>
                <w:rFonts w:hint="eastAsia"/>
                <w:color w:val="auto"/>
                <w:vertAlign w:val="superscript"/>
              </w:rPr>
              <w:t>2</w:t>
            </w:r>
            <w:r>
              <w:rPr>
                <w:rFonts w:hint="eastAsia"/>
                <w:color w:val="auto"/>
              </w:rPr>
              <w:t>，长度850m，占地类型为耕地，施工结束后恢复为耕地。</w:t>
            </w:r>
          </w:p>
          <w:p w14:paraId="51237972">
            <w:pPr>
              <w:ind w:firstLine="480"/>
              <w:rPr>
                <w:color w:val="auto"/>
              </w:rPr>
            </w:pPr>
            <w:r>
              <w:rPr>
                <w:rFonts w:hint="eastAsia"/>
                <w:color w:val="auto"/>
              </w:rPr>
              <w:t>（2）气候</w:t>
            </w:r>
          </w:p>
          <w:p w14:paraId="58F6E47A">
            <w:pPr>
              <w:ind w:firstLine="480"/>
            </w:pPr>
            <w:r>
              <w:t>福利镇属温带季风气候，四季分明。春季多风、干旱、少雨；夏季短促、温热而多雨；秋季冷热不均、霜冻较早；冬季漫长、寒冷而干燥。多年平均气温4.6℃，极端最低气温可达-40℃，极端最高气温则可达39℃。这种气候条件使得福利镇的农业生产具有明显的季节性，同时也要求当地在农业种植和灾害预防方面采取相应的应对措施。</w:t>
            </w:r>
          </w:p>
          <w:p w14:paraId="12A802E6">
            <w:pPr>
              <w:ind w:firstLine="480"/>
            </w:pPr>
            <w:r>
              <w:rPr>
                <w:rFonts w:hint="eastAsia"/>
              </w:rPr>
              <w:t>（3）河流与水资源</w:t>
            </w:r>
          </w:p>
          <w:p w14:paraId="5283FE95">
            <w:pPr>
              <w:ind w:firstLine="480"/>
            </w:pPr>
            <w:r>
              <w:rPr>
                <w:rFonts w:hint="eastAsia"/>
              </w:rPr>
              <w:t>福利镇</w:t>
            </w:r>
            <w:r>
              <w:t>境内河流众多，主要属于松花江流域。镇内有一级河安邦河，从南至北流经高丰、红联等村，境内总长10.2千米。安邦河是福利镇最重要的水资源，不仅为农业灌溉提供了保障，还滋养了沿岸的生态系统。此外，还有二级河哈达密河和柳树河，分别流经光辉、双丰等村屯以及太平林场、青山村等地。</w:t>
            </w:r>
          </w:p>
          <w:p w14:paraId="2CCA697B">
            <w:pPr>
              <w:ind w:firstLine="480"/>
              <w:rPr>
                <w:color w:val="auto"/>
              </w:rPr>
            </w:pPr>
            <w:r>
              <w:rPr>
                <w:rFonts w:hint="eastAsia"/>
                <w:color w:val="auto"/>
              </w:rPr>
              <w:t>本项目不跨越水体，且附近水体均为常见物种，无重要物种和重要生境。</w:t>
            </w:r>
          </w:p>
          <w:p w14:paraId="6C3D54DE">
            <w:pPr>
              <w:ind w:firstLine="480"/>
            </w:pPr>
            <w:r>
              <w:rPr>
                <w:rFonts w:hint="eastAsia"/>
              </w:rPr>
              <w:t>（4）自然灾害</w:t>
            </w:r>
          </w:p>
          <w:p w14:paraId="07EDC9E7">
            <w:pPr>
              <w:ind w:firstLine="480"/>
            </w:pPr>
            <w:r>
              <w:rPr>
                <w:rFonts w:hint="eastAsia"/>
              </w:rPr>
              <w:t>福利镇</w:t>
            </w:r>
            <w:r>
              <w:t>主要自然灾害包括洪涝、冰雹、霜冻和干旱。其中，洪涝和干旱对当地影响尤为严重。</w:t>
            </w:r>
          </w:p>
          <w:p w14:paraId="48676322">
            <w:pPr>
              <w:ind w:firstLine="480"/>
            </w:pPr>
            <w:r>
              <w:t>（5）</w:t>
            </w:r>
            <w:r>
              <w:rPr>
                <w:rFonts w:hint="eastAsia"/>
              </w:rPr>
              <w:t>矿产资源</w:t>
            </w:r>
          </w:p>
          <w:p w14:paraId="4152DC61">
            <w:pPr>
              <w:ind w:firstLine="480"/>
              <w:rPr>
                <w:color w:val="auto"/>
              </w:rPr>
            </w:pPr>
            <w:r>
              <w:rPr>
                <w:rFonts w:hint="eastAsia"/>
              </w:rPr>
              <w:t>福利镇</w:t>
            </w:r>
            <w:r>
              <w:t>地下矿藏丰富，已探明有硅线石、花岗闪长岩、硅石、大理岩等矿产资源。其中，硅线石储量达到1325万吨，花岗闪长岩储量38万吨。这些矿产资源为当地的工业发展提供了坚实的基础，有助于推动镇域经济的多元化发</w:t>
            </w:r>
            <w:r>
              <w:rPr>
                <w:color w:val="auto"/>
              </w:rPr>
              <w:t>展。</w:t>
            </w:r>
            <w:r>
              <w:rPr>
                <w:rFonts w:hint="eastAsia"/>
                <w:color w:val="auto"/>
              </w:rPr>
              <w:t>本项目评价范围内不涉及地下矿产资源。</w:t>
            </w:r>
          </w:p>
          <w:p w14:paraId="22DD4497">
            <w:pPr>
              <w:ind w:firstLine="480"/>
              <w:rPr>
                <w:color w:val="auto"/>
              </w:rPr>
            </w:pPr>
            <w:r>
              <w:rPr>
                <w:rFonts w:hint="eastAsia"/>
                <w:color w:val="auto"/>
              </w:rPr>
              <w:t>（6）动植物</w:t>
            </w:r>
          </w:p>
          <w:p w14:paraId="1D9D160C">
            <w:pPr>
              <w:ind w:firstLine="480"/>
              <w:rPr>
                <w:color w:val="auto"/>
              </w:rPr>
            </w:pPr>
            <w:r>
              <w:rPr>
                <w:rFonts w:hint="eastAsia"/>
                <w:color w:val="auto"/>
              </w:rPr>
              <w:t>项目所在地现状土地主要为耕地和人工植被，无珍惜保护物种，由于人类的长期干扰和生态环境的改变，评价区域大量野生动物消失。本项目评价范围内生态系统以农田生态系统为主。项目区对应的植被类型为农田生态系统中的的大田作物，如玉米、大豆；本项目评价范围内无珍惜濒危野生动植物分布，主要动物以鼠类等小型兽类和雀形目鸟类为主。</w:t>
            </w:r>
          </w:p>
          <w:p w14:paraId="2E637EE3">
            <w:pPr>
              <w:ind w:firstLine="480"/>
              <w:rPr>
                <w:color w:val="auto"/>
              </w:rPr>
            </w:pPr>
            <w:r>
              <w:rPr>
                <w:rFonts w:hint="eastAsia"/>
                <w:color w:val="auto"/>
              </w:rPr>
              <w:t>（7）水土流失</w:t>
            </w:r>
          </w:p>
          <w:p w14:paraId="3A078A9B">
            <w:pPr>
              <w:ind w:firstLine="480"/>
              <w:rPr>
                <w:color w:val="auto"/>
              </w:rPr>
            </w:pPr>
            <w:r>
              <w:rPr>
                <w:color w:val="auto"/>
              </w:rPr>
              <w:t>本项目选址在双鸭山市，根据《黑龙江省水土保持规划（2015-2030）》，双鸭山市为黑龙江省水土流失重点治理区，属于东南部山地丘陵水质维护保土区，本项目位于黑龙江省双鸭山市集贤县，所在区域为三江平原-兴凯湖生态维护农田防护区，本区包括虎林市、密山市、绥滨县、集贤县、友谊县、宝清县、饶河县、桦川县、抚远市、同江市、富锦市等11市（县），区域总面积64240.98km</w:t>
            </w:r>
            <w:r>
              <w:rPr>
                <w:color w:val="auto"/>
                <w:vertAlign w:val="superscript"/>
              </w:rPr>
              <w:t>2</w:t>
            </w:r>
            <w:r>
              <w:rPr>
                <w:color w:val="auto"/>
              </w:rPr>
              <w:t>，其中耕地面积33908.44km</w:t>
            </w:r>
            <w:r>
              <w:rPr>
                <w:color w:val="auto"/>
                <w:vertAlign w:val="superscript"/>
              </w:rPr>
              <w:t>2</w:t>
            </w:r>
            <w:r>
              <w:rPr>
                <w:color w:val="auto"/>
              </w:rPr>
              <w:t>，林地面积16524.60km</w:t>
            </w:r>
            <w:r>
              <w:rPr>
                <w:color w:val="auto"/>
                <w:vertAlign w:val="superscript"/>
              </w:rPr>
              <w:t>2</w:t>
            </w:r>
            <w:r>
              <w:rPr>
                <w:color w:val="auto"/>
              </w:rPr>
              <w:t>。区域总人口281.14万人，人均耕地1.21hm</w:t>
            </w:r>
            <w:r>
              <w:rPr>
                <w:color w:val="auto"/>
                <w:vertAlign w:val="superscript"/>
              </w:rPr>
              <w:t>2</w:t>
            </w:r>
            <w:r>
              <w:rPr>
                <w:color w:val="auto"/>
              </w:rPr>
              <w:t>，农村各业生产总值513.69亿元。本区水土流失类型为水力侵蚀，水土流失面积6458.00km</w:t>
            </w:r>
            <w:r>
              <w:rPr>
                <w:color w:val="auto"/>
                <w:vertAlign w:val="superscript"/>
              </w:rPr>
              <w:t>2</w:t>
            </w:r>
            <w:r>
              <w:rPr>
                <w:color w:val="auto"/>
              </w:rPr>
              <w:t>，占区域总面积的10.05%，其中轻度侵蚀2781.39km</w:t>
            </w:r>
            <w:r>
              <w:rPr>
                <w:color w:val="auto"/>
                <w:vertAlign w:val="superscript"/>
              </w:rPr>
              <w:t>2</w:t>
            </w:r>
            <w:r>
              <w:rPr>
                <w:color w:val="auto"/>
              </w:rPr>
              <w:t>，中度侵蚀1805.48km</w:t>
            </w:r>
            <w:r>
              <w:rPr>
                <w:color w:val="auto"/>
                <w:vertAlign w:val="superscript"/>
              </w:rPr>
              <w:t>2</w:t>
            </w:r>
            <w:r>
              <w:rPr>
                <w:color w:val="auto"/>
              </w:rPr>
              <w:t>，强烈侵蚀1315.36km</w:t>
            </w:r>
            <w:r>
              <w:rPr>
                <w:color w:val="auto"/>
                <w:vertAlign w:val="superscript"/>
              </w:rPr>
              <w:t>2</w:t>
            </w:r>
            <w:r>
              <w:rPr>
                <w:color w:val="auto"/>
              </w:rPr>
              <w:t>，极强烈侵蚀433.38km</w:t>
            </w:r>
            <w:r>
              <w:rPr>
                <w:color w:val="auto"/>
                <w:vertAlign w:val="superscript"/>
              </w:rPr>
              <w:t>2</w:t>
            </w:r>
            <w:r>
              <w:rPr>
                <w:color w:val="auto"/>
              </w:rPr>
              <w:t>，剧烈侵蚀122.39km</w:t>
            </w:r>
            <w:r>
              <w:rPr>
                <w:color w:val="auto"/>
                <w:vertAlign w:val="superscript"/>
              </w:rPr>
              <w:t>2</w:t>
            </w:r>
            <w:r>
              <w:rPr>
                <w:color w:val="auto"/>
              </w:rPr>
              <w:t>。现有侵蚀沟9776条，沟道密度0.05km/km</w:t>
            </w:r>
            <w:r>
              <w:rPr>
                <w:color w:val="auto"/>
                <w:vertAlign w:val="superscript"/>
              </w:rPr>
              <w:t>2</w:t>
            </w:r>
            <w:r>
              <w:rPr>
                <w:color w:val="auto"/>
              </w:rPr>
              <w:t>。</w:t>
            </w:r>
          </w:p>
          <w:p w14:paraId="4E5D225E">
            <w:pPr>
              <w:ind w:firstLine="482"/>
              <w:rPr>
                <w:color w:val="auto"/>
              </w:rPr>
            </w:pPr>
            <w:r>
              <w:rPr>
                <w:rFonts w:hint="eastAsia"/>
                <w:b/>
                <w:bCs/>
                <w:color w:val="auto"/>
              </w:rPr>
              <w:t>4、大气环境质量现状</w:t>
            </w:r>
          </w:p>
          <w:p w14:paraId="65FC439E">
            <w:pPr>
              <w:ind w:firstLine="480"/>
              <w:rPr>
                <w:color w:val="auto"/>
              </w:rPr>
            </w:pPr>
            <w:r>
              <w:rPr>
                <w:rFonts w:hint="eastAsia"/>
                <w:color w:val="auto"/>
              </w:rPr>
              <w:t>根据《2024年双鸭山市环境空气质量状况》，双鸭山市区环境空气执行《环境空气质量标准》（GB3095-2012）中二级标准。2024年，双鸭山市区监测天数为366天，达标天数为352天。本年空气质量一级优236天，二级良116天，三级轻度污染10天，四至六级中度、重度、严重污染4天，优良率96.17%。</w:t>
            </w:r>
          </w:p>
          <w:p w14:paraId="19BAEB94">
            <w:pPr>
              <w:ind w:firstLine="480"/>
              <w:jc w:val="left"/>
              <w:rPr>
                <w:color w:val="auto"/>
              </w:rPr>
            </w:pPr>
            <w:r>
              <w:rPr>
                <w:rFonts w:hint="eastAsia"/>
                <w:color w:val="auto"/>
              </w:rPr>
              <w:t>其中PM</w:t>
            </w:r>
            <w:r>
              <w:rPr>
                <w:rFonts w:hint="eastAsia"/>
                <w:color w:val="auto"/>
                <w:vertAlign w:val="subscript"/>
              </w:rPr>
              <w:t>2.5</w:t>
            </w:r>
            <w:r>
              <w:rPr>
                <w:rFonts w:hint="eastAsia"/>
                <w:color w:val="auto"/>
              </w:rPr>
              <w:t>年平均浓度值为27</w:t>
            </w:r>
            <w:r>
              <w:rPr>
                <w:color w:val="auto"/>
              </w:rPr>
              <w:t>μ</w:t>
            </w:r>
            <w:r>
              <w:rPr>
                <w:rFonts w:hint="eastAsia"/>
                <w:color w:val="auto"/>
              </w:rPr>
              <w:t>g/m</w:t>
            </w:r>
            <w:r>
              <w:rPr>
                <w:rFonts w:hint="eastAsia"/>
                <w:color w:val="auto"/>
                <w:vertAlign w:val="superscript"/>
              </w:rPr>
              <w:t>3</w:t>
            </w:r>
            <w:r>
              <w:rPr>
                <w:rFonts w:hint="eastAsia"/>
                <w:color w:val="auto"/>
              </w:rPr>
              <w:t>、PM</w:t>
            </w:r>
            <w:r>
              <w:rPr>
                <w:rFonts w:hint="eastAsia"/>
                <w:color w:val="auto"/>
                <w:vertAlign w:val="subscript"/>
              </w:rPr>
              <w:t>10</w:t>
            </w:r>
            <w:r>
              <w:rPr>
                <w:rFonts w:hint="eastAsia"/>
                <w:color w:val="auto"/>
              </w:rPr>
              <w:t>年平均浓度值为43</w:t>
            </w:r>
            <w:r>
              <w:rPr>
                <w:color w:val="auto"/>
              </w:rPr>
              <w:t>μ</w:t>
            </w:r>
            <w:r>
              <w:rPr>
                <w:rFonts w:hint="eastAsia"/>
                <w:color w:val="auto"/>
              </w:rPr>
              <w:t>g/m</w:t>
            </w:r>
            <w:r>
              <w:rPr>
                <w:rFonts w:hint="eastAsia"/>
                <w:color w:val="auto"/>
                <w:vertAlign w:val="superscript"/>
              </w:rPr>
              <w:t>3</w:t>
            </w:r>
            <w:r>
              <w:rPr>
                <w:rFonts w:hint="eastAsia"/>
                <w:color w:val="auto"/>
              </w:rPr>
              <w:t>、SO</w:t>
            </w:r>
            <w:r>
              <w:rPr>
                <w:rFonts w:hint="eastAsia"/>
                <w:color w:val="auto"/>
                <w:vertAlign w:val="subscript"/>
              </w:rPr>
              <w:t>2</w:t>
            </w:r>
            <w:r>
              <w:rPr>
                <w:rFonts w:hint="eastAsia"/>
                <w:color w:val="auto"/>
              </w:rPr>
              <w:t>年平均浓度值为11</w:t>
            </w:r>
            <w:r>
              <w:rPr>
                <w:color w:val="auto"/>
              </w:rPr>
              <w:t>μ</w:t>
            </w:r>
            <w:r>
              <w:rPr>
                <w:rFonts w:hint="eastAsia"/>
                <w:color w:val="auto"/>
              </w:rPr>
              <w:t>g/m</w:t>
            </w:r>
            <w:r>
              <w:rPr>
                <w:rFonts w:hint="eastAsia"/>
                <w:color w:val="auto"/>
                <w:vertAlign w:val="superscript"/>
              </w:rPr>
              <w:t>3</w:t>
            </w:r>
            <w:r>
              <w:rPr>
                <w:rFonts w:hint="eastAsia"/>
                <w:color w:val="auto"/>
              </w:rPr>
              <w:t>、NO</w:t>
            </w:r>
            <w:r>
              <w:rPr>
                <w:rFonts w:hint="eastAsia"/>
                <w:color w:val="auto"/>
                <w:vertAlign w:val="subscript"/>
              </w:rPr>
              <w:t>2</w:t>
            </w:r>
            <w:r>
              <w:rPr>
                <w:rFonts w:hint="eastAsia"/>
                <w:color w:val="auto"/>
              </w:rPr>
              <w:t>年平均浓度值为15</w:t>
            </w:r>
            <w:r>
              <w:rPr>
                <w:color w:val="auto"/>
              </w:rPr>
              <w:t>μ</w:t>
            </w:r>
            <w:r>
              <w:rPr>
                <w:rFonts w:hint="eastAsia"/>
                <w:color w:val="auto"/>
              </w:rPr>
              <w:t>g/m</w:t>
            </w:r>
            <w:r>
              <w:rPr>
                <w:rFonts w:hint="eastAsia"/>
                <w:color w:val="auto"/>
                <w:vertAlign w:val="superscript"/>
              </w:rPr>
              <w:t>3</w:t>
            </w:r>
            <w:r>
              <w:rPr>
                <w:rFonts w:hint="eastAsia"/>
                <w:color w:val="auto"/>
              </w:rPr>
              <w:t>、CO24小时月平均浓度值为0.48mg/m</w:t>
            </w:r>
            <w:r>
              <w:rPr>
                <w:rFonts w:hint="eastAsia"/>
                <w:color w:val="auto"/>
                <w:vertAlign w:val="superscript"/>
              </w:rPr>
              <w:t>3</w:t>
            </w:r>
            <w:r>
              <w:rPr>
                <w:rFonts w:hint="eastAsia"/>
                <w:color w:val="auto"/>
              </w:rPr>
              <w:t>，平均浓度第95百分位数为0.9mg/m</w:t>
            </w:r>
            <w:r>
              <w:rPr>
                <w:rFonts w:hint="eastAsia"/>
                <w:color w:val="auto"/>
                <w:vertAlign w:val="superscript"/>
              </w:rPr>
              <w:t>3</w:t>
            </w:r>
            <w:r>
              <w:rPr>
                <w:rFonts w:hint="eastAsia"/>
                <w:color w:val="auto"/>
              </w:rPr>
              <w:t>、O</w:t>
            </w:r>
            <w:r>
              <w:rPr>
                <w:rFonts w:hint="eastAsia"/>
                <w:color w:val="auto"/>
                <w:vertAlign w:val="subscript"/>
              </w:rPr>
              <w:t>3</w:t>
            </w:r>
            <w:r>
              <w:rPr>
                <w:rFonts w:hint="eastAsia"/>
                <w:color w:val="auto"/>
              </w:rPr>
              <w:t>－8h月平均浓度值为74.87</w:t>
            </w:r>
            <w:r>
              <w:rPr>
                <w:color w:val="auto"/>
              </w:rPr>
              <w:t>μ</w:t>
            </w:r>
            <w:r>
              <w:rPr>
                <w:rFonts w:hint="eastAsia"/>
                <w:color w:val="auto"/>
              </w:rPr>
              <w:t>g/m</w:t>
            </w:r>
            <w:r>
              <w:rPr>
                <w:rFonts w:hint="eastAsia"/>
                <w:color w:val="auto"/>
                <w:vertAlign w:val="superscript"/>
              </w:rPr>
              <w:t>3</w:t>
            </w:r>
            <w:r>
              <w:rPr>
                <w:rFonts w:hint="eastAsia"/>
                <w:color w:val="auto"/>
              </w:rPr>
              <w:t>，平均浓度第90百分位数为105</w:t>
            </w:r>
            <w:r>
              <w:rPr>
                <w:color w:val="auto"/>
              </w:rPr>
              <w:t>μ</w:t>
            </w:r>
            <w:r>
              <w:rPr>
                <w:rFonts w:hint="eastAsia"/>
                <w:color w:val="auto"/>
              </w:rPr>
              <w:t>g/m</w:t>
            </w:r>
            <w:r>
              <w:rPr>
                <w:rFonts w:hint="eastAsia"/>
                <w:color w:val="auto"/>
                <w:vertAlign w:val="superscript"/>
              </w:rPr>
              <w:t>3</w:t>
            </w:r>
            <w:r>
              <w:rPr>
                <w:rFonts w:hint="eastAsia"/>
                <w:color w:val="auto"/>
              </w:rPr>
              <w:t>。</w:t>
            </w:r>
          </w:p>
          <w:p w14:paraId="32EC44D0">
            <w:pPr>
              <w:pStyle w:val="33"/>
              <w:rPr>
                <w:color w:val="auto"/>
              </w:rPr>
            </w:pPr>
            <w:r>
              <w:rPr>
                <w:rFonts w:hint="eastAsia"/>
                <w:color w:val="auto"/>
              </w:rPr>
              <w:t>表3-1 区域空气质量现状评价表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2003"/>
              <w:gridCol w:w="1201"/>
              <w:gridCol w:w="1198"/>
              <w:gridCol w:w="909"/>
              <w:gridCol w:w="896"/>
            </w:tblGrid>
            <w:tr w14:paraId="4E90B3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050" w:type="pct"/>
                  <w:tcBorders>
                    <w:tl2br w:val="nil"/>
                    <w:tr2bl w:val="nil"/>
                  </w:tcBorders>
                  <w:vAlign w:val="center"/>
                </w:tcPr>
                <w:p w14:paraId="2D18B44F">
                  <w:pPr>
                    <w:pStyle w:val="30"/>
                    <w:rPr>
                      <w:color w:val="auto"/>
                    </w:rPr>
                  </w:pPr>
                  <w:r>
                    <w:rPr>
                      <w:rFonts w:hint="eastAsia"/>
                      <w:color w:val="auto"/>
                    </w:rPr>
                    <w:t>污染物</w:t>
                  </w:r>
                </w:p>
              </w:tc>
              <w:tc>
                <w:tcPr>
                  <w:tcW w:w="1274" w:type="pct"/>
                  <w:tcBorders>
                    <w:tl2br w:val="nil"/>
                    <w:tr2bl w:val="nil"/>
                  </w:tcBorders>
                  <w:vAlign w:val="center"/>
                </w:tcPr>
                <w:p w14:paraId="27C9FEE3">
                  <w:pPr>
                    <w:pStyle w:val="30"/>
                    <w:rPr>
                      <w:color w:val="auto"/>
                    </w:rPr>
                  </w:pPr>
                  <w:r>
                    <w:rPr>
                      <w:rFonts w:hint="eastAsia"/>
                      <w:color w:val="auto"/>
                    </w:rPr>
                    <w:t>年评价指标</w:t>
                  </w:r>
                </w:p>
              </w:tc>
              <w:tc>
                <w:tcPr>
                  <w:tcW w:w="764" w:type="pct"/>
                  <w:tcBorders>
                    <w:tl2br w:val="nil"/>
                    <w:tr2bl w:val="nil"/>
                  </w:tcBorders>
                  <w:vAlign w:val="center"/>
                </w:tcPr>
                <w:p w14:paraId="0B44092F">
                  <w:pPr>
                    <w:pStyle w:val="30"/>
                    <w:rPr>
                      <w:color w:val="auto"/>
                    </w:rPr>
                  </w:pPr>
                  <w:r>
                    <w:rPr>
                      <w:rFonts w:hint="eastAsia"/>
                      <w:color w:val="auto"/>
                    </w:rPr>
                    <w:t>现状浓度</w:t>
                  </w:r>
                </w:p>
                <w:p w14:paraId="4C2104D3">
                  <w:pPr>
                    <w:pStyle w:val="30"/>
                    <w:rPr>
                      <w:color w:val="auto"/>
                    </w:rPr>
                  </w:pPr>
                  <w:r>
                    <w:rPr>
                      <w:rFonts w:hint="eastAsia"/>
                      <w:color w:val="auto"/>
                    </w:rPr>
                    <w:t>（</w:t>
                  </w:r>
                  <w:r>
                    <w:rPr>
                      <w:color w:val="auto"/>
                    </w:rPr>
                    <w:t>μ</w:t>
                  </w:r>
                  <w:r>
                    <w:rPr>
                      <w:rFonts w:hint="eastAsia"/>
                      <w:color w:val="auto"/>
                    </w:rPr>
                    <w:t>g/m</w:t>
                  </w:r>
                  <w:r>
                    <w:rPr>
                      <w:rFonts w:hint="eastAsia"/>
                      <w:color w:val="auto"/>
                      <w:vertAlign w:val="superscript"/>
                    </w:rPr>
                    <w:t>3</w:t>
                  </w:r>
                  <w:r>
                    <w:rPr>
                      <w:rFonts w:hint="eastAsia"/>
                      <w:color w:val="auto"/>
                    </w:rPr>
                    <w:t>）</w:t>
                  </w:r>
                </w:p>
              </w:tc>
              <w:tc>
                <w:tcPr>
                  <w:tcW w:w="762" w:type="pct"/>
                  <w:tcBorders>
                    <w:tl2br w:val="nil"/>
                    <w:tr2bl w:val="nil"/>
                  </w:tcBorders>
                  <w:vAlign w:val="center"/>
                </w:tcPr>
                <w:p w14:paraId="29C2E7B3">
                  <w:pPr>
                    <w:pStyle w:val="30"/>
                    <w:rPr>
                      <w:color w:val="auto"/>
                    </w:rPr>
                  </w:pPr>
                  <w:r>
                    <w:rPr>
                      <w:rFonts w:hint="eastAsia"/>
                      <w:color w:val="auto"/>
                    </w:rPr>
                    <w:t>标准值（</w:t>
                  </w:r>
                  <w:r>
                    <w:rPr>
                      <w:color w:val="auto"/>
                    </w:rPr>
                    <w:t>μ</w:t>
                  </w:r>
                  <w:r>
                    <w:rPr>
                      <w:rFonts w:hint="eastAsia"/>
                      <w:color w:val="auto"/>
                    </w:rPr>
                    <w:t>g/m</w:t>
                  </w:r>
                  <w:r>
                    <w:rPr>
                      <w:rFonts w:hint="eastAsia"/>
                      <w:color w:val="auto"/>
                      <w:vertAlign w:val="superscript"/>
                    </w:rPr>
                    <w:t>3</w:t>
                  </w:r>
                  <w:r>
                    <w:rPr>
                      <w:rFonts w:hint="eastAsia"/>
                      <w:color w:val="auto"/>
                    </w:rPr>
                    <w:t>）</w:t>
                  </w:r>
                </w:p>
              </w:tc>
              <w:tc>
                <w:tcPr>
                  <w:tcW w:w="578" w:type="pct"/>
                  <w:tcBorders>
                    <w:tl2br w:val="nil"/>
                    <w:tr2bl w:val="nil"/>
                  </w:tcBorders>
                  <w:vAlign w:val="center"/>
                </w:tcPr>
                <w:p w14:paraId="353F77B9">
                  <w:pPr>
                    <w:pStyle w:val="30"/>
                    <w:rPr>
                      <w:color w:val="auto"/>
                    </w:rPr>
                  </w:pPr>
                  <w:r>
                    <w:rPr>
                      <w:rFonts w:hint="eastAsia"/>
                      <w:color w:val="auto"/>
                    </w:rPr>
                    <w:t>占标率</w:t>
                  </w:r>
                </w:p>
                <w:p w14:paraId="5EE0C8CD">
                  <w:pPr>
                    <w:pStyle w:val="30"/>
                    <w:rPr>
                      <w:color w:val="auto"/>
                    </w:rPr>
                  </w:pPr>
                  <w:r>
                    <w:rPr>
                      <w:rFonts w:hint="eastAsia"/>
                      <w:color w:val="auto"/>
                    </w:rPr>
                    <w:t>（%）</w:t>
                  </w:r>
                </w:p>
              </w:tc>
              <w:tc>
                <w:tcPr>
                  <w:tcW w:w="569" w:type="pct"/>
                  <w:tcBorders>
                    <w:tl2br w:val="nil"/>
                    <w:tr2bl w:val="nil"/>
                  </w:tcBorders>
                  <w:vAlign w:val="center"/>
                </w:tcPr>
                <w:p w14:paraId="70843D15">
                  <w:pPr>
                    <w:pStyle w:val="30"/>
                    <w:rPr>
                      <w:color w:val="auto"/>
                    </w:rPr>
                  </w:pPr>
                  <w:r>
                    <w:rPr>
                      <w:rFonts w:hint="eastAsia"/>
                      <w:color w:val="auto"/>
                    </w:rPr>
                    <w:t>达标</w:t>
                  </w:r>
                </w:p>
                <w:p w14:paraId="1C283BF4">
                  <w:pPr>
                    <w:pStyle w:val="30"/>
                    <w:rPr>
                      <w:color w:val="auto"/>
                    </w:rPr>
                  </w:pPr>
                  <w:r>
                    <w:rPr>
                      <w:rFonts w:hint="eastAsia"/>
                      <w:color w:val="auto"/>
                    </w:rPr>
                    <w:t>情况</w:t>
                  </w:r>
                </w:p>
              </w:tc>
            </w:tr>
            <w:tr w14:paraId="75119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050" w:type="pct"/>
                  <w:tcBorders>
                    <w:tl2br w:val="nil"/>
                    <w:tr2bl w:val="nil"/>
                  </w:tcBorders>
                  <w:vAlign w:val="center"/>
                </w:tcPr>
                <w:p w14:paraId="204B568A">
                  <w:pPr>
                    <w:pStyle w:val="30"/>
                    <w:rPr>
                      <w:color w:val="auto"/>
                    </w:rPr>
                  </w:pPr>
                  <w:r>
                    <w:rPr>
                      <w:rFonts w:hint="eastAsia"/>
                      <w:color w:val="auto"/>
                    </w:rPr>
                    <w:t>细颗粒物</w:t>
                  </w:r>
                </w:p>
                <w:p w14:paraId="0543A48F">
                  <w:pPr>
                    <w:pStyle w:val="30"/>
                    <w:rPr>
                      <w:color w:val="auto"/>
                    </w:rPr>
                  </w:pPr>
                  <w:r>
                    <w:rPr>
                      <w:rFonts w:hint="eastAsia"/>
                      <w:color w:val="auto"/>
                    </w:rPr>
                    <w:t>(PM</w:t>
                  </w:r>
                  <w:r>
                    <w:rPr>
                      <w:rFonts w:hint="eastAsia"/>
                      <w:color w:val="auto"/>
                      <w:vertAlign w:val="subscript"/>
                    </w:rPr>
                    <w:t>2.5</w:t>
                  </w:r>
                  <w:r>
                    <w:rPr>
                      <w:rFonts w:hint="eastAsia"/>
                      <w:color w:val="auto"/>
                    </w:rPr>
                    <w:t>)</w:t>
                  </w:r>
                </w:p>
              </w:tc>
              <w:tc>
                <w:tcPr>
                  <w:tcW w:w="1274" w:type="pct"/>
                  <w:tcBorders>
                    <w:tl2br w:val="nil"/>
                    <w:tr2bl w:val="nil"/>
                  </w:tcBorders>
                  <w:vAlign w:val="center"/>
                </w:tcPr>
                <w:p w14:paraId="0F0CACD0">
                  <w:pPr>
                    <w:pStyle w:val="30"/>
                    <w:rPr>
                      <w:color w:val="auto"/>
                    </w:rPr>
                  </w:pPr>
                  <w:r>
                    <w:rPr>
                      <w:rFonts w:hint="eastAsia"/>
                      <w:color w:val="auto"/>
                    </w:rPr>
                    <w:t>年平均质量浓度</w:t>
                  </w:r>
                </w:p>
              </w:tc>
              <w:tc>
                <w:tcPr>
                  <w:tcW w:w="764" w:type="pct"/>
                  <w:tcBorders>
                    <w:tl2br w:val="nil"/>
                    <w:tr2bl w:val="nil"/>
                  </w:tcBorders>
                  <w:vAlign w:val="center"/>
                </w:tcPr>
                <w:p w14:paraId="744E5724">
                  <w:pPr>
                    <w:pStyle w:val="30"/>
                    <w:rPr>
                      <w:color w:val="auto"/>
                    </w:rPr>
                  </w:pPr>
                  <w:r>
                    <w:rPr>
                      <w:rFonts w:hint="eastAsia"/>
                      <w:color w:val="auto"/>
                    </w:rPr>
                    <w:t>27</w:t>
                  </w:r>
                </w:p>
              </w:tc>
              <w:tc>
                <w:tcPr>
                  <w:tcW w:w="762" w:type="pct"/>
                  <w:tcBorders>
                    <w:tl2br w:val="nil"/>
                    <w:tr2bl w:val="nil"/>
                  </w:tcBorders>
                  <w:vAlign w:val="center"/>
                </w:tcPr>
                <w:p w14:paraId="7C71E707">
                  <w:pPr>
                    <w:pStyle w:val="30"/>
                    <w:rPr>
                      <w:color w:val="auto"/>
                    </w:rPr>
                  </w:pPr>
                  <w:r>
                    <w:rPr>
                      <w:rFonts w:hint="eastAsia"/>
                      <w:color w:val="auto"/>
                    </w:rPr>
                    <w:t>35</w:t>
                  </w:r>
                </w:p>
              </w:tc>
              <w:tc>
                <w:tcPr>
                  <w:tcW w:w="578" w:type="pct"/>
                  <w:tcBorders>
                    <w:tl2br w:val="nil"/>
                    <w:tr2bl w:val="nil"/>
                  </w:tcBorders>
                  <w:vAlign w:val="center"/>
                </w:tcPr>
                <w:p w14:paraId="38B8E790">
                  <w:pPr>
                    <w:pStyle w:val="30"/>
                    <w:rPr>
                      <w:color w:val="auto"/>
                    </w:rPr>
                  </w:pPr>
                  <w:r>
                    <w:rPr>
                      <w:rFonts w:hint="eastAsia"/>
                      <w:color w:val="auto"/>
                    </w:rPr>
                    <w:t>77.14</w:t>
                  </w:r>
                </w:p>
              </w:tc>
              <w:tc>
                <w:tcPr>
                  <w:tcW w:w="569" w:type="pct"/>
                  <w:tcBorders>
                    <w:tl2br w:val="nil"/>
                    <w:tr2bl w:val="nil"/>
                  </w:tcBorders>
                  <w:vAlign w:val="center"/>
                </w:tcPr>
                <w:p w14:paraId="28984812">
                  <w:pPr>
                    <w:pStyle w:val="30"/>
                    <w:rPr>
                      <w:color w:val="auto"/>
                    </w:rPr>
                  </w:pPr>
                  <w:r>
                    <w:rPr>
                      <w:rFonts w:hint="eastAsia"/>
                      <w:color w:val="auto"/>
                    </w:rPr>
                    <w:t>达标</w:t>
                  </w:r>
                </w:p>
              </w:tc>
            </w:tr>
            <w:tr w14:paraId="61B0A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050" w:type="pct"/>
                  <w:tcBorders>
                    <w:tl2br w:val="nil"/>
                    <w:tr2bl w:val="nil"/>
                  </w:tcBorders>
                  <w:vAlign w:val="center"/>
                </w:tcPr>
                <w:p w14:paraId="3FA7086D">
                  <w:pPr>
                    <w:pStyle w:val="30"/>
                    <w:rPr>
                      <w:color w:val="auto"/>
                    </w:rPr>
                  </w:pPr>
                  <w:r>
                    <w:rPr>
                      <w:rFonts w:hint="eastAsia"/>
                      <w:color w:val="auto"/>
                    </w:rPr>
                    <w:t>可吸入颗粒物</w:t>
                  </w:r>
                </w:p>
                <w:p w14:paraId="05FB0336">
                  <w:pPr>
                    <w:pStyle w:val="30"/>
                    <w:rPr>
                      <w:color w:val="auto"/>
                    </w:rPr>
                  </w:pPr>
                  <w:r>
                    <w:rPr>
                      <w:rFonts w:hint="eastAsia"/>
                      <w:color w:val="auto"/>
                    </w:rPr>
                    <w:t>(PM</w:t>
                  </w:r>
                  <w:r>
                    <w:rPr>
                      <w:rFonts w:hint="eastAsia"/>
                      <w:color w:val="auto"/>
                      <w:vertAlign w:val="subscript"/>
                    </w:rPr>
                    <w:t>10</w:t>
                  </w:r>
                  <w:r>
                    <w:rPr>
                      <w:rFonts w:hint="eastAsia"/>
                      <w:color w:val="auto"/>
                    </w:rPr>
                    <w:t>)</w:t>
                  </w:r>
                </w:p>
              </w:tc>
              <w:tc>
                <w:tcPr>
                  <w:tcW w:w="1274" w:type="pct"/>
                  <w:tcBorders>
                    <w:tl2br w:val="nil"/>
                    <w:tr2bl w:val="nil"/>
                  </w:tcBorders>
                  <w:vAlign w:val="center"/>
                </w:tcPr>
                <w:p w14:paraId="09B6D848">
                  <w:pPr>
                    <w:pStyle w:val="30"/>
                    <w:rPr>
                      <w:color w:val="auto"/>
                    </w:rPr>
                  </w:pPr>
                  <w:r>
                    <w:rPr>
                      <w:rFonts w:hint="eastAsia"/>
                      <w:color w:val="auto"/>
                    </w:rPr>
                    <w:t>年平均质量浓度</w:t>
                  </w:r>
                </w:p>
              </w:tc>
              <w:tc>
                <w:tcPr>
                  <w:tcW w:w="764" w:type="pct"/>
                  <w:tcBorders>
                    <w:tl2br w:val="nil"/>
                    <w:tr2bl w:val="nil"/>
                  </w:tcBorders>
                  <w:vAlign w:val="center"/>
                </w:tcPr>
                <w:p w14:paraId="4693F555">
                  <w:pPr>
                    <w:pStyle w:val="30"/>
                    <w:rPr>
                      <w:color w:val="auto"/>
                    </w:rPr>
                  </w:pPr>
                  <w:r>
                    <w:rPr>
                      <w:rFonts w:hint="eastAsia"/>
                      <w:color w:val="auto"/>
                    </w:rPr>
                    <w:t>43</w:t>
                  </w:r>
                </w:p>
              </w:tc>
              <w:tc>
                <w:tcPr>
                  <w:tcW w:w="762" w:type="pct"/>
                  <w:tcBorders>
                    <w:tl2br w:val="nil"/>
                    <w:tr2bl w:val="nil"/>
                  </w:tcBorders>
                  <w:vAlign w:val="center"/>
                </w:tcPr>
                <w:p w14:paraId="35379A0B">
                  <w:pPr>
                    <w:pStyle w:val="30"/>
                    <w:rPr>
                      <w:color w:val="auto"/>
                    </w:rPr>
                  </w:pPr>
                  <w:r>
                    <w:rPr>
                      <w:rFonts w:hint="eastAsia"/>
                      <w:color w:val="auto"/>
                    </w:rPr>
                    <w:t>70</w:t>
                  </w:r>
                </w:p>
              </w:tc>
              <w:tc>
                <w:tcPr>
                  <w:tcW w:w="578" w:type="pct"/>
                  <w:tcBorders>
                    <w:tl2br w:val="nil"/>
                    <w:tr2bl w:val="nil"/>
                  </w:tcBorders>
                  <w:vAlign w:val="center"/>
                </w:tcPr>
                <w:p w14:paraId="311D5B82">
                  <w:pPr>
                    <w:pStyle w:val="30"/>
                    <w:rPr>
                      <w:color w:val="auto"/>
                    </w:rPr>
                  </w:pPr>
                  <w:r>
                    <w:rPr>
                      <w:rFonts w:hint="eastAsia"/>
                      <w:color w:val="auto"/>
                    </w:rPr>
                    <w:t>61.43</w:t>
                  </w:r>
                </w:p>
              </w:tc>
              <w:tc>
                <w:tcPr>
                  <w:tcW w:w="569" w:type="pct"/>
                  <w:tcBorders>
                    <w:tl2br w:val="nil"/>
                    <w:tr2bl w:val="nil"/>
                  </w:tcBorders>
                  <w:vAlign w:val="center"/>
                </w:tcPr>
                <w:p w14:paraId="4E4C56F4">
                  <w:pPr>
                    <w:pStyle w:val="30"/>
                    <w:rPr>
                      <w:color w:val="auto"/>
                    </w:rPr>
                  </w:pPr>
                  <w:r>
                    <w:rPr>
                      <w:rFonts w:hint="eastAsia"/>
                      <w:color w:val="auto"/>
                    </w:rPr>
                    <w:t>达标</w:t>
                  </w:r>
                </w:p>
              </w:tc>
            </w:tr>
            <w:tr w14:paraId="51EBF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050" w:type="pct"/>
                  <w:tcBorders>
                    <w:tl2br w:val="nil"/>
                    <w:tr2bl w:val="nil"/>
                  </w:tcBorders>
                  <w:vAlign w:val="center"/>
                </w:tcPr>
                <w:p w14:paraId="513C485B">
                  <w:pPr>
                    <w:pStyle w:val="30"/>
                    <w:rPr>
                      <w:color w:val="auto"/>
                    </w:rPr>
                  </w:pPr>
                  <w:r>
                    <w:rPr>
                      <w:rFonts w:hint="eastAsia"/>
                      <w:color w:val="auto"/>
                    </w:rPr>
                    <w:t>二氧化氮</w:t>
                  </w:r>
                </w:p>
              </w:tc>
              <w:tc>
                <w:tcPr>
                  <w:tcW w:w="1274" w:type="pct"/>
                  <w:tcBorders>
                    <w:tl2br w:val="nil"/>
                    <w:tr2bl w:val="nil"/>
                  </w:tcBorders>
                  <w:vAlign w:val="center"/>
                </w:tcPr>
                <w:p w14:paraId="10B0A474">
                  <w:pPr>
                    <w:pStyle w:val="30"/>
                    <w:rPr>
                      <w:color w:val="auto"/>
                    </w:rPr>
                  </w:pPr>
                  <w:r>
                    <w:rPr>
                      <w:rFonts w:hint="eastAsia"/>
                      <w:color w:val="auto"/>
                    </w:rPr>
                    <w:t>年平均质量浓度</w:t>
                  </w:r>
                </w:p>
              </w:tc>
              <w:tc>
                <w:tcPr>
                  <w:tcW w:w="764" w:type="pct"/>
                  <w:tcBorders>
                    <w:tl2br w:val="nil"/>
                    <w:tr2bl w:val="nil"/>
                  </w:tcBorders>
                  <w:vAlign w:val="center"/>
                </w:tcPr>
                <w:p w14:paraId="63A19E00">
                  <w:pPr>
                    <w:pStyle w:val="30"/>
                    <w:rPr>
                      <w:color w:val="auto"/>
                    </w:rPr>
                  </w:pPr>
                  <w:r>
                    <w:rPr>
                      <w:rFonts w:hint="eastAsia"/>
                      <w:color w:val="auto"/>
                    </w:rPr>
                    <w:t>15</w:t>
                  </w:r>
                </w:p>
              </w:tc>
              <w:tc>
                <w:tcPr>
                  <w:tcW w:w="762" w:type="pct"/>
                  <w:tcBorders>
                    <w:tl2br w:val="nil"/>
                    <w:tr2bl w:val="nil"/>
                  </w:tcBorders>
                  <w:vAlign w:val="center"/>
                </w:tcPr>
                <w:p w14:paraId="4A37581E">
                  <w:pPr>
                    <w:pStyle w:val="30"/>
                    <w:rPr>
                      <w:color w:val="auto"/>
                    </w:rPr>
                  </w:pPr>
                  <w:r>
                    <w:rPr>
                      <w:rFonts w:hint="eastAsia"/>
                      <w:color w:val="auto"/>
                    </w:rPr>
                    <w:t>40</w:t>
                  </w:r>
                </w:p>
              </w:tc>
              <w:tc>
                <w:tcPr>
                  <w:tcW w:w="578" w:type="pct"/>
                  <w:tcBorders>
                    <w:tl2br w:val="nil"/>
                    <w:tr2bl w:val="nil"/>
                  </w:tcBorders>
                  <w:vAlign w:val="center"/>
                </w:tcPr>
                <w:p w14:paraId="483C42E0">
                  <w:pPr>
                    <w:pStyle w:val="30"/>
                    <w:rPr>
                      <w:color w:val="auto"/>
                    </w:rPr>
                  </w:pPr>
                  <w:r>
                    <w:rPr>
                      <w:rFonts w:hint="eastAsia"/>
                      <w:color w:val="auto"/>
                    </w:rPr>
                    <w:t>37.5</w:t>
                  </w:r>
                </w:p>
              </w:tc>
              <w:tc>
                <w:tcPr>
                  <w:tcW w:w="569" w:type="pct"/>
                  <w:tcBorders>
                    <w:tl2br w:val="nil"/>
                    <w:tr2bl w:val="nil"/>
                  </w:tcBorders>
                  <w:vAlign w:val="center"/>
                </w:tcPr>
                <w:p w14:paraId="4ADE6C42">
                  <w:pPr>
                    <w:pStyle w:val="30"/>
                    <w:rPr>
                      <w:color w:val="auto"/>
                    </w:rPr>
                  </w:pPr>
                  <w:r>
                    <w:rPr>
                      <w:rFonts w:hint="eastAsia"/>
                      <w:color w:val="auto"/>
                    </w:rPr>
                    <w:t>达标</w:t>
                  </w:r>
                </w:p>
              </w:tc>
            </w:tr>
            <w:tr w14:paraId="748A3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050" w:type="pct"/>
                  <w:tcBorders>
                    <w:tl2br w:val="nil"/>
                    <w:tr2bl w:val="nil"/>
                  </w:tcBorders>
                  <w:vAlign w:val="center"/>
                </w:tcPr>
                <w:p w14:paraId="640F81C7">
                  <w:pPr>
                    <w:pStyle w:val="30"/>
                    <w:rPr>
                      <w:color w:val="auto"/>
                    </w:rPr>
                  </w:pPr>
                  <w:r>
                    <w:rPr>
                      <w:rFonts w:hint="eastAsia"/>
                      <w:color w:val="auto"/>
                    </w:rPr>
                    <w:t>二氧化硫</w:t>
                  </w:r>
                </w:p>
              </w:tc>
              <w:tc>
                <w:tcPr>
                  <w:tcW w:w="1274" w:type="pct"/>
                  <w:tcBorders>
                    <w:tl2br w:val="nil"/>
                    <w:tr2bl w:val="nil"/>
                  </w:tcBorders>
                  <w:vAlign w:val="center"/>
                </w:tcPr>
                <w:p w14:paraId="41F2A0BC">
                  <w:pPr>
                    <w:pStyle w:val="30"/>
                    <w:rPr>
                      <w:color w:val="auto"/>
                    </w:rPr>
                  </w:pPr>
                  <w:r>
                    <w:rPr>
                      <w:rFonts w:hint="eastAsia"/>
                      <w:color w:val="auto"/>
                    </w:rPr>
                    <w:t>年平均质量浓度</w:t>
                  </w:r>
                </w:p>
              </w:tc>
              <w:tc>
                <w:tcPr>
                  <w:tcW w:w="764" w:type="pct"/>
                  <w:tcBorders>
                    <w:tl2br w:val="nil"/>
                    <w:tr2bl w:val="nil"/>
                  </w:tcBorders>
                  <w:vAlign w:val="center"/>
                </w:tcPr>
                <w:p w14:paraId="140D264A">
                  <w:pPr>
                    <w:pStyle w:val="30"/>
                    <w:rPr>
                      <w:color w:val="auto"/>
                    </w:rPr>
                  </w:pPr>
                  <w:r>
                    <w:rPr>
                      <w:rFonts w:hint="eastAsia"/>
                      <w:color w:val="auto"/>
                    </w:rPr>
                    <w:t>11</w:t>
                  </w:r>
                </w:p>
              </w:tc>
              <w:tc>
                <w:tcPr>
                  <w:tcW w:w="762" w:type="pct"/>
                  <w:tcBorders>
                    <w:tl2br w:val="nil"/>
                    <w:tr2bl w:val="nil"/>
                  </w:tcBorders>
                  <w:vAlign w:val="center"/>
                </w:tcPr>
                <w:p w14:paraId="57829E20">
                  <w:pPr>
                    <w:pStyle w:val="30"/>
                    <w:rPr>
                      <w:color w:val="auto"/>
                    </w:rPr>
                  </w:pPr>
                  <w:r>
                    <w:rPr>
                      <w:rFonts w:hint="eastAsia"/>
                      <w:color w:val="auto"/>
                    </w:rPr>
                    <w:t>60</w:t>
                  </w:r>
                </w:p>
              </w:tc>
              <w:tc>
                <w:tcPr>
                  <w:tcW w:w="578" w:type="pct"/>
                  <w:tcBorders>
                    <w:tl2br w:val="nil"/>
                    <w:tr2bl w:val="nil"/>
                  </w:tcBorders>
                  <w:vAlign w:val="center"/>
                </w:tcPr>
                <w:p w14:paraId="48F92923">
                  <w:pPr>
                    <w:pStyle w:val="30"/>
                    <w:rPr>
                      <w:color w:val="auto"/>
                    </w:rPr>
                  </w:pPr>
                  <w:r>
                    <w:rPr>
                      <w:rFonts w:hint="eastAsia"/>
                      <w:color w:val="auto"/>
                    </w:rPr>
                    <w:t>18.33</w:t>
                  </w:r>
                </w:p>
              </w:tc>
              <w:tc>
                <w:tcPr>
                  <w:tcW w:w="569" w:type="pct"/>
                  <w:tcBorders>
                    <w:tl2br w:val="nil"/>
                    <w:tr2bl w:val="nil"/>
                  </w:tcBorders>
                  <w:vAlign w:val="center"/>
                </w:tcPr>
                <w:p w14:paraId="19ABF2B1">
                  <w:pPr>
                    <w:pStyle w:val="30"/>
                    <w:rPr>
                      <w:color w:val="auto"/>
                    </w:rPr>
                  </w:pPr>
                  <w:r>
                    <w:rPr>
                      <w:rFonts w:hint="eastAsia"/>
                      <w:color w:val="auto"/>
                    </w:rPr>
                    <w:t>达标</w:t>
                  </w:r>
                </w:p>
              </w:tc>
            </w:tr>
            <w:tr w14:paraId="46D209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050" w:type="pct"/>
                  <w:tcBorders>
                    <w:tl2br w:val="nil"/>
                    <w:tr2bl w:val="nil"/>
                  </w:tcBorders>
                  <w:vAlign w:val="center"/>
                </w:tcPr>
                <w:p w14:paraId="75207D38">
                  <w:pPr>
                    <w:pStyle w:val="30"/>
                    <w:rPr>
                      <w:color w:val="auto"/>
                    </w:rPr>
                  </w:pPr>
                  <w:r>
                    <w:rPr>
                      <w:rFonts w:hint="eastAsia"/>
                      <w:color w:val="auto"/>
                    </w:rPr>
                    <w:t>一氧化碳</w:t>
                  </w:r>
                </w:p>
              </w:tc>
              <w:tc>
                <w:tcPr>
                  <w:tcW w:w="1274" w:type="pct"/>
                  <w:tcBorders>
                    <w:tl2br w:val="nil"/>
                    <w:tr2bl w:val="nil"/>
                  </w:tcBorders>
                  <w:vAlign w:val="center"/>
                </w:tcPr>
                <w:p w14:paraId="7A70B1F8">
                  <w:pPr>
                    <w:pStyle w:val="30"/>
                    <w:rPr>
                      <w:color w:val="auto"/>
                    </w:rPr>
                  </w:pPr>
                  <w:r>
                    <w:rPr>
                      <w:rFonts w:hint="eastAsia"/>
                      <w:color w:val="auto"/>
                    </w:rPr>
                    <w:t>百分位数日平均</w:t>
                  </w:r>
                </w:p>
              </w:tc>
              <w:tc>
                <w:tcPr>
                  <w:tcW w:w="764" w:type="pct"/>
                  <w:tcBorders>
                    <w:tl2br w:val="nil"/>
                    <w:tr2bl w:val="nil"/>
                  </w:tcBorders>
                  <w:vAlign w:val="center"/>
                </w:tcPr>
                <w:p w14:paraId="50687533">
                  <w:pPr>
                    <w:pStyle w:val="30"/>
                    <w:rPr>
                      <w:color w:val="auto"/>
                    </w:rPr>
                  </w:pPr>
                  <w:r>
                    <w:rPr>
                      <w:rFonts w:hint="eastAsia"/>
                      <w:color w:val="auto"/>
                    </w:rPr>
                    <w:t>480</w:t>
                  </w:r>
                </w:p>
              </w:tc>
              <w:tc>
                <w:tcPr>
                  <w:tcW w:w="762" w:type="pct"/>
                  <w:tcBorders>
                    <w:tl2br w:val="nil"/>
                    <w:tr2bl w:val="nil"/>
                  </w:tcBorders>
                  <w:vAlign w:val="center"/>
                </w:tcPr>
                <w:p w14:paraId="5264F3FA">
                  <w:pPr>
                    <w:pStyle w:val="30"/>
                    <w:rPr>
                      <w:color w:val="auto"/>
                    </w:rPr>
                  </w:pPr>
                  <w:r>
                    <w:rPr>
                      <w:rFonts w:hint="eastAsia"/>
                      <w:color w:val="auto"/>
                    </w:rPr>
                    <w:t>4000</w:t>
                  </w:r>
                </w:p>
              </w:tc>
              <w:tc>
                <w:tcPr>
                  <w:tcW w:w="578" w:type="pct"/>
                  <w:tcBorders>
                    <w:tl2br w:val="nil"/>
                    <w:tr2bl w:val="nil"/>
                  </w:tcBorders>
                  <w:vAlign w:val="center"/>
                </w:tcPr>
                <w:p w14:paraId="05F09E7B">
                  <w:pPr>
                    <w:pStyle w:val="30"/>
                    <w:rPr>
                      <w:color w:val="auto"/>
                    </w:rPr>
                  </w:pPr>
                  <w:r>
                    <w:rPr>
                      <w:rFonts w:hint="eastAsia"/>
                      <w:color w:val="auto"/>
                    </w:rPr>
                    <w:t>12</w:t>
                  </w:r>
                </w:p>
              </w:tc>
              <w:tc>
                <w:tcPr>
                  <w:tcW w:w="569" w:type="pct"/>
                  <w:tcBorders>
                    <w:tl2br w:val="nil"/>
                    <w:tr2bl w:val="nil"/>
                  </w:tcBorders>
                  <w:vAlign w:val="center"/>
                </w:tcPr>
                <w:p w14:paraId="7AFC944B">
                  <w:pPr>
                    <w:pStyle w:val="30"/>
                    <w:rPr>
                      <w:color w:val="auto"/>
                    </w:rPr>
                  </w:pPr>
                  <w:r>
                    <w:rPr>
                      <w:rFonts w:hint="eastAsia"/>
                      <w:color w:val="auto"/>
                    </w:rPr>
                    <w:t>达标</w:t>
                  </w:r>
                </w:p>
              </w:tc>
            </w:tr>
            <w:tr w14:paraId="06535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50" w:type="pct"/>
                  <w:tcBorders>
                    <w:tl2br w:val="nil"/>
                    <w:tr2bl w:val="nil"/>
                  </w:tcBorders>
                  <w:vAlign w:val="center"/>
                </w:tcPr>
                <w:p w14:paraId="02C7BC5B">
                  <w:pPr>
                    <w:pStyle w:val="30"/>
                    <w:rPr>
                      <w:color w:val="auto"/>
                    </w:rPr>
                  </w:pPr>
                  <w:r>
                    <w:rPr>
                      <w:rFonts w:hint="eastAsia"/>
                      <w:color w:val="auto"/>
                    </w:rPr>
                    <w:t>臭氧</w:t>
                  </w:r>
                </w:p>
              </w:tc>
              <w:tc>
                <w:tcPr>
                  <w:tcW w:w="1274" w:type="pct"/>
                  <w:tcBorders>
                    <w:tl2br w:val="nil"/>
                    <w:tr2bl w:val="nil"/>
                  </w:tcBorders>
                  <w:vAlign w:val="center"/>
                </w:tcPr>
                <w:p w14:paraId="4391AD40">
                  <w:pPr>
                    <w:pStyle w:val="30"/>
                    <w:rPr>
                      <w:color w:val="auto"/>
                    </w:rPr>
                  </w:pPr>
                  <w:r>
                    <w:rPr>
                      <w:rFonts w:hint="eastAsia"/>
                      <w:color w:val="auto"/>
                    </w:rPr>
                    <w:t>8h平均质量浓度</w:t>
                  </w:r>
                </w:p>
              </w:tc>
              <w:tc>
                <w:tcPr>
                  <w:tcW w:w="764" w:type="pct"/>
                  <w:tcBorders>
                    <w:tl2br w:val="nil"/>
                    <w:tr2bl w:val="nil"/>
                  </w:tcBorders>
                  <w:vAlign w:val="center"/>
                </w:tcPr>
                <w:p w14:paraId="46B040F3">
                  <w:pPr>
                    <w:pStyle w:val="30"/>
                    <w:rPr>
                      <w:color w:val="auto"/>
                    </w:rPr>
                  </w:pPr>
                  <w:r>
                    <w:rPr>
                      <w:rFonts w:hint="eastAsia"/>
                      <w:color w:val="auto"/>
                    </w:rPr>
                    <w:t>74.87</w:t>
                  </w:r>
                </w:p>
              </w:tc>
              <w:tc>
                <w:tcPr>
                  <w:tcW w:w="762" w:type="pct"/>
                  <w:tcBorders>
                    <w:tl2br w:val="nil"/>
                    <w:tr2bl w:val="nil"/>
                  </w:tcBorders>
                  <w:vAlign w:val="center"/>
                </w:tcPr>
                <w:p w14:paraId="72B88CCE">
                  <w:pPr>
                    <w:pStyle w:val="30"/>
                    <w:rPr>
                      <w:color w:val="auto"/>
                    </w:rPr>
                  </w:pPr>
                  <w:r>
                    <w:rPr>
                      <w:rFonts w:hint="eastAsia"/>
                      <w:color w:val="auto"/>
                    </w:rPr>
                    <w:t>160</w:t>
                  </w:r>
                </w:p>
              </w:tc>
              <w:tc>
                <w:tcPr>
                  <w:tcW w:w="578" w:type="pct"/>
                  <w:tcBorders>
                    <w:tl2br w:val="nil"/>
                    <w:tr2bl w:val="nil"/>
                  </w:tcBorders>
                  <w:vAlign w:val="center"/>
                </w:tcPr>
                <w:p w14:paraId="2CFEB592">
                  <w:pPr>
                    <w:pStyle w:val="30"/>
                    <w:rPr>
                      <w:color w:val="auto"/>
                    </w:rPr>
                  </w:pPr>
                  <w:r>
                    <w:rPr>
                      <w:rFonts w:hint="eastAsia"/>
                      <w:color w:val="auto"/>
                    </w:rPr>
                    <w:t>46.79</w:t>
                  </w:r>
                </w:p>
              </w:tc>
              <w:tc>
                <w:tcPr>
                  <w:tcW w:w="569" w:type="pct"/>
                  <w:tcBorders>
                    <w:tl2br w:val="nil"/>
                    <w:tr2bl w:val="nil"/>
                  </w:tcBorders>
                  <w:vAlign w:val="center"/>
                </w:tcPr>
                <w:p w14:paraId="428869E5">
                  <w:pPr>
                    <w:pStyle w:val="30"/>
                    <w:rPr>
                      <w:color w:val="auto"/>
                    </w:rPr>
                  </w:pPr>
                  <w:r>
                    <w:rPr>
                      <w:rFonts w:hint="eastAsia"/>
                      <w:color w:val="auto"/>
                    </w:rPr>
                    <w:t>达标</w:t>
                  </w:r>
                </w:p>
              </w:tc>
            </w:tr>
          </w:tbl>
          <w:p w14:paraId="464EA7C6">
            <w:pPr>
              <w:ind w:firstLine="480"/>
              <w:rPr>
                <w:color w:val="auto"/>
              </w:rPr>
            </w:pPr>
          </w:p>
          <w:p w14:paraId="52873E54">
            <w:pPr>
              <w:ind w:firstLine="480"/>
              <w:rPr>
                <w:color w:val="auto"/>
              </w:rPr>
            </w:pPr>
            <w:r>
              <w:rPr>
                <w:rFonts w:hint="eastAsia"/>
                <w:color w:val="auto"/>
              </w:rPr>
              <w:t>细颗粒物(PM</w:t>
            </w:r>
            <w:r>
              <w:rPr>
                <w:rFonts w:hint="eastAsia"/>
                <w:color w:val="auto"/>
                <w:vertAlign w:val="subscript"/>
              </w:rPr>
              <w:t>2.5</w:t>
            </w:r>
            <w:r>
              <w:rPr>
                <w:rFonts w:hint="eastAsia"/>
                <w:color w:val="auto"/>
              </w:rPr>
              <w:t>)、</w:t>
            </w:r>
            <w:r>
              <w:rPr>
                <w:color w:val="auto"/>
              </w:rPr>
              <w:t>可吸入颗粒物（PM</w:t>
            </w:r>
            <w:r>
              <w:rPr>
                <w:color w:val="auto"/>
                <w:vertAlign w:val="subscript"/>
              </w:rPr>
              <w:t>10</w:t>
            </w:r>
            <w:r>
              <w:rPr>
                <w:color w:val="auto"/>
              </w:rPr>
              <w:t>)、二氧化氮（NO</w:t>
            </w:r>
            <w:r>
              <w:rPr>
                <w:color w:val="auto"/>
                <w:vertAlign w:val="subscript"/>
              </w:rPr>
              <w:t>2</w:t>
            </w:r>
            <w:r>
              <w:rPr>
                <w:color w:val="auto"/>
              </w:rPr>
              <w:t>)、二氧化硫（SO</w:t>
            </w:r>
            <w:r>
              <w:rPr>
                <w:rFonts w:hint="eastAsia"/>
                <w:color w:val="auto"/>
                <w:vertAlign w:val="subscript"/>
              </w:rPr>
              <w:t>2</w:t>
            </w:r>
            <w:r>
              <w:rPr>
                <w:color w:val="auto"/>
              </w:rPr>
              <w:t>）、一氧化碳（CO）、臭氧（</w:t>
            </w:r>
            <w:r>
              <w:rPr>
                <w:rFonts w:hint="eastAsia"/>
                <w:color w:val="auto"/>
              </w:rPr>
              <w:t>O</w:t>
            </w:r>
            <w:r>
              <w:rPr>
                <w:color w:val="auto"/>
                <w:vertAlign w:val="subscript"/>
              </w:rPr>
              <w:t>3</w:t>
            </w:r>
            <w:r>
              <w:rPr>
                <w:color w:val="auto"/>
              </w:rPr>
              <w:t>）总体评价达标。总体评价，项目所在区域为环境空气质量现状达标区。</w:t>
            </w:r>
          </w:p>
          <w:p w14:paraId="296F0FD5">
            <w:pPr>
              <w:ind w:firstLine="482"/>
              <w:rPr>
                <w:b/>
                <w:bCs/>
              </w:rPr>
            </w:pPr>
            <w:r>
              <w:rPr>
                <w:rFonts w:hint="eastAsia"/>
                <w:b/>
                <w:bCs/>
              </w:rPr>
              <w:t>5、声环境质量现状</w:t>
            </w:r>
          </w:p>
          <w:p w14:paraId="24BF26C3">
            <w:pPr>
              <w:ind w:firstLine="480"/>
            </w:pPr>
            <w:r>
              <w:t>1、监测点位</w:t>
            </w:r>
          </w:p>
          <w:p w14:paraId="543ECC26">
            <w:pPr>
              <w:ind w:firstLine="480"/>
              <w:rPr>
                <w:rFonts w:hint="eastAsia" w:eastAsia="宋体"/>
                <w:color w:val="auto"/>
                <w:lang w:eastAsia="zh-CN"/>
              </w:rPr>
            </w:pPr>
            <w:r>
              <w:t>本次声环境质量现状监测在铁路周边敏感点布点监测，共计4个点位</w:t>
            </w:r>
            <w:r>
              <w:rPr>
                <w:color w:val="auto"/>
              </w:rPr>
              <w:t>。</w:t>
            </w:r>
            <w:r>
              <w:rPr>
                <w:rFonts w:hint="eastAsia"/>
                <w:color w:val="auto"/>
              </w:rPr>
              <w:t>按照《声环境质量标准》（GB3096-2008）2类标准执行。本项目铁路运行为一次/天</w:t>
            </w:r>
            <w:r>
              <w:rPr>
                <w:rFonts w:hint="eastAsia"/>
                <w:color w:val="auto"/>
                <w:lang w:eastAsia="zh-CN"/>
              </w:rPr>
              <w:t>。</w:t>
            </w:r>
          </w:p>
          <w:p w14:paraId="082AA852">
            <w:pPr>
              <w:pStyle w:val="33"/>
              <w:rPr>
                <w:color w:val="auto"/>
              </w:rPr>
            </w:pPr>
            <w:r>
              <w:rPr>
                <w:color w:val="auto"/>
              </w:rPr>
              <w:t>表</w:t>
            </w:r>
            <w:r>
              <w:rPr>
                <w:rFonts w:hint="eastAsia"/>
                <w:color w:val="auto"/>
              </w:rPr>
              <w:t>3-2</w:t>
            </w:r>
            <w:r>
              <w:rPr>
                <w:color w:val="auto"/>
              </w:rPr>
              <w:t xml:space="preserve"> 项目噪声监测点位</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83"/>
              <w:gridCol w:w="2156"/>
              <w:gridCol w:w="2921"/>
              <w:gridCol w:w="1900"/>
            </w:tblGrid>
            <w:tr w14:paraId="22B4AEE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81" w:type="dxa"/>
                  <w:tcBorders>
                    <w:tl2br w:val="nil"/>
                    <w:tr2bl w:val="nil"/>
                  </w:tcBorders>
                  <w:vAlign w:val="center"/>
                </w:tcPr>
                <w:p w14:paraId="67881572">
                  <w:pPr>
                    <w:pStyle w:val="30"/>
                    <w:rPr>
                      <w:color w:val="auto"/>
                    </w:rPr>
                  </w:pPr>
                  <w:r>
                    <w:rPr>
                      <w:color w:val="auto"/>
                    </w:rPr>
                    <w:t>序号</w:t>
                  </w:r>
                </w:p>
              </w:tc>
              <w:tc>
                <w:tcPr>
                  <w:tcW w:w="2151" w:type="dxa"/>
                  <w:tcBorders>
                    <w:tl2br w:val="nil"/>
                    <w:tr2bl w:val="nil"/>
                  </w:tcBorders>
                  <w:vAlign w:val="center"/>
                </w:tcPr>
                <w:p w14:paraId="6AABB770">
                  <w:pPr>
                    <w:pStyle w:val="30"/>
                    <w:rPr>
                      <w:color w:val="auto"/>
                    </w:rPr>
                  </w:pPr>
                  <w:r>
                    <w:rPr>
                      <w:color w:val="auto"/>
                    </w:rPr>
                    <w:t>监测点</w:t>
                  </w:r>
                </w:p>
              </w:tc>
              <w:tc>
                <w:tcPr>
                  <w:tcW w:w="2914" w:type="dxa"/>
                  <w:tcBorders>
                    <w:tl2br w:val="nil"/>
                    <w:tr2bl w:val="nil"/>
                  </w:tcBorders>
                  <w:vAlign w:val="center"/>
                </w:tcPr>
                <w:p w14:paraId="58A93BA6">
                  <w:pPr>
                    <w:pStyle w:val="30"/>
                    <w:rPr>
                      <w:color w:val="auto"/>
                    </w:rPr>
                  </w:pPr>
                  <w:r>
                    <w:rPr>
                      <w:color w:val="auto"/>
                    </w:rPr>
                    <w:t>方位</w:t>
                  </w:r>
                </w:p>
              </w:tc>
              <w:tc>
                <w:tcPr>
                  <w:tcW w:w="1894" w:type="dxa"/>
                  <w:tcBorders>
                    <w:tl2br w:val="nil"/>
                    <w:tr2bl w:val="nil"/>
                  </w:tcBorders>
                  <w:vAlign w:val="center"/>
                </w:tcPr>
                <w:p w14:paraId="6F6221B9">
                  <w:pPr>
                    <w:pStyle w:val="30"/>
                    <w:rPr>
                      <w:color w:val="auto"/>
                    </w:rPr>
                  </w:pPr>
                  <w:r>
                    <w:rPr>
                      <w:color w:val="auto"/>
                    </w:rPr>
                    <w:t>声功能区</w:t>
                  </w:r>
                </w:p>
              </w:tc>
            </w:tr>
            <w:tr w14:paraId="17AAA4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81" w:type="dxa"/>
                  <w:vMerge w:val="restart"/>
                  <w:tcBorders>
                    <w:tl2br w:val="nil"/>
                    <w:tr2bl w:val="nil"/>
                  </w:tcBorders>
                  <w:vAlign w:val="center"/>
                </w:tcPr>
                <w:p w14:paraId="08A738D4">
                  <w:pPr>
                    <w:pStyle w:val="30"/>
                    <w:rPr>
                      <w:color w:val="auto"/>
                    </w:rPr>
                  </w:pPr>
                  <w:r>
                    <w:rPr>
                      <w:color w:val="auto"/>
                    </w:rPr>
                    <w:t>1</w:t>
                  </w:r>
                </w:p>
              </w:tc>
              <w:tc>
                <w:tcPr>
                  <w:tcW w:w="2151" w:type="dxa"/>
                  <w:tcBorders>
                    <w:tl2br w:val="nil"/>
                    <w:tr2bl w:val="nil"/>
                  </w:tcBorders>
                  <w:vAlign w:val="center"/>
                </w:tcPr>
                <w:p w14:paraId="123BCD1F">
                  <w:pPr>
                    <w:pStyle w:val="30"/>
                    <w:rPr>
                      <w:rFonts w:hint="default" w:eastAsia="宋体"/>
                      <w:color w:val="auto"/>
                      <w:lang w:val="en-US" w:eastAsia="zh-CN"/>
                    </w:rPr>
                  </w:pPr>
                  <w:r>
                    <w:rPr>
                      <w:color w:val="auto"/>
                    </w:rPr>
                    <w:t>站前小区</w:t>
                  </w:r>
                  <w:r>
                    <w:rPr>
                      <w:rStyle w:val="29"/>
                      <w:rFonts w:hint="eastAsia"/>
                      <w:color w:val="auto"/>
                      <w:szCs w:val="24"/>
                      <w:lang w:val="en-US" w:eastAsia="zh-CN"/>
                    </w:rPr>
                    <w:t>有铁路运行</w:t>
                  </w:r>
                </w:p>
              </w:tc>
              <w:tc>
                <w:tcPr>
                  <w:tcW w:w="2914" w:type="dxa"/>
                  <w:vMerge w:val="restart"/>
                  <w:tcBorders>
                    <w:tl2br w:val="nil"/>
                    <w:tr2bl w:val="nil"/>
                  </w:tcBorders>
                  <w:vAlign w:val="center"/>
                </w:tcPr>
                <w:p w14:paraId="1B38E944">
                  <w:pPr>
                    <w:pStyle w:val="30"/>
                    <w:rPr>
                      <w:color w:val="auto"/>
                    </w:rPr>
                  </w:pPr>
                  <w:r>
                    <w:rPr>
                      <w:color w:val="auto"/>
                    </w:rPr>
                    <w:t>临路第一排建筑物窗外1m#1</w:t>
                  </w:r>
                </w:p>
              </w:tc>
              <w:tc>
                <w:tcPr>
                  <w:tcW w:w="1894" w:type="dxa"/>
                  <w:vMerge w:val="restart"/>
                  <w:tcBorders>
                    <w:tl2br w:val="nil"/>
                    <w:tr2bl w:val="nil"/>
                  </w:tcBorders>
                  <w:vAlign w:val="center"/>
                </w:tcPr>
                <w:p w14:paraId="7159A8B9">
                  <w:pPr>
                    <w:pStyle w:val="30"/>
                    <w:rPr>
                      <w:color w:val="auto"/>
                    </w:rPr>
                  </w:pPr>
                  <w:r>
                    <w:rPr>
                      <w:color w:val="auto"/>
                    </w:rPr>
                    <w:t>2类</w:t>
                  </w:r>
                </w:p>
              </w:tc>
            </w:tr>
            <w:tr w14:paraId="6CED787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81" w:type="dxa"/>
                  <w:vMerge w:val="continue"/>
                  <w:tcBorders>
                    <w:tl2br w:val="nil"/>
                    <w:tr2bl w:val="nil"/>
                  </w:tcBorders>
                  <w:vAlign w:val="center"/>
                </w:tcPr>
                <w:p w14:paraId="4AB0BF12">
                  <w:pPr>
                    <w:pStyle w:val="30"/>
                    <w:rPr>
                      <w:color w:val="auto"/>
                    </w:rPr>
                  </w:pPr>
                </w:p>
              </w:tc>
              <w:tc>
                <w:tcPr>
                  <w:tcW w:w="2151" w:type="dxa"/>
                  <w:tcBorders>
                    <w:tl2br w:val="nil"/>
                    <w:tr2bl w:val="nil"/>
                  </w:tcBorders>
                  <w:vAlign w:val="center"/>
                </w:tcPr>
                <w:p w14:paraId="6269C977">
                  <w:pPr>
                    <w:pStyle w:val="30"/>
                    <w:rPr>
                      <w:rFonts w:hint="default" w:eastAsia="宋体"/>
                      <w:color w:val="auto"/>
                      <w:lang w:val="en-US" w:eastAsia="zh-CN"/>
                    </w:rPr>
                  </w:pPr>
                  <w:r>
                    <w:rPr>
                      <w:rFonts w:hint="eastAsia"/>
                      <w:color w:val="auto"/>
                      <w:lang w:val="en-US" w:eastAsia="zh-CN"/>
                    </w:rPr>
                    <w:t>站前小区无铁路运行</w:t>
                  </w:r>
                </w:p>
              </w:tc>
              <w:tc>
                <w:tcPr>
                  <w:tcW w:w="2914" w:type="dxa"/>
                  <w:vMerge w:val="continue"/>
                  <w:tcBorders>
                    <w:tl2br w:val="nil"/>
                    <w:tr2bl w:val="nil"/>
                  </w:tcBorders>
                  <w:vAlign w:val="center"/>
                </w:tcPr>
                <w:p w14:paraId="5A4DFD3B">
                  <w:pPr>
                    <w:pStyle w:val="30"/>
                    <w:rPr>
                      <w:color w:val="auto"/>
                    </w:rPr>
                  </w:pPr>
                </w:p>
              </w:tc>
              <w:tc>
                <w:tcPr>
                  <w:tcW w:w="1894" w:type="dxa"/>
                  <w:vMerge w:val="continue"/>
                  <w:tcBorders>
                    <w:tl2br w:val="nil"/>
                    <w:tr2bl w:val="nil"/>
                  </w:tcBorders>
                  <w:vAlign w:val="center"/>
                </w:tcPr>
                <w:p w14:paraId="0531E3A1">
                  <w:pPr>
                    <w:pStyle w:val="30"/>
                    <w:rPr>
                      <w:color w:val="auto"/>
                    </w:rPr>
                  </w:pPr>
                </w:p>
              </w:tc>
            </w:tr>
            <w:tr w14:paraId="59ADA62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81" w:type="dxa"/>
                  <w:tcBorders>
                    <w:tl2br w:val="nil"/>
                    <w:tr2bl w:val="nil"/>
                  </w:tcBorders>
                  <w:vAlign w:val="center"/>
                </w:tcPr>
                <w:p w14:paraId="08865C0A">
                  <w:pPr>
                    <w:pStyle w:val="30"/>
                    <w:rPr>
                      <w:color w:val="auto"/>
                    </w:rPr>
                  </w:pPr>
                  <w:r>
                    <w:rPr>
                      <w:rFonts w:hint="eastAsia"/>
                      <w:color w:val="auto"/>
                    </w:rPr>
                    <w:t>2</w:t>
                  </w:r>
                </w:p>
              </w:tc>
              <w:tc>
                <w:tcPr>
                  <w:tcW w:w="2151" w:type="dxa"/>
                  <w:tcBorders>
                    <w:tl2br w:val="nil"/>
                    <w:tr2bl w:val="nil"/>
                  </w:tcBorders>
                  <w:vAlign w:val="center"/>
                </w:tcPr>
                <w:p w14:paraId="25859EBC">
                  <w:pPr>
                    <w:pStyle w:val="30"/>
                    <w:rPr>
                      <w:color w:val="auto"/>
                    </w:rPr>
                  </w:pPr>
                  <w:r>
                    <w:rPr>
                      <w:color w:val="auto"/>
                    </w:rPr>
                    <w:t>背景值</w:t>
                  </w:r>
                </w:p>
              </w:tc>
              <w:tc>
                <w:tcPr>
                  <w:tcW w:w="2914" w:type="dxa"/>
                  <w:tcBorders>
                    <w:tl2br w:val="nil"/>
                    <w:tr2bl w:val="nil"/>
                  </w:tcBorders>
                  <w:vAlign w:val="center"/>
                </w:tcPr>
                <w:p w14:paraId="1227677E">
                  <w:pPr>
                    <w:pStyle w:val="30"/>
                    <w:rPr>
                      <w:color w:val="auto"/>
                    </w:rPr>
                  </w:pPr>
                  <w:r>
                    <w:rPr>
                      <w:color w:val="auto"/>
                    </w:rPr>
                    <w:t>铁路西侧200m处农田#</w:t>
                  </w:r>
                  <w:r>
                    <w:rPr>
                      <w:rFonts w:hint="eastAsia"/>
                      <w:color w:val="auto"/>
                    </w:rPr>
                    <w:t>2</w:t>
                  </w:r>
                </w:p>
              </w:tc>
              <w:tc>
                <w:tcPr>
                  <w:tcW w:w="1894" w:type="dxa"/>
                  <w:vMerge w:val="continue"/>
                  <w:tcBorders>
                    <w:tl2br w:val="nil"/>
                    <w:tr2bl w:val="nil"/>
                  </w:tcBorders>
                  <w:vAlign w:val="center"/>
                </w:tcPr>
                <w:p w14:paraId="0CBA1469">
                  <w:pPr>
                    <w:pStyle w:val="30"/>
                    <w:rPr>
                      <w:color w:val="auto"/>
                    </w:rPr>
                  </w:pPr>
                </w:p>
              </w:tc>
            </w:tr>
            <w:tr w14:paraId="6E8561E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81" w:type="dxa"/>
                  <w:tcBorders>
                    <w:tl2br w:val="nil"/>
                    <w:tr2bl w:val="nil"/>
                  </w:tcBorders>
                  <w:vAlign w:val="center"/>
                </w:tcPr>
                <w:p w14:paraId="75CB43B6">
                  <w:pPr>
                    <w:pStyle w:val="30"/>
                    <w:rPr>
                      <w:color w:val="auto"/>
                    </w:rPr>
                  </w:pPr>
                  <w:r>
                    <w:rPr>
                      <w:rFonts w:hint="eastAsia"/>
                      <w:color w:val="auto"/>
                    </w:rPr>
                    <w:t>3</w:t>
                  </w:r>
                </w:p>
              </w:tc>
              <w:tc>
                <w:tcPr>
                  <w:tcW w:w="2151" w:type="dxa"/>
                  <w:tcBorders>
                    <w:tl2br w:val="nil"/>
                    <w:tr2bl w:val="nil"/>
                  </w:tcBorders>
                  <w:vAlign w:val="center"/>
                </w:tcPr>
                <w:p w14:paraId="11F18366">
                  <w:pPr>
                    <w:pStyle w:val="30"/>
                    <w:rPr>
                      <w:color w:val="auto"/>
                    </w:rPr>
                  </w:pPr>
                  <w:r>
                    <w:rPr>
                      <w:rFonts w:hint="eastAsia"/>
                      <w:color w:val="auto"/>
                    </w:rPr>
                    <w:t>铁路通车背景值</w:t>
                  </w:r>
                </w:p>
              </w:tc>
              <w:tc>
                <w:tcPr>
                  <w:tcW w:w="2914" w:type="dxa"/>
                  <w:tcBorders>
                    <w:tl2br w:val="nil"/>
                    <w:tr2bl w:val="nil"/>
                  </w:tcBorders>
                  <w:vAlign w:val="center"/>
                </w:tcPr>
                <w:p w14:paraId="794A9148">
                  <w:pPr>
                    <w:pStyle w:val="30"/>
                    <w:rPr>
                      <w:color w:val="auto"/>
                    </w:rPr>
                  </w:pPr>
                  <w:r>
                    <w:rPr>
                      <w:rFonts w:hint="eastAsia"/>
                      <w:color w:val="auto"/>
                    </w:rPr>
                    <w:t>铁路东侧</w:t>
                  </w:r>
                  <w:r>
                    <w:rPr>
                      <w:rFonts w:hint="eastAsia"/>
                      <w:color w:val="auto"/>
                      <w:lang w:val="en-US" w:eastAsia="zh-CN"/>
                    </w:rPr>
                    <w:t>3</w:t>
                  </w:r>
                  <w:r>
                    <w:rPr>
                      <w:rFonts w:hint="eastAsia"/>
                      <w:color w:val="auto"/>
                    </w:rPr>
                    <w:t>0m处#3</w:t>
                  </w:r>
                </w:p>
              </w:tc>
              <w:tc>
                <w:tcPr>
                  <w:tcW w:w="1894" w:type="dxa"/>
                  <w:vMerge w:val="continue"/>
                  <w:tcBorders>
                    <w:tl2br w:val="nil"/>
                    <w:tr2bl w:val="nil"/>
                  </w:tcBorders>
                  <w:vAlign w:val="center"/>
                </w:tcPr>
                <w:p w14:paraId="3CB45DF5">
                  <w:pPr>
                    <w:pStyle w:val="30"/>
                    <w:rPr>
                      <w:color w:val="auto"/>
                    </w:rPr>
                  </w:pPr>
                </w:p>
              </w:tc>
            </w:tr>
            <w:tr w14:paraId="17579C4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81" w:type="dxa"/>
                  <w:tcBorders>
                    <w:tl2br w:val="nil"/>
                    <w:tr2bl w:val="nil"/>
                  </w:tcBorders>
                  <w:vAlign w:val="center"/>
                </w:tcPr>
                <w:p w14:paraId="0E0AF72D">
                  <w:pPr>
                    <w:pStyle w:val="30"/>
                    <w:rPr>
                      <w:color w:val="auto"/>
                    </w:rPr>
                  </w:pPr>
                  <w:r>
                    <w:rPr>
                      <w:rFonts w:hint="eastAsia"/>
                      <w:color w:val="auto"/>
                    </w:rPr>
                    <w:t>4</w:t>
                  </w:r>
                </w:p>
              </w:tc>
              <w:tc>
                <w:tcPr>
                  <w:tcW w:w="2151" w:type="dxa"/>
                  <w:tcBorders>
                    <w:tl2br w:val="nil"/>
                    <w:tr2bl w:val="nil"/>
                  </w:tcBorders>
                  <w:vAlign w:val="center"/>
                </w:tcPr>
                <w:p w14:paraId="55B93BCF">
                  <w:pPr>
                    <w:pStyle w:val="30"/>
                    <w:rPr>
                      <w:color w:val="auto"/>
                    </w:rPr>
                  </w:pPr>
                  <w:r>
                    <w:rPr>
                      <w:rFonts w:hint="eastAsia"/>
                      <w:color w:val="auto"/>
                    </w:rPr>
                    <w:t>铁路无车背景值</w:t>
                  </w:r>
                </w:p>
              </w:tc>
              <w:tc>
                <w:tcPr>
                  <w:tcW w:w="2914" w:type="dxa"/>
                  <w:tcBorders>
                    <w:tl2br w:val="nil"/>
                    <w:tr2bl w:val="nil"/>
                  </w:tcBorders>
                  <w:vAlign w:val="center"/>
                </w:tcPr>
                <w:p w14:paraId="3E385276">
                  <w:pPr>
                    <w:pStyle w:val="30"/>
                    <w:rPr>
                      <w:color w:val="auto"/>
                    </w:rPr>
                  </w:pPr>
                  <w:r>
                    <w:rPr>
                      <w:rFonts w:hint="eastAsia"/>
                      <w:color w:val="auto"/>
                    </w:rPr>
                    <w:t>铁路外轨中心线30m处#3</w:t>
                  </w:r>
                </w:p>
              </w:tc>
              <w:tc>
                <w:tcPr>
                  <w:tcW w:w="1894" w:type="dxa"/>
                  <w:vMerge w:val="continue"/>
                  <w:tcBorders>
                    <w:tl2br w:val="nil"/>
                    <w:tr2bl w:val="nil"/>
                  </w:tcBorders>
                  <w:vAlign w:val="center"/>
                </w:tcPr>
                <w:p w14:paraId="11C03FAD">
                  <w:pPr>
                    <w:pStyle w:val="30"/>
                    <w:rPr>
                      <w:color w:val="auto"/>
                    </w:rPr>
                  </w:pPr>
                </w:p>
              </w:tc>
            </w:tr>
          </w:tbl>
          <w:p w14:paraId="17130DC3">
            <w:pPr>
              <w:ind w:firstLine="480"/>
              <w:rPr>
                <w:color w:val="auto"/>
              </w:rPr>
            </w:pPr>
          </w:p>
          <w:p w14:paraId="5103ADA2">
            <w:pPr>
              <w:ind w:firstLine="480"/>
              <w:rPr>
                <w:color w:val="auto"/>
              </w:rPr>
            </w:pPr>
            <w:r>
              <w:rPr>
                <w:color w:val="auto"/>
              </w:rPr>
              <w:t>2、监测时间、频次</w:t>
            </w:r>
          </w:p>
          <w:p w14:paraId="1528F7BF">
            <w:pPr>
              <w:ind w:firstLine="480"/>
              <w:rPr>
                <w:color w:val="auto"/>
              </w:rPr>
            </w:pPr>
            <w:r>
              <w:rPr>
                <w:color w:val="auto"/>
              </w:rPr>
              <w:t>本次环评声环境质量现状监测委托黑龙江省环科环境检测有限责任公司于2024年12月20日至2024年12月21日进行现场监测，现状监测分昼、夜两个时段进行，连续监测2天。</w:t>
            </w:r>
          </w:p>
          <w:p w14:paraId="5FB51055">
            <w:pPr>
              <w:ind w:firstLine="480"/>
              <w:rPr>
                <w:color w:val="auto"/>
              </w:rPr>
            </w:pPr>
            <w:r>
              <w:rPr>
                <w:color w:val="auto"/>
              </w:rPr>
              <w:t>3、监测结果</w:t>
            </w:r>
          </w:p>
          <w:p w14:paraId="404084B1">
            <w:pPr>
              <w:pStyle w:val="33"/>
              <w:rPr>
                <w:color w:val="auto"/>
              </w:rPr>
            </w:pPr>
            <w:r>
              <w:rPr>
                <w:color w:val="auto"/>
              </w:rPr>
              <w:t>表</w:t>
            </w:r>
            <w:r>
              <w:rPr>
                <w:rFonts w:hint="eastAsia"/>
                <w:color w:val="auto"/>
              </w:rPr>
              <w:t>3-3</w:t>
            </w:r>
            <w:r>
              <w:rPr>
                <w:color w:val="auto"/>
              </w:rPr>
              <w:t xml:space="preserve"> 噪声监测结果</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07"/>
              <w:gridCol w:w="798"/>
              <w:gridCol w:w="768"/>
              <w:gridCol w:w="906"/>
              <w:gridCol w:w="1184"/>
            </w:tblGrid>
            <w:tr w14:paraId="58944E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5" w:type="pct"/>
                  <w:vMerge w:val="restart"/>
                  <w:tcBorders>
                    <w:tl2br w:val="nil"/>
                    <w:tr2bl w:val="nil"/>
                  </w:tcBorders>
                  <w:vAlign w:val="center"/>
                </w:tcPr>
                <w:p w14:paraId="062F3ECA">
                  <w:pPr>
                    <w:pStyle w:val="30"/>
                    <w:rPr>
                      <w:color w:val="auto"/>
                    </w:rPr>
                  </w:pPr>
                  <w:r>
                    <w:rPr>
                      <w:color w:val="auto"/>
                    </w:rPr>
                    <w:t>监测点位</w:t>
                  </w:r>
                </w:p>
              </w:tc>
              <w:tc>
                <w:tcPr>
                  <w:tcW w:w="2324" w:type="pct"/>
                  <w:gridSpan w:val="4"/>
                  <w:tcBorders>
                    <w:tl2br w:val="nil"/>
                    <w:tr2bl w:val="nil"/>
                  </w:tcBorders>
                  <w:vAlign w:val="center"/>
                </w:tcPr>
                <w:p w14:paraId="5D887F9B">
                  <w:pPr>
                    <w:pStyle w:val="30"/>
                    <w:rPr>
                      <w:color w:val="auto"/>
                    </w:rPr>
                  </w:pPr>
                  <w:r>
                    <w:rPr>
                      <w:color w:val="auto"/>
                    </w:rPr>
                    <w:t>监测结果</w:t>
                  </w:r>
                </w:p>
              </w:tc>
            </w:tr>
            <w:tr w14:paraId="1B699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5" w:type="pct"/>
                  <w:vMerge w:val="continue"/>
                  <w:tcBorders>
                    <w:tl2br w:val="nil"/>
                    <w:tr2bl w:val="nil"/>
                  </w:tcBorders>
                  <w:vAlign w:val="center"/>
                </w:tcPr>
                <w:p w14:paraId="4C8CB684">
                  <w:pPr>
                    <w:pStyle w:val="30"/>
                    <w:rPr>
                      <w:color w:val="auto"/>
                    </w:rPr>
                  </w:pPr>
                </w:p>
              </w:tc>
              <w:tc>
                <w:tcPr>
                  <w:tcW w:w="995" w:type="pct"/>
                  <w:gridSpan w:val="2"/>
                  <w:tcBorders>
                    <w:tl2br w:val="nil"/>
                    <w:tr2bl w:val="nil"/>
                  </w:tcBorders>
                  <w:vAlign w:val="center"/>
                </w:tcPr>
                <w:p w14:paraId="4D42B7ED">
                  <w:pPr>
                    <w:pStyle w:val="30"/>
                    <w:rPr>
                      <w:color w:val="auto"/>
                    </w:rPr>
                  </w:pPr>
                  <w:r>
                    <w:rPr>
                      <w:color w:val="auto"/>
                    </w:rPr>
                    <w:t>12月20日</w:t>
                  </w:r>
                </w:p>
              </w:tc>
              <w:tc>
                <w:tcPr>
                  <w:tcW w:w="1329" w:type="pct"/>
                  <w:gridSpan w:val="2"/>
                  <w:tcBorders>
                    <w:tl2br w:val="nil"/>
                    <w:tr2bl w:val="nil"/>
                  </w:tcBorders>
                  <w:vAlign w:val="center"/>
                </w:tcPr>
                <w:p w14:paraId="1396CE00">
                  <w:pPr>
                    <w:pStyle w:val="30"/>
                    <w:rPr>
                      <w:color w:val="auto"/>
                    </w:rPr>
                  </w:pPr>
                  <w:r>
                    <w:rPr>
                      <w:color w:val="auto"/>
                    </w:rPr>
                    <w:t>12月21日</w:t>
                  </w:r>
                </w:p>
              </w:tc>
            </w:tr>
            <w:tr w14:paraId="1B516A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675" w:type="pct"/>
                  <w:vMerge w:val="continue"/>
                  <w:tcBorders>
                    <w:tl2br w:val="nil"/>
                    <w:tr2bl w:val="nil"/>
                  </w:tcBorders>
                  <w:vAlign w:val="center"/>
                </w:tcPr>
                <w:p w14:paraId="3C55AD46">
                  <w:pPr>
                    <w:pStyle w:val="30"/>
                    <w:rPr>
                      <w:color w:val="auto"/>
                    </w:rPr>
                  </w:pPr>
                </w:p>
              </w:tc>
              <w:tc>
                <w:tcPr>
                  <w:tcW w:w="507" w:type="pct"/>
                  <w:tcBorders>
                    <w:tl2br w:val="nil"/>
                    <w:tr2bl w:val="nil"/>
                  </w:tcBorders>
                  <w:vAlign w:val="center"/>
                </w:tcPr>
                <w:p w14:paraId="3DE53AAF">
                  <w:pPr>
                    <w:pStyle w:val="30"/>
                    <w:rPr>
                      <w:color w:val="auto"/>
                    </w:rPr>
                  </w:pPr>
                  <w:r>
                    <w:rPr>
                      <w:color w:val="auto"/>
                    </w:rPr>
                    <w:t>昼间</w:t>
                  </w:r>
                </w:p>
              </w:tc>
              <w:tc>
                <w:tcPr>
                  <w:tcW w:w="487" w:type="pct"/>
                  <w:tcBorders>
                    <w:tl2br w:val="nil"/>
                    <w:tr2bl w:val="nil"/>
                  </w:tcBorders>
                  <w:vAlign w:val="center"/>
                </w:tcPr>
                <w:p w14:paraId="1E0926C4">
                  <w:pPr>
                    <w:pStyle w:val="30"/>
                    <w:rPr>
                      <w:color w:val="auto"/>
                    </w:rPr>
                  </w:pPr>
                  <w:r>
                    <w:rPr>
                      <w:color w:val="auto"/>
                    </w:rPr>
                    <w:t>夜间</w:t>
                  </w:r>
                </w:p>
              </w:tc>
              <w:tc>
                <w:tcPr>
                  <w:tcW w:w="576" w:type="pct"/>
                  <w:tcBorders>
                    <w:tl2br w:val="nil"/>
                    <w:tr2bl w:val="nil"/>
                  </w:tcBorders>
                  <w:vAlign w:val="center"/>
                </w:tcPr>
                <w:p w14:paraId="6020E2DA">
                  <w:pPr>
                    <w:pStyle w:val="30"/>
                    <w:rPr>
                      <w:color w:val="auto"/>
                    </w:rPr>
                  </w:pPr>
                  <w:r>
                    <w:rPr>
                      <w:color w:val="auto"/>
                    </w:rPr>
                    <w:t>昼间</w:t>
                  </w:r>
                </w:p>
              </w:tc>
              <w:tc>
                <w:tcPr>
                  <w:tcW w:w="752" w:type="pct"/>
                  <w:tcBorders>
                    <w:tl2br w:val="nil"/>
                    <w:tr2bl w:val="nil"/>
                  </w:tcBorders>
                  <w:vAlign w:val="center"/>
                </w:tcPr>
                <w:p w14:paraId="68ABA121">
                  <w:pPr>
                    <w:pStyle w:val="30"/>
                    <w:rPr>
                      <w:color w:val="auto"/>
                    </w:rPr>
                  </w:pPr>
                  <w:r>
                    <w:rPr>
                      <w:color w:val="auto"/>
                    </w:rPr>
                    <w:t>夜间</w:t>
                  </w:r>
                </w:p>
              </w:tc>
            </w:tr>
            <w:tr w14:paraId="114EE9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5" w:type="pct"/>
                  <w:tcBorders>
                    <w:tl2br w:val="nil"/>
                    <w:tr2bl w:val="nil"/>
                  </w:tcBorders>
                  <w:vAlign w:val="center"/>
                </w:tcPr>
                <w:p w14:paraId="1D68A4E2">
                  <w:pPr>
                    <w:pStyle w:val="30"/>
                    <w:rPr>
                      <w:rFonts w:hint="default" w:eastAsia="宋体"/>
                      <w:color w:val="auto"/>
                      <w:lang w:val="en-US" w:eastAsia="zh-CN"/>
                    </w:rPr>
                  </w:pPr>
                  <w:r>
                    <w:rPr>
                      <w:color w:val="auto"/>
                    </w:rPr>
                    <w:t>站前小区临路第一排建筑物窗外1m</w:t>
                  </w:r>
                  <w:r>
                    <w:rPr>
                      <w:rFonts w:hint="eastAsia"/>
                      <w:color w:val="auto"/>
                    </w:rPr>
                    <w:t xml:space="preserve"> #1</w:t>
                  </w:r>
                  <w:r>
                    <w:rPr>
                      <w:rFonts w:hint="eastAsia"/>
                      <w:color w:val="auto"/>
                      <w:lang w:val="en-US" w:eastAsia="zh-CN"/>
                    </w:rPr>
                    <w:t>有铁路运行</w:t>
                  </w:r>
                </w:p>
              </w:tc>
              <w:tc>
                <w:tcPr>
                  <w:tcW w:w="507" w:type="pct"/>
                  <w:tcBorders>
                    <w:tl2br w:val="nil"/>
                    <w:tr2bl w:val="nil"/>
                  </w:tcBorders>
                  <w:vAlign w:val="center"/>
                </w:tcPr>
                <w:p w14:paraId="528A2474">
                  <w:pPr>
                    <w:pStyle w:val="30"/>
                    <w:rPr>
                      <w:rFonts w:hint="eastAsia" w:eastAsia="宋体"/>
                      <w:color w:val="auto"/>
                      <w:lang w:eastAsia="zh-CN"/>
                    </w:rPr>
                  </w:pPr>
                  <w:r>
                    <w:rPr>
                      <w:rFonts w:hint="eastAsia"/>
                      <w:color w:val="auto"/>
                      <w:lang w:val="en-US" w:eastAsia="zh-CN"/>
                    </w:rPr>
                    <w:t>/</w:t>
                  </w:r>
                </w:p>
              </w:tc>
              <w:tc>
                <w:tcPr>
                  <w:tcW w:w="487" w:type="pct"/>
                  <w:tcBorders>
                    <w:tl2br w:val="nil"/>
                    <w:tr2bl w:val="nil"/>
                  </w:tcBorders>
                  <w:vAlign w:val="center"/>
                </w:tcPr>
                <w:p w14:paraId="18A55261">
                  <w:pPr>
                    <w:pStyle w:val="30"/>
                    <w:rPr>
                      <w:rFonts w:hint="eastAsia" w:eastAsia="宋体"/>
                      <w:color w:val="auto"/>
                      <w:lang w:eastAsia="zh-CN"/>
                    </w:rPr>
                  </w:pPr>
                  <w:r>
                    <w:rPr>
                      <w:rFonts w:hint="eastAsia"/>
                      <w:color w:val="auto"/>
                      <w:lang w:val="en-US" w:eastAsia="zh-CN"/>
                    </w:rPr>
                    <w:t>/</w:t>
                  </w:r>
                </w:p>
              </w:tc>
              <w:tc>
                <w:tcPr>
                  <w:tcW w:w="576" w:type="pct"/>
                  <w:tcBorders>
                    <w:tl2br w:val="nil"/>
                    <w:tr2bl w:val="nil"/>
                  </w:tcBorders>
                  <w:vAlign w:val="center"/>
                </w:tcPr>
                <w:p w14:paraId="19561DB8">
                  <w:pPr>
                    <w:pStyle w:val="30"/>
                    <w:rPr>
                      <w:rFonts w:hint="default" w:eastAsia="宋体"/>
                      <w:color w:val="auto"/>
                      <w:lang w:val="en-US" w:eastAsia="zh-CN"/>
                    </w:rPr>
                  </w:pPr>
                  <w:r>
                    <w:rPr>
                      <w:rFonts w:hint="eastAsia"/>
                      <w:color w:val="auto"/>
                      <w:lang w:val="en-US" w:eastAsia="zh-CN"/>
                    </w:rPr>
                    <w:t>55</w:t>
                  </w:r>
                </w:p>
              </w:tc>
              <w:tc>
                <w:tcPr>
                  <w:tcW w:w="752" w:type="pct"/>
                  <w:tcBorders>
                    <w:tl2br w:val="nil"/>
                    <w:tr2bl w:val="nil"/>
                  </w:tcBorders>
                  <w:vAlign w:val="center"/>
                </w:tcPr>
                <w:p w14:paraId="17BEE474">
                  <w:pPr>
                    <w:pStyle w:val="30"/>
                    <w:rPr>
                      <w:rFonts w:hint="eastAsia" w:eastAsia="宋体"/>
                      <w:color w:val="auto"/>
                      <w:lang w:eastAsia="zh-CN"/>
                    </w:rPr>
                  </w:pPr>
                  <w:r>
                    <w:rPr>
                      <w:rFonts w:hint="eastAsia"/>
                      <w:color w:val="auto"/>
                      <w:lang w:val="en-US" w:eastAsia="zh-CN"/>
                    </w:rPr>
                    <w:t>/</w:t>
                  </w:r>
                </w:p>
              </w:tc>
            </w:tr>
            <w:tr w14:paraId="38466D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5" w:type="pct"/>
                  <w:tcBorders>
                    <w:tl2br w:val="nil"/>
                    <w:tr2bl w:val="nil"/>
                  </w:tcBorders>
                  <w:vAlign w:val="center"/>
                </w:tcPr>
                <w:p w14:paraId="0D11C434">
                  <w:pPr>
                    <w:pStyle w:val="30"/>
                    <w:rPr>
                      <w:color w:val="auto"/>
                    </w:rPr>
                  </w:pPr>
                  <w:r>
                    <w:rPr>
                      <w:color w:val="auto"/>
                    </w:rPr>
                    <w:t>站前小区临路第一排建筑物窗外1m</w:t>
                  </w:r>
                  <w:r>
                    <w:rPr>
                      <w:rFonts w:hint="eastAsia"/>
                      <w:color w:val="auto"/>
                    </w:rPr>
                    <w:t xml:space="preserve"> #1</w:t>
                  </w:r>
                  <w:r>
                    <w:rPr>
                      <w:rFonts w:hint="eastAsia"/>
                      <w:color w:val="auto"/>
                      <w:lang w:val="en-US" w:eastAsia="zh-CN"/>
                    </w:rPr>
                    <w:t>无铁路运行</w:t>
                  </w:r>
                </w:p>
              </w:tc>
              <w:tc>
                <w:tcPr>
                  <w:tcW w:w="507" w:type="pct"/>
                  <w:tcBorders>
                    <w:tl2br w:val="nil"/>
                    <w:tr2bl w:val="nil"/>
                  </w:tcBorders>
                  <w:vAlign w:val="center"/>
                </w:tcPr>
                <w:p w14:paraId="7AE860E6">
                  <w:pPr>
                    <w:pStyle w:val="30"/>
                    <w:rPr>
                      <w:rFonts w:hint="default" w:eastAsia="宋体"/>
                      <w:color w:val="auto"/>
                      <w:lang w:val="en-US" w:eastAsia="zh-CN"/>
                    </w:rPr>
                  </w:pPr>
                  <w:r>
                    <w:rPr>
                      <w:rFonts w:hint="eastAsia"/>
                      <w:color w:val="auto"/>
                      <w:lang w:val="en-US" w:eastAsia="zh-CN"/>
                    </w:rPr>
                    <w:t>47</w:t>
                  </w:r>
                </w:p>
              </w:tc>
              <w:tc>
                <w:tcPr>
                  <w:tcW w:w="487" w:type="pct"/>
                  <w:tcBorders>
                    <w:tl2br w:val="nil"/>
                    <w:tr2bl w:val="nil"/>
                  </w:tcBorders>
                  <w:vAlign w:val="center"/>
                </w:tcPr>
                <w:p w14:paraId="5D6FD997">
                  <w:pPr>
                    <w:pStyle w:val="30"/>
                    <w:rPr>
                      <w:rFonts w:hint="default" w:eastAsia="宋体"/>
                      <w:color w:val="auto"/>
                      <w:lang w:val="en-US" w:eastAsia="zh-CN"/>
                    </w:rPr>
                  </w:pPr>
                  <w:r>
                    <w:rPr>
                      <w:rFonts w:hint="eastAsia"/>
                      <w:color w:val="auto"/>
                      <w:lang w:val="en-US" w:eastAsia="zh-CN"/>
                    </w:rPr>
                    <w:t>42</w:t>
                  </w:r>
                </w:p>
              </w:tc>
              <w:tc>
                <w:tcPr>
                  <w:tcW w:w="576" w:type="pct"/>
                  <w:tcBorders>
                    <w:tl2br w:val="nil"/>
                    <w:tr2bl w:val="nil"/>
                  </w:tcBorders>
                  <w:vAlign w:val="center"/>
                </w:tcPr>
                <w:p w14:paraId="61817C42">
                  <w:pPr>
                    <w:pStyle w:val="30"/>
                    <w:rPr>
                      <w:rFonts w:hint="default" w:eastAsia="宋体"/>
                      <w:color w:val="auto"/>
                      <w:lang w:val="en-US" w:eastAsia="zh-CN"/>
                    </w:rPr>
                  </w:pPr>
                  <w:r>
                    <w:rPr>
                      <w:rFonts w:hint="eastAsia"/>
                      <w:color w:val="auto"/>
                      <w:lang w:val="en-US" w:eastAsia="zh-CN"/>
                    </w:rPr>
                    <w:t>49</w:t>
                  </w:r>
                </w:p>
              </w:tc>
              <w:tc>
                <w:tcPr>
                  <w:tcW w:w="752" w:type="pct"/>
                  <w:tcBorders>
                    <w:tl2br w:val="nil"/>
                    <w:tr2bl w:val="nil"/>
                  </w:tcBorders>
                  <w:vAlign w:val="center"/>
                </w:tcPr>
                <w:p w14:paraId="72AF7058">
                  <w:pPr>
                    <w:pStyle w:val="30"/>
                    <w:rPr>
                      <w:rFonts w:hint="default" w:eastAsia="宋体"/>
                      <w:color w:val="auto"/>
                      <w:lang w:val="en-US" w:eastAsia="zh-CN"/>
                    </w:rPr>
                  </w:pPr>
                  <w:r>
                    <w:rPr>
                      <w:rFonts w:hint="eastAsia"/>
                      <w:color w:val="auto"/>
                      <w:lang w:val="en-US" w:eastAsia="zh-CN"/>
                    </w:rPr>
                    <w:t>44</w:t>
                  </w:r>
                </w:p>
              </w:tc>
            </w:tr>
            <w:tr w14:paraId="28D5F9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5" w:type="pct"/>
                  <w:tcBorders>
                    <w:tl2br w:val="nil"/>
                    <w:tr2bl w:val="nil"/>
                  </w:tcBorders>
                  <w:vAlign w:val="center"/>
                </w:tcPr>
                <w:p w14:paraId="1B73836D">
                  <w:pPr>
                    <w:pStyle w:val="30"/>
                    <w:rPr>
                      <w:color w:val="auto"/>
                    </w:rPr>
                  </w:pPr>
                  <w:r>
                    <w:rPr>
                      <w:color w:val="auto"/>
                    </w:rPr>
                    <w:t>铁路西侧200m处农田#</w:t>
                  </w:r>
                  <w:r>
                    <w:rPr>
                      <w:rFonts w:hint="eastAsia"/>
                      <w:color w:val="auto"/>
                    </w:rPr>
                    <w:t>2</w:t>
                  </w:r>
                </w:p>
              </w:tc>
              <w:tc>
                <w:tcPr>
                  <w:tcW w:w="507" w:type="pct"/>
                  <w:tcBorders>
                    <w:tl2br w:val="nil"/>
                    <w:tr2bl w:val="nil"/>
                  </w:tcBorders>
                  <w:vAlign w:val="center"/>
                </w:tcPr>
                <w:p w14:paraId="3985B162">
                  <w:pPr>
                    <w:pStyle w:val="30"/>
                    <w:rPr>
                      <w:color w:val="auto"/>
                    </w:rPr>
                  </w:pPr>
                  <w:r>
                    <w:rPr>
                      <w:rFonts w:hint="eastAsia"/>
                      <w:color w:val="auto"/>
                    </w:rPr>
                    <w:t>49</w:t>
                  </w:r>
                </w:p>
              </w:tc>
              <w:tc>
                <w:tcPr>
                  <w:tcW w:w="487" w:type="pct"/>
                  <w:tcBorders>
                    <w:tl2br w:val="nil"/>
                    <w:tr2bl w:val="nil"/>
                  </w:tcBorders>
                  <w:vAlign w:val="center"/>
                </w:tcPr>
                <w:p w14:paraId="58F2CCB3">
                  <w:pPr>
                    <w:pStyle w:val="30"/>
                    <w:rPr>
                      <w:color w:val="auto"/>
                    </w:rPr>
                  </w:pPr>
                  <w:r>
                    <w:rPr>
                      <w:rFonts w:hint="eastAsia"/>
                      <w:color w:val="auto"/>
                    </w:rPr>
                    <w:t>44</w:t>
                  </w:r>
                </w:p>
              </w:tc>
              <w:tc>
                <w:tcPr>
                  <w:tcW w:w="576" w:type="pct"/>
                  <w:tcBorders>
                    <w:tl2br w:val="nil"/>
                    <w:tr2bl w:val="nil"/>
                  </w:tcBorders>
                  <w:vAlign w:val="center"/>
                </w:tcPr>
                <w:p w14:paraId="75A3CF88">
                  <w:pPr>
                    <w:pStyle w:val="30"/>
                    <w:rPr>
                      <w:color w:val="auto"/>
                    </w:rPr>
                  </w:pPr>
                  <w:r>
                    <w:rPr>
                      <w:rFonts w:hint="eastAsia"/>
                      <w:color w:val="auto"/>
                    </w:rPr>
                    <w:t>46</w:t>
                  </w:r>
                </w:p>
              </w:tc>
              <w:tc>
                <w:tcPr>
                  <w:tcW w:w="752" w:type="pct"/>
                  <w:tcBorders>
                    <w:tl2br w:val="nil"/>
                    <w:tr2bl w:val="nil"/>
                  </w:tcBorders>
                  <w:vAlign w:val="center"/>
                </w:tcPr>
                <w:p w14:paraId="285D92D0">
                  <w:pPr>
                    <w:pStyle w:val="30"/>
                    <w:rPr>
                      <w:color w:val="auto"/>
                    </w:rPr>
                  </w:pPr>
                  <w:r>
                    <w:rPr>
                      <w:rFonts w:hint="eastAsia"/>
                      <w:color w:val="auto"/>
                    </w:rPr>
                    <w:t>40</w:t>
                  </w:r>
                </w:p>
              </w:tc>
            </w:tr>
            <w:tr w14:paraId="46160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5" w:type="pct"/>
                  <w:tcBorders>
                    <w:tl2br w:val="nil"/>
                    <w:tr2bl w:val="nil"/>
                  </w:tcBorders>
                  <w:vAlign w:val="center"/>
                </w:tcPr>
                <w:p w14:paraId="33D259DB">
                  <w:pPr>
                    <w:pStyle w:val="30"/>
                    <w:rPr>
                      <w:color w:val="auto"/>
                    </w:rPr>
                  </w:pPr>
                  <w:r>
                    <w:rPr>
                      <w:rFonts w:hint="eastAsia"/>
                      <w:color w:val="auto"/>
                    </w:rPr>
                    <w:t>铁路通车背景值铁路外轨中心线30m处#3</w:t>
                  </w:r>
                </w:p>
              </w:tc>
              <w:tc>
                <w:tcPr>
                  <w:tcW w:w="507" w:type="pct"/>
                  <w:tcBorders>
                    <w:tl2br w:val="nil"/>
                    <w:tr2bl w:val="nil"/>
                  </w:tcBorders>
                  <w:vAlign w:val="center"/>
                </w:tcPr>
                <w:p w14:paraId="27CDE7AC">
                  <w:pPr>
                    <w:pStyle w:val="30"/>
                    <w:rPr>
                      <w:rFonts w:hint="eastAsia" w:eastAsia="宋体"/>
                      <w:color w:val="auto"/>
                      <w:lang w:eastAsia="zh-CN"/>
                    </w:rPr>
                  </w:pPr>
                  <w:r>
                    <w:rPr>
                      <w:rFonts w:hint="eastAsia"/>
                      <w:color w:val="auto"/>
                      <w:lang w:val="en-US" w:eastAsia="zh-CN"/>
                    </w:rPr>
                    <w:t>/</w:t>
                  </w:r>
                </w:p>
              </w:tc>
              <w:tc>
                <w:tcPr>
                  <w:tcW w:w="487" w:type="pct"/>
                  <w:tcBorders>
                    <w:tl2br w:val="nil"/>
                    <w:tr2bl w:val="nil"/>
                  </w:tcBorders>
                  <w:vAlign w:val="center"/>
                </w:tcPr>
                <w:p w14:paraId="213D8568">
                  <w:pPr>
                    <w:pStyle w:val="30"/>
                    <w:rPr>
                      <w:rFonts w:hint="eastAsia" w:eastAsia="宋体"/>
                      <w:color w:val="auto"/>
                      <w:lang w:eastAsia="zh-CN"/>
                    </w:rPr>
                  </w:pPr>
                  <w:r>
                    <w:rPr>
                      <w:rFonts w:hint="eastAsia"/>
                      <w:color w:val="auto"/>
                      <w:lang w:val="en-US" w:eastAsia="zh-CN"/>
                    </w:rPr>
                    <w:t>/</w:t>
                  </w:r>
                </w:p>
              </w:tc>
              <w:tc>
                <w:tcPr>
                  <w:tcW w:w="576" w:type="pct"/>
                  <w:tcBorders>
                    <w:tl2br w:val="nil"/>
                    <w:tr2bl w:val="nil"/>
                  </w:tcBorders>
                  <w:vAlign w:val="center"/>
                </w:tcPr>
                <w:p w14:paraId="5033AB0A">
                  <w:pPr>
                    <w:pStyle w:val="30"/>
                    <w:rPr>
                      <w:color w:val="auto"/>
                    </w:rPr>
                  </w:pPr>
                  <w:r>
                    <w:rPr>
                      <w:rFonts w:hint="eastAsia"/>
                      <w:color w:val="auto"/>
                    </w:rPr>
                    <w:t>54</w:t>
                  </w:r>
                </w:p>
              </w:tc>
              <w:tc>
                <w:tcPr>
                  <w:tcW w:w="752" w:type="pct"/>
                  <w:tcBorders>
                    <w:tl2br w:val="nil"/>
                    <w:tr2bl w:val="nil"/>
                  </w:tcBorders>
                  <w:vAlign w:val="center"/>
                </w:tcPr>
                <w:p w14:paraId="69358AAD">
                  <w:pPr>
                    <w:pStyle w:val="30"/>
                    <w:rPr>
                      <w:rFonts w:hint="eastAsia" w:eastAsia="宋体"/>
                      <w:color w:val="auto"/>
                      <w:lang w:eastAsia="zh-CN"/>
                    </w:rPr>
                  </w:pPr>
                  <w:r>
                    <w:rPr>
                      <w:rFonts w:hint="eastAsia"/>
                      <w:color w:val="auto"/>
                      <w:lang w:val="en-US" w:eastAsia="zh-CN"/>
                    </w:rPr>
                    <w:t>/</w:t>
                  </w:r>
                </w:p>
              </w:tc>
            </w:tr>
            <w:tr w14:paraId="58E46A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5" w:type="pct"/>
                  <w:tcBorders>
                    <w:tl2br w:val="nil"/>
                    <w:tr2bl w:val="nil"/>
                  </w:tcBorders>
                  <w:vAlign w:val="center"/>
                </w:tcPr>
                <w:p w14:paraId="56DEFC4F">
                  <w:pPr>
                    <w:pStyle w:val="30"/>
                    <w:rPr>
                      <w:color w:val="auto"/>
                    </w:rPr>
                  </w:pPr>
                  <w:r>
                    <w:rPr>
                      <w:rFonts w:hint="eastAsia"/>
                      <w:color w:val="auto"/>
                    </w:rPr>
                    <w:t>铁路无车背景值铁路外轨中心线30m处#3</w:t>
                  </w:r>
                </w:p>
              </w:tc>
              <w:tc>
                <w:tcPr>
                  <w:tcW w:w="507" w:type="pct"/>
                  <w:tcBorders>
                    <w:tl2br w:val="nil"/>
                    <w:tr2bl w:val="nil"/>
                  </w:tcBorders>
                  <w:vAlign w:val="center"/>
                </w:tcPr>
                <w:p w14:paraId="43823F3C">
                  <w:pPr>
                    <w:pStyle w:val="30"/>
                    <w:rPr>
                      <w:color w:val="auto"/>
                    </w:rPr>
                  </w:pPr>
                  <w:r>
                    <w:rPr>
                      <w:rFonts w:hint="eastAsia"/>
                      <w:color w:val="auto"/>
                    </w:rPr>
                    <w:t>46</w:t>
                  </w:r>
                </w:p>
              </w:tc>
              <w:tc>
                <w:tcPr>
                  <w:tcW w:w="487" w:type="pct"/>
                  <w:tcBorders>
                    <w:tl2br w:val="nil"/>
                    <w:tr2bl w:val="nil"/>
                  </w:tcBorders>
                  <w:vAlign w:val="center"/>
                </w:tcPr>
                <w:p w14:paraId="76C0C725">
                  <w:pPr>
                    <w:pStyle w:val="30"/>
                    <w:rPr>
                      <w:color w:val="auto"/>
                    </w:rPr>
                  </w:pPr>
                  <w:r>
                    <w:rPr>
                      <w:rFonts w:hint="eastAsia"/>
                      <w:color w:val="auto"/>
                    </w:rPr>
                    <w:t>44</w:t>
                  </w:r>
                </w:p>
              </w:tc>
              <w:tc>
                <w:tcPr>
                  <w:tcW w:w="576" w:type="pct"/>
                  <w:tcBorders>
                    <w:tl2br w:val="nil"/>
                    <w:tr2bl w:val="nil"/>
                  </w:tcBorders>
                  <w:vAlign w:val="center"/>
                </w:tcPr>
                <w:p w14:paraId="5CA4DB4A">
                  <w:pPr>
                    <w:pStyle w:val="30"/>
                    <w:rPr>
                      <w:color w:val="auto"/>
                    </w:rPr>
                  </w:pPr>
                  <w:r>
                    <w:rPr>
                      <w:rFonts w:hint="eastAsia"/>
                      <w:color w:val="auto"/>
                    </w:rPr>
                    <w:t>47</w:t>
                  </w:r>
                </w:p>
              </w:tc>
              <w:tc>
                <w:tcPr>
                  <w:tcW w:w="752" w:type="pct"/>
                  <w:tcBorders>
                    <w:tl2br w:val="nil"/>
                    <w:tr2bl w:val="nil"/>
                  </w:tcBorders>
                  <w:vAlign w:val="center"/>
                </w:tcPr>
                <w:p w14:paraId="3B7D81AC">
                  <w:pPr>
                    <w:pStyle w:val="30"/>
                    <w:rPr>
                      <w:color w:val="auto"/>
                    </w:rPr>
                  </w:pPr>
                  <w:r>
                    <w:rPr>
                      <w:rFonts w:hint="eastAsia"/>
                      <w:color w:val="auto"/>
                    </w:rPr>
                    <w:t>42</w:t>
                  </w:r>
                </w:p>
              </w:tc>
            </w:tr>
          </w:tbl>
          <w:p w14:paraId="4DD72B49">
            <w:pPr>
              <w:ind w:firstLine="480"/>
              <w:rPr>
                <w:rFonts w:hint="default" w:eastAsia="宋体"/>
                <w:lang w:val="en-US" w:eastAsia="zh-CN"/>
              </w:rPr>
            </w:pPr>
            <w:r>
              <w:rPr>
                <w:rFonts w:hint="eastAsia"/>
                <w:sz w:val="21"/>
                <w:szCs w:val="21"/>
                <w:lang w:val="en-US" w:eastAsia="zh-CN"/>
              </w:rPr>
              <w:t>备注：“/”代表无火车通过</w:t>
            </w:r>
          </w:p>
          <w:p w14:paraId="33B1DC23">
            <w:pPr>
              <w:ind w:firstLine="480"/>
              <w:rPr>
                <w:color w:val="0000FF"/>
                <w:highlight w:val="none"/>
              </w:rPr>
            </w:pPr>
          </w:p>
          <w:p w14:paraId="52A4677C">
            <w:pPr>
              <w:ind w:firstLine="480"/>
              <w:rPr>
                <w:rFonts w:hint="default" w:eastAsia="宋体"/>
                <w:color w:val="auto"/>
                <w:highlight w:val="none"/>
                <w:lang w:val="en-US" w:eastAsia="zh-CN"/>
              </w:rPr>
            </w:pPr>
            <w:r>
              <w:rPr>
                <w:rFonts w:hint="eastAsia"/>
                <w:color w:val="auto"/>
                <w:highlight w:val="none"/>
                <w:lang w:val="en-US" w:eastAsia="zh-CN"/>
              </w:rPr>
              <w:t>既有铁路现阶段每个月运行6-7次，连续两天监测21日监测到一列车通过。</w:t>
            </w:r>
            <w:r>
              <w:rPr>
                <w:color w:val="0000FF"/>
                <w:highlight w:val="none"/>
              </w:rPr>
              <w:t>根据监测结果，</w:t>
            </w:r>
            <w:r>
              <w:rPr>
                <w:rFonts w:hint="eastAsia"/>
                <w:color w:val="0000FF"/>
                <w:highlight w:val="none"/>
              </w:rPr>
              <w:t>既有铁路</w:t>
            </w:r>
            <w:r>
              <w:rPr>
                <w:color w:val="0000FF"/>
                <w:highlight w:val="none"/>
              </w:rPr>
              <w:t>敏感点站前小区</w:t>
            </w:r>
            <w:r>
              <w:rPr>
                <w:rFonts w:hint="eastAsia"/>
                <w:color w:val="0000FF"/>
                <w:highlight w:val="none"/>
              </w:rPr>
              <w:t>在有无铁路通车时</w:t>
            </w:r>
            <w:r>
              <w:rPr>
                <w:color w:val="0000FF"/>
                <w:highlight w:val="none"/>
              </w:rPr>
              <w:t>昼间</w:t>
            </w:r>
            <w:r>
              <w:rPr>
                <w:rFonts w:hint="eastAsia"/>
                <w:color w:val="0000FF"/>
                <w:highlight w:val="none"/>
              </w:rPr>
              <w:t>、夜间噪声值</w:t>
            </w:r>
            <w:r>
              <w:rPr>
                <w:color w:val="0000FF"/>
                <w:highlight w:val="none"/>
              </w:rPr>
              <w:t>均满足《声环境质量标准》（GB3096-2008）</w:t>
            </w:r>
            <w:r>
              <w:rPr>
                <w:rFonts w:hint="eastAsia"/>
                <w:color w:val="0000FF"/>
                <w:highlight w:val="none"/>
              </w:rPr>
              <w:t>2</w:t>
            </w:r>
            <w:r>
              <w:rPr>
                <w:color w:val="0000FF"/>
                <w:highlight w:val="none"/>
              </w:rPr>
              <w:t>类标准；</w:t>
            </w:r>
            <w:r>
              <w:rPr>
                <w:rFonts w:hint="eastAsia"/>
                <w:color w:val="auto"/>
                <w:highlight w:val="none"/>
              </w:rPr>
              <w:t>铁路通车背景值铁路外轨中心线30m处#3</w:t>
            </w:r>
            <w:r>
              <w:rPr>
                <w:color w:val="auto"/>
                <w:highlight w:val="none"/>
              </w:rPr>
              <w:t>昼间噪声值满足</w:t>
            </w:r>
            <w:r>
              <w:rPr>
                <w:rFonts w:hint="eastAsia"/>
                <w:color w:val="auto"/>
                <w:highlight w:val="none"/>
              </w:rPr>
              <w:t>《铁路边界噪声限值及其测量方法》（GB12525-90）（2008修正）既有铁路边界70/70标准，铁路无车背景值铁路外轨中心线30m处#3昼间、夜间噪声值均满足《声环境质量标准》（GB3096-2008）2类标准。</w:t>
            </w:r>
          </w:p>
          <w:p w14:paraId="0822E355">
            <w:pPr>
              <w:ind w:firstLine="480"/>
            </w:pPr>
            <w:r>
              <w:rPr>
                <w:rFonts w:hint="eastAsia"/>
                <w:highlight w:val="none"/>
              </w:rPr>
              <w:t>本项目沿线声环境现状噪声值分为有列车运行时和无列车运行时两种情况，分别选取2天监测中噪声值的最大值的作为现状噪声，预测计算过程中采用的现状噪声值具体见表3-3。</w:t>
            </w:r>
          </w:p>
          <w:p w14:paraId="3D77DAD8">
            <w:pPr>
              <w:ind w:firstLine="482"/>
              <w:rPr>
                <w:b/>
                <w:bCs/>
              </w:rPr>
            </w:pPr>
            <w:r>
              <w:rPr>
                <w:rFonts w:hint="eastAsia"/>
                <w:b/>
                <w:bCs/>
              </w:rPr>
              <w:t>6、振动环境质量现状</w:t>
            </w:r>
          </w:p>
          <w:p w14:paraId="3A135554">
            <w:pPr>
              <w:ind w:firstLine="480"/>
              <w:rPr>
                <w:color w:val="auto"/>
              </w:rPr>
            </w:pPr>
            <w:r>
              <w:rPr>
                <w:rFonts w:hint="eastAsia"/>
                <w:color w:val="auto"/>
              </w:rPr>
              <w:t>（1）监测方法</w:t>
            </w:r>
          </w:p>
          <w:p w14:paraId="12BD4E96">
            <w:pPr>
              <w:ind w:firstLine="480"/>
              <w:rPr>
                <w:color w:val="auto"/>
              </w:rPr>
            </w:pPr>
            <w:r>
              <w:rPr>
                <w:color w:val="auto"/>
              </w:rPr>
              <w:t>环境振动现状的测量量为铅垂向Z振级。测量时间选择在昼间6:00～22:00、夜间22:00～次日6:00的代表性时段内进行，昼、夜间各测量一次。测量方法和评价量遵照《城市区域环境振动测量方法》（GB/T10071-88）中的铁路振动及无规振动进行。</w:t>
            </w:r>
          </w:p>
          <w:p w14:paraId="037C8685">
            <w:pPr>
              <w:ind w:firstLine="480"/>
              <w:rPr>
                <w:color w:val="auto"/>
              </w:rPr>
            </w:pPr>
            <w:r>
              <w:rPr>
                <w:rFonts w:hint="eastAsia"/>
                <w:color w:val="auto"/>
              </w:rPr>
              <w:t>（2）监测仪器</w:t>
            </w:r>
          </w:p>
          <w:p w14:paraId="5B414E5E">
            <w:pPr>
              <w:ind w:firstLine="480"/>
              <w:rPr>
                <w:color w:val="auto"/>
              </w:rPr>
            </w:pPr>
            <w:r>
              <w:rPr>
                <w:color w:val="auto"/>
              </w:rPr>
              <w:t>环境振动分析仪AWA6256B+</w:t>
            </w:r>
          </w:p>
          <w:p w14:paraId="736852DF">
            <w:pPr>
              <w:ind w:firstLine="480"/>
              <w:rPr>
                <w:color w:val="auto"/>
              </w:rPr>
            </w:pPr>
            <w:r>
              <w:rPr>
                <w:color w:val="auto"/>
              </w:rPr>
              <w:t>（</w:t>
            </w:r>
            <w:r>
              <w:rPr>
                <w:rFonts w:hint="eastAsia"/>
                <w:color w:val="auto"/>
              </w:rPr>
              <w:t>3</w:t>
            </w:r>
            <w:r>
              <w:rPr>
                <w:color w:val="auto"/>
              </w:rPr>
              <w:t>）监测点位</w:t>
            </w:r>
          </w:p>
          <w:p w14:paraId="04403658">
            <w:pPr>
              <w:ind w:firstLine="480"/>
              <w:rPr>
                <w:color w:val="auto"/>
              </w:rPr>
            </w:pPr>
            <w:r>
              <w:rPr>
                <w:color w:val="auto"/>
              </w:rPr>
              <w:t>本次振动评价结合工程特点，选择距离线路较近</w:t>
            </w:r>
            <w:r>
              <w:rPr>
                <w:rFonts w:hint="eastAsia"/>
                <w:color w:val="auto"/>
              </w:rPr>
              <w:t>外轨中心线外30m处</w:t>
            </w:r>
            <w:r>
              <w:rPr>
                <w:color w:val="auto"/>
              </w:rPr>
              <w:t>布设监测点，并将其作为本次评价的重点。</w:t>
            </w:r>
          </w:p>
          <w:p w14:paraId="2E716EDD">
            <w:pPr>
              <w:pStyle w:val="33"/>
              <w:rPr>
                <w:color w:val="auto"/>
              </w:rPr>
            </w:pPr>
            <w:r>
              <w:rPr>
                <w:rFonts w:hint="eastAsia"/>
                <w:color w:val="auto"/>
              </w:rPr>
              <w:t>表3-4 振动监测点位表</w:t>
            </w:r>
          </w:p>
          <w:tbl>
            <w:tblPr>
              <w:tblStyle w:val="25"/>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083"/>
              <w:gridCol w:w="6777"/>
            </w:tblGrid>
            <w:tr w14:paraId="428E208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45" w:hRule="atLeast"/>
              </w:trPr>
              <w:tc>
                <w:tcPr>
                  <w:tcW w:w="689" w:type="pct"/>
                  <w:tcBorders>
                    <w:top w:val="single" w:color="000000" w:sz="12" w:space="0"/>
                    <w:left w:val="nil"/>
                  </w:tcBorders>
                  <w:vAlign w:val="center"/>
                </w:tcPr>
                <w:p w14:paraId="50B6E428">
                  <w:pPr>
                    <w:pStyle w:val="30"/>
                    <w:rPr>
                      <w:color w:val="auto"/>
                    </w:rPr>
                  </w:pPr>
                  <w:r>
                    <w:rPr>
                      <w:rFonts w:hint="eastAsia"/>
                      <w:color w:val="auto"/>
                    </w:rPr>
                    <w:t>编号</w:t>
                  </w:r>
                </w:p>
              </w:tc>
              <w:tc>
                <w:tcPr>
                  <w:tcW w:w="4310" w:type="pct"/>
                  <w:tcBorders>
                    <w:top w:val="single" w:color="000000" w:sz="12" w:space="0"/>
                    <w:right w:val="nil"/>
                  </w:tcBorders>
                  <w:vAlign w:val="center"/>
                </w:tcPr>
                <w:p w14:paraId="135BC480">
                  <w:pPr>
                    <w:pStyle w:val="30"/>
                    <w:rPr>
                      <w:color w:val="auto"/>
                    </w:rPr>
                  </w:pPr>
                  <w:r>
                    <w:rPr>
                      <w:rFonts w:hint="eastAsia"/>
                      <w:color w:val="auto"/>
                    </w:rPr>
                    <w:t>监测点位置</w:t>
                  </w:r>
                </w:p>
              </w:tc>
            </w:tr>
            <w:tr w14:paraId="4A35261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5" w:hRule="atLeast"/>
              </w:trPr>
              <w:tc>
                <w:tcPr>
                  <w:tcW w:w="689" w:type="pct"/>
                  <w:tcBorders>
                    <w:left w:val="nil"/>
                  </w:tcBorders>
                  <w:vAlign w:val="center"/>
                </w:tcPr>
                <w:p w14:paraId="61833741">
                  <w:pPr>
                    <w:pStyle w:val="30"/>
                    <w:rPr>
                      <w:color w:val="auto"/>
                    </w:rPr>
                  </w:pPr>
                  <w:r>
                    <w:rPr>
                      <w:rFonts w:hint="eastAsia"/>
                      <w:color w:val="auto"/>
                    </w:rPr>
                    <w:t>1</w:t>
                  </w:r>
                </w:p>
              </w:tc>
              <w:tc>
                <w:tcPr>
                  <w:tcW w:w="4310" w:type="pct"/>
                  <w:tcBorders>
                    <w:right w:val="nil"/>
                  </w:tcBorders>
                  <w:vAlign w:val="center"/>
                </w:tcPr>
                <w:p w14:paraId="01EBB2C0">
                  <w:pPr>
                    <w:pStyle w:val="30"/>
                    <w:rPr>
                      <w:color w:val="auto"/>
                    </w:rPr>
                  </w:pPr>
                  <w:r>
                    <w:rPr>
                      <w:rFonts w:hint="eastAsia"/>
                      <w:color w:val="auto"/>
                    </w:rPr>
                    <w:t>铁路外轨中心线30m处#1</w:t>
                  </w:r>
                </w:p>
              </w:tc>
            </w:tr>
          </w:tbl>
          <w:p w14:paraId="740274D4">
            <w:pPr>
              <w:ind w:firstLine="480"/>
              <w:rPr>
                <w:color w:val="auto"/>
              </w:rPr>
            </w:pPr>
          </w:p>
          <w:p w14:paraId="1D48D643">
            <w:pPr>
              <w:ind w:firstLine="480"/>
              <w:rPr>
                <w:color w:val="auto"/>
              </w:rPr>
            </w:pPr>
            <w:r>
              <w:rPr>
                <w:rFonts w:hint="eastAsia"/>
                <w:color w:val="auto"/>
              </w:rPr>
              <w:t>（4）现状监测结果</w:t>
            </w:r>
          </w:p>
          <w:p w14:paraId="0E509BE3">
            <w:pPr>
              <w:ind w:firstLine="480"/>
              <w:rPr>
                <w:color w:val="auto"/>
              </w:rPr>
            </w:pPr>
            <w:r>
              <w:rPr>
                <w:color w:val="auto"/>
              </w:rPr>
              <w:t>本次振动监测时间为202</w:t>
            </w:r>
            <w:r>
              <w:rPr>
                <w:rFonts w:hint="eastAsia"/>
                <w:color w:val="auto"/>
              </w:rPr>
              <w:t>4</w:t>
            </w:r>
            <w:r>
              <w:rPr>
                <w:color w:val="auto"/>
              </w:rPr>
              <w:t>年</w:t>
            </w:r>
            <w:r>
              <w:rPr>
                <w:rFonts w:hint="eastAsia"/>
                <w:color w:val="auto"/>
              </w:rPr>
              <w:t>12</w:t>
            </w:r>
            <w:r>
              <w:rPr>
                <w:color w:val="auto"/>
              </w:rPr>
              <w:t>月2</w:t>
            </w:r>
            <w:r>
              <w:rPr>
                <w:rFonts w:hint="eastAsia"/>
                <w:color w:val="auto"/>
              </w:rPr>
              <w:t>0</w:t>
            </w:r>
            <w:r>
              <w:rPr>
                <w:color w:val="auto"/>
              </w:rPr>
              <w:t>日~2</w:t>
            </w:r>
            <w:r>
              <w:rPr>
                <w:rFonts w:hint="eastAsia"/>
                <w:color w:val="auto"/>
              </w:rPr>
              <w:t>1</w:t>
            </w:r>
            <w:r>
              <w:rPr>
                <w:color w:val="auto"/>
              </w:rPr>
              <w:t>日，监测结果见表</w:t>
            </w:r>
            <w:r>
              <w:rPr>
                <w:rFonts w:hint="eastAsia"/>
                <w:color w:val="auto"/>
              </w:rPr>
              <w:t>3-5</w:t>
            </w:r>
            <w:r>
              <w:rPr>
                <w:color w:val="auto"/>
              </w:rPr>
              <w:t>。</w:t>
            </w:r>
          </w:p>
          <w:p w14:paraId="45791B3F">
            <w:pPr>
              <w:pStyle w:val="33"/>
              <w:rPr>
                <w:color w:val="auto"/>
              </w:rPr>
            </w:pPr>
            <w:r>
              <w:rPr>
                <w:rFonts w:hint="eastAsia"/>
                <w:color w:val="auto"/>
              </w:rPr>
              <w:t>表3-5 环境振动监测结果</w:t>
            </w:r>
          </w:p>
          <w:tbl>
            <w:tblPr>
              <w:tblStyle w:val="25"/>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3098"/>
              <w:gridCol w:w="1189"/>
              <w:gridCol w:w="1189"/>
              <w:gridCol w:w="1189"/>
              <w:gridCol w:w="1195"/>
            </w:tblGrid>
            <w:tr w14:paraId="41628D4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0" w:hRule="atLeast"/>
              </w:trPr>
              <w:tc>
                <w:tcPr>
                  <w:tcW w:w="1971" w:type="pct"/>
                  <w:vMerge w:val="restart"/>
                  <w:tcBorders>
                    <w:top w:val="single" w:color="000000" w:sz="12" w:space="0"/>
                    <w:left w:val="nil"/>
                  </w:tcBorders>
                  <w:vAlign w:val="center"/>
                </w:tcPr>
                <w:p w14:paraId="52171A2D">
                  <w:pPr>
                    <w:pStyle w:val="30"/>
                    <w:rPr>
                      <w:color w:val="auto"/>
                    </w:rPr>
                  </w:pPr>
                  <w:r>
                    <w:rPr>
                      <w:rFonts w:hint="eastAsia"/>
                      <w:color w:val="auto"/>
                    </w:rPr>
                    <w:t>监测点位</w:t>
                  </w:r>
                </w:p>
              </w:tc>
              <w:tc>
                <w:tcPr>
                  <w:tcW w:w="3028" w:type="pct"/>
                  <w:gridSpan w:val="4"/>
                  <w:tcBorders>
                    <w:top w:val="single" w:color="000000" w:sz="12" w:space="0"/>
                    <w:bottom w:val="single" w:color="000000" w:sz="4" w:space="0"/>
                    <w:right w:val="nil"/>
                  </w:tcBorders>
                  <w:vAlign w:val="center"/>
                </w:tcPr>
                <w:p w14:paraId="5B540577">
                  <w:pPr>
                    <w:pStyle w:val="30"/>
                    <w:rPr>
                      <w:color w:val="auto"/>
                    </w:rPr>
                  </w:pPr>
                  <w:r>
                    <w:rPr>
                      <w:rFonts w:hint="eastAsia"/>
                      <w:color w:val="auto"/>
                    </w:rPr>
                    <w:t>监测结果</w:t>
                  </w:r>
                </w:p>
              </w:tc>
            </w:tr>
            <w:tr w14:paraId="6D1D0C3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0" w:hRule="atLeast"/>
              </w:trPr>
              <w:tc>
                <w:tcPr>
                  <w:tcW w:w="1971" w:type="pct"/>
                  <w:vMerge w:val="continue"/>
                  <w:tcBorders>
                    <w:left w:val="nil"/>
                    <w:right w:val="single" w:color="000000" w:sz="4" w:space="0"/>
                  </w:tcBorders>
                  <w:vAlign w:val="center"/>
                </w:tcPr>
                <w:p w14:paraId="7CD1ED72">
                  <w:pPr>
                    <w:pStyle w:val="30"/>
                    <w:rPr>
                      <w:color w:val="auto"/>
                    </w:rPr>
                  </w:pPr>
                </w:p>
              </w:tc>
              <w:tc>
                <w:tcPr>
                  <w:tcW w:w="1512" w:type="pct"/>
                  <w:gridSpan w:val="2"/>
                  <w:tcBorders>
                    <w:top w:val="single" w:color="000000" w:sz="4" w:space="0"/>
                    <w:left w:val="single" w:color="000000" w:sz="4" w:space="0"/>
                    <w:bottom w:val="single" w:color="000000" w:sz="4" w:space="0"/>
                    <w:right w:val="single" w:color="000000" w:sz="4" w:space="0"/>
                  </w:tcBorders>
                  <w:vAlign w:val="center"/>
                </w:tcPr>
                <w:p w14:paraId="1C8F31C4">
                  <w:pPr>
                    <w:pStyle w:val="30"/>
                    <w:rPr>
                      <w:color w:val="auto"/>
                    </w:rPr>
                  </w:pPr>
                  <w:r>
                    <w:rPr>
                      <w:rFonts w:hint="eastAsia"/>
                      <w:color w:val="auto"/>
                    </w:rPr>
                    <w:t>12月20日</w:t>
                  </w:r>
                </w:p>
              </w:tc>
              <w:tc>
                <w:tcPr>
                  <w:tcW w:w="1516" w:type="pct"/>
                  <w:gridSpan w:val="2"/>
                  <w:tcBorders>
                    <w:top w:val="single" w:color="000000" w:sz="4" w:space="0"/>
                    <w:left w:val="single" w:color="000000" w:sz="4" w:space="0"/>
                    <w:bottom w:val="single" w:color="000000" w:sz="4" w:space="0"/>
                    <w:right w:val="nil"/>
                  </w:tcBorders>
                  <w:vAlign w:val="center"/>
                </w:tcPr>
                <w:p w14:paraId="3C74EFB7">
                  <w:pPr>
                    <w:pStyle w:val="30"/>
                    <w:rPr>
                      <w:color w:val="auto"/>
                    </w:rPr>
                  </w:pPr>
                  <w:r>
                    <w:rPr>
                      <w:rFonts w:hint="eastAsia"/>
                      <w:color w:val="auto"/>
                    </w:rPr>
                    <w:t>12月21日</w:t>
                  </w:r>
                </w:p>
              </w:tc>
            </w:tr>
            <w:tr w14:paraId="5B489D9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0" w:hRule="atLeast"/>
              </w:trPr>
              <w:tc>
                <w:tcPr>
                  <w:tcW w:w="1971" w:type="pct"/>
                  <w:vMerge w:val="continue"/>
                  <w:tcBorders>
                    <w:left w:val="nil"/>
                    <w:right w:val="single" w:color="000000" w:sz="4" w:space="0"/>
                  </w:tcBorders>
                  <w:vAlign w:val="center"/>
                </w:tcPr>
                <w:p w14:paraId="0E6A2719">
                  <w:pPr>
                    <w:pStyle w:val="30"/>
                    <w:rPr>
                      <w:color w:val="auto"/>
                    </w:rPr>
                  </w:pPr>
                </w:p>
              </w:tc>
              <w:tc>
                <w:tcPr>
                  <w:tcW w:w="756" w:type="pct"/>
                  <w:tcBorders>
                    <w:top w:val="single" w:color="000000" w:sz="4" w:space="0"/>
                    <w:left w:val="single" w:color="000000" w:sz="4" w:space="0"/>
                    <w:bottom w:val="single" w:color="000000" w:sz="4" w:space="0"/>
                    <w:right w:val="single" w:color="000000" w:sz="4" w:space="0"/>
                  </w:tcBorders>
                  <w:vAlign w:val="center"/>
                </w:tcPr>
                <w:p w14:paraId="196A9578">
                  <w:pPr>
                    <w:pStyle w:val="30"/>
                    <w:rPr>
                      <w:color w:val="auto"/>
                    </w:rPr>
                  </w:pPr>
                  <w:r>
                    <w:rPr>
                      <w:rFonts w:hint="eastAsia"/>
                      <w:color w:val="auto"/>
                    </w:rPr>
                    <w:t>昼间</w:t>
                  </w:r>
                </w:p>
              </w:tc>
              <w:tc>
                <w:tcPr>
                  <w:tcW w:w="756" w:type="pct"/>
                  <w:tcBorders>
                    <w:top w:val="single" w:color="000000" w:sz="4" w:space="0"/>
                    <w:left w:val="single" w:color="000000" w:sz="4" w:space="0"/>
                    <w:bottom w:val="single" w:color="000000" w:sz="4" w:space="0"/>
                    <w:right w:val="single" w:color="000000" w:sz="4" w:space="0"/>
                  </w:tcBorders>
                  <w:vAlign w:val="center"/>
                </w:tcPr>
                <w:p w14:paraId="28F4D697">
                  <w:pPr>
                    <w:pStyle w:val="30"/>
                    <w:rPr>
                      <w:color w:val="auto"/>
                    </w:rPr>
                  </w:pPr>
                  <w:r>
                    <w:rPr>
                      <w:rFonts w:hint="eastAsia"/>
                      <w:color w:val="auto"/>
                    </w:rPr>
                    <w:t>夜间</w:t>
                  </w:r>
                </w:p>
              </w:tc>
              <w:tc>
                <w:tcPr>
                  <w:tcW w:w="756" w:type="pct"/>
                  <w:tcBorders>
                    <w:top w:val="single" w:color="000000" w:sz="4" w:space="0"/>
                    <w:left w:val="single" w:color="000000" w:sz="4" w:space="0"/>
                    <w:bottom w:val="single" w:color="000000" w:sz="4" w:space="0"/>
                    <w:right w:val="single" w:color="000000" w:sz="4" w:space="0"/>
                  </w:tcBorders>
                  <w:vAlign w:val="center"/>
                </w:tcPr>
                <w:p w14:paraId="53D928F5">
                  <w:pPr>
                    <w:pStyle w:val="30"/>
                    <w:rPr>
                      <w:color w:val="auto"/>
                    </w:rPr>
                  </w:pPr>
                  <w:r>
                    <w:rPr>
                      <w:rFonts w:hint="eastAsia"/>
                      <w:color w:val="auto"/>
                    </w:rPr>
                    <w:t>昼间</w:t>
                  </w:r>
                </w:p>
              </w:tc>
              <w:tc>
                <w:tcPr>
                  <w:tcW w:w="760" w:type="pct"/>
                  <w:tcBorders>
                    <w:top w:val="single" w:color="000000" w:sz="4" w:space="0"/>
                    <w:left w:val="single" w:color="000000" w:sz="4" w:space="0"/>
                    <w:bottom w:val="single" w:color="000000" w:sz="4" w:space="0"/>
                    <w:right w:val="nil"/>
                  </w:tcBorders>
                  <w:vAlign w:val="center"/>
                </w:tcPr>
                <w:p w14:paraId="4D05317E">
                  <w:pPr>
                    <w:pStyle w:val="30"/>
                    <w:rPr>
                      <w:color w:val="auto"/>
                    </w:rPr>
                  </w:pPr>
                  <w:r>
                    <w:rPr>
                      <w:rFonts w:hint="eastAsia"/>
                      <w:color w:val="auto"/>
                    </w:rPr>
                    <w:t>夜间</w:t>
                  </w:r>
                </w:p>
              </w:tc>
            </w:tr>
            <w:tr w14:paraId="392B1AD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5" w:hRule="atLeast"/>
              </w:trPr>
              <w:tc>
                <w:tcPr>
                  <w:tcW w:w="1971" w:type="pct"/>
                  <w:tcBorders>
                    <w:left w:val="nil"/>
                  </w:tcBorders>
                  <w:vAlign w:val="center"/>
                </w:tcPr>
                <w:p w14:paraId="0BD29C80">
                  <w:pPr>
                    <w:pStyle w:val="30"/>
                    <w:rPr>
                      <w:color w:val="auto"/>
                    </w:rPr>
                  </w:pPr>
                  <w:r>
                    <w:rPr>
                      <w:rFonts w:hint="eastAsia"/>
                      <w:color w:val="auto"/>
                    </w:rPr>
                    <w:t>铁路外轨中心线30m处#1</w:t>
                  </w:r>
                </w:p>
              </w:tc>
              <w:tc>
                <w:tcPr>
                  <w:tcW w:w="1219" w:type="dxa"/>
                  <w:tcBorders>
                    <w:top w:val="single" w:color="000000" w:sz="4" w:space="0"/>
                    <w:right w:val="nil"/>
                  </w:tcBorders>
                  <w:vAlign w:val="center"/>
                </w:tcPr>
                <w:p w14:paraId="29CA8A88">
                  <w:pPr>
                    <w:pStyle w:val="30"/>
                    <w:rPr>
                      <w:color w:val="auto"/>
                    </w:rPr>
                  </w:pPr>
                  <w:r>
                    <w:rPr>
                      <w:rFonts w:hint="eastAsia"/>
                      <w:color w:val="auto"/>
                    </w:rPr>
                    <w:t>58.9</w:t>
                  </w:r>
                </w:p>
              </w:tc>
              <w:tc>
                <w:tcPr>
                  <w:tcW w:w="1219" w:type="dxa"/>
                  <w:tcBorders>
                    <w:top w:val="single" w:color="000000" w:sz="4" w:space="0"/>
                    <w:right w:val="nil"/>
                  </w:tcBorders>
                  <w:vAlign w:val="center"/>
                </w:tcPr>
                <w:p w14:paraId="5A314771">
                  <w:pPr>
                    <w:pStyle w:val="30"/>
                    <w:rPr>
                      <w:color w:val="auto"/>
                    </w:rPr>
                  </w:pPr>
                  <w:r>
                    <w:rPr>
                      <w:rFonts w:hint="eastAsia"/>
                      <w:color w:val="auto"/>
                    </w:rPr>
                    <w:t>52.6</w:t>
                  </w:r>
                </w:p>
              </w:tc>
              <w:tc>
                <w:tcPr>
                  <w:tcW w:w="1219" w:type="dxa"/>
                  <w:tcBorders>
                    <w:top w:val="single" w:color="000000" w:sz="4" w:space="0"/>
                    <w:right w:val="nil"/>
                  </w:tcBorders>
                  <w:vAlign w:val="center"/>
                </w:tcPr>
                <w:p w14:paraId="2F8E9132">
                  <w:pPr>
                    <w:pStyle w:val="30"/>
                    <w:rPr>
                      <w:color w:val="auto"/>
                    </w:rPr>
                  </w:pPr>
                  <w:r>
                    <w:rPr>
                      <w:rFonts w:hint="eastAsia"/>
                      <w:color w:val="auto"/>
                    </w:rPr>
                    <w:t>54.5</w:t>
                  </w:r>
                </w:p>
              </w:tc>
              <w:tc>
                <w:tcPr>
                  <w:tcW w:w="1225" w:type="dxa"/>
                  <w:tcBorders>
                    <w:top w:val="single" w:color="000000" w:sz="4" w:space="0"/>
                    <w:right w:val="nil"/>
                  </w:tcBorders>
                  <w:vAlign w:val="center"/>
                </w:tcPr>
                <w:p w14:paraId="0B64E829">
                  <w:pPr>
                    <w:pStyle w:val="30"/>
                    <w:rPr>
                      <w:color w:val="auto"/>
                    </w:rPr>
                  </w:pPr>
                  <w:r>
                    <w:rPr>
                      <w:rFonts w:hint="eastAsia"/>
                      <w:color w:val="auto"/>
                    </w:rPr>
                    <w:t>57.8</w:t>
                  </w:r>
                </w:p>
              </w:tc>
            </w:tr>
          </w:tbl>
          <w:p w14:paraId="053AEEE2">
            <w:pPr>
              <w:ind w:firstLine="480"/>
              <w:rPr>
                <w:color w:val="0000FF"/>
              </w:rPr>
            </w:pPr>
          </w:p>
          <w:p w14:paraId="45B0F7C1">
            <w:pPr>
              <w:ind w:firstLine="480"/>
              <w:rPr>
                <w:rFonts w:hint="default" w:eastAsia="宋体"/>
                <w:color w:val="0000FF"/>
                <w:lang w:val="en-US" w:eastAsia="zh-CN"/>
              </w:rPr>
            </w:pPr>
            <w:r>
              <w:rPr>
                <w:color w:val="0000FF"/>
              </w:rPr>
              <w:t>本</w:t>
            </w:r>
            <w:r>
              <w:rPr>
                <w:rFonts w:hint="eastAsia"/>
                <w:color w:val="0000FF"/>
                <w:lang w:val="en-US" w:eastAsia="zh-CN"/>
              </w:rPr>
              <w:t>项目</w:t>
            </w:r>
            <w:r>
              <w:rPr>
                <w:color w:val="0000FF"/>
              </w:rPr>
              <w:t>铁路专用线不属于铁路干线（日运行低于20列）</w:t>
            </w:r>
            <w:r>
              <w:rPr>
                <w:rFonts w:hint="eastAsia"/>
                <w:color w:val="0000FF"/>
              </w:rPr>
              <w:t>，</w:t>
            </w:r>
            <w:r>
              <w:rPr>
                <w:color w:val="0000FF"/>
              </w:rPr>
              <w:t>监测点位</w:t>
            </w:r>
            <w:r>
              <w:rPr>
                <w:rFonts w:hint="eastAsia"/>
                <w:color w:val="0000FF"/>
              </w:rPr>
              <w:t>铁路外轨中心线30m处</w:t>
            </w:r>
            <w:r>
              <w:rPr>
                <w:color w:val="0000FF"/>
              </w:rPr>
              <w:t>昼</w:t>
            </w:r>
            <w:r>
              <w:rPr>
                <w:rFonts w:hint="eastAsia"/>
                <w:color w:val="0000FF"/>
                <w:lang w:eastAsia="zh-CN"/>
              </w:rPr>
              <w:t>、</w:t>
            </w:r>
            <w:r>
              <w:rPr>
                <w:color w:val="0000FF"/>
              </w:rPr>
              <w:t>夜间振动环境</w:t>
            </w:r>
            <w:r>
              <w:rPr>
                <w:rFonts w:hint="eastAsia"/>
                <w:color w:val="0000FF"/>
              </w:rPr>
              <w:t>数值分别为54.5-58.9dB，52.6-54.5dB，</w:t>
            </w:r>
            <w:r>
              <w:rPr>
                <w:rFonts w:hint="eastAsia"/>
                <w:color w:val="0000FF"/>
                <w:lang w:val="en-US" w:eastAsia="zh-CN"/>
              </w:rPr>
              <w:t>既有铁路专用线敏感点站前小区，参照《城市区域环境振动标准》（GB10070-88）“混合区、商业中心区”标准执行，即昼间75dB，夜间72dB。故项目所在区域既有铁路线振动符合标准。</w:t>
            </w:r>
          </w:p>
          <w:p w14:paraId="311D7E8E">
            <w:pPr>
              <w:ind w:firstLine="482"/>
              <w:rPr>
                <w:b/>
                <w:bCs/>
              </w:rPr>
            </w:pPr>
            <w:r>
              <w:rPr>
                <w:rFonts w:hint="eastAsia"/>
                <w:b/>
                <w:bCs/>
              </w:rPr>
              <w:t>7、地表水环境质量现状</w:t>
            </w:r>
          </w:p>
          <w:p w14:paraId="281159E1">
            <w:pPr>
              <w:ind w:firstLine="480"/>
            </w:pPr>
            <w:r>
              <w:rPr>
                <w:rFonts w:hint="eastAsia"/>
                <w:color w:val="auto"/>
              </w:rPr>
              <w:t>根据《2024年黑龙江省生态环境质量状况》，双鸭山市参与国家考核计算的断面共6个，II类水质比例为66.7%，无劣V类水质断面。与上年同期相比，I-</w:t>
            </w:r>
            <w:r>
              <w:rPr>
                <w:color w:val="auto"/>
              </w:rPr>
              <w:t>Ⅲ</w:t>
            </w:r>
            <w:r>
              <w:rPr>
                <w:rFonts w:hint="eastAsia"/>
                <w:color w:val="auto"/>
              </w:rPr>
              <w:t>类水质比例保持不变，均无劣V类水质断面。双鸭山市饮用水水源地水量达标率为100%。本项目位于双鸭山市集贤县福利屯，区域地表水体为安邦河，根据《全国重要江河湖泊水功能区划》（2011-2030年），执行《地表水环境质量标准》（GB3838-2002）</w:t>
            </w:r>
            <w:r>
              <w:rPr>
                <w:color w:val="auto"/>
              </w:rPr>
              <w:t>Ⅳ</w:t>
            </w:r>
            <w:r>
              <w:rPr>
                <w:rFonts w:hint="eastAsia"/>
                <w:color w:val="auto"/>
              </w:rPr>
              <w:t>类标准。</w:t>
            </w:r>
          </w:p>
        </w:tc>
      </w:tr>
      <w:tr w14:paraId="28D6A7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705" w:type="pct"/>
            <w:vAlign w:val="center"/>
          </w:tcPr>
          <w:p w14:paraId="0D6F29E4">
            <w:pPr>
              <w:adjustRightInd w:val="0"/>
              <w:snapToGrid w:val="0"/>
              <w:ind w:firstLine="0" w:firstLineChars="0"/>
              <w:jc w:val="center"/>
              <w:rPr>
                <w:kern w:val="0"/>
                <w:szCs w:val="21"/>
              </w:rPr>
            </w:pPr>
            <w:r>
              <w:rPr>
                <w:bCs/>
                <w:szCs w:val="21"/>
              </w:rPr>
              <w:t>与项目有关的原有环境污染和生态破坏问题</w:t>
            </w:r>
          </w:p>
        </w:tc>
        <w:tc>
          <w:tcPr>
            <w:tcW w:w="4294" w:type="pct"/>
            <w:vAlign w:val="center"/>
          </w:tcPr>
          <w:p w14:paraId="35EB6AF2">
            <w:pPr>
              <w:ind w:firstLine="480"/>
              <w:rPr>
                <w:rFonts w:hint="eastAsia" w:eastAsia="宋体"/>
                <w:color w:val="auto"/>
                <w:highlight w:val="none"/>
                <w:lang w:eastAsia="zh-CN"/>
              </w:rPr>
            </w:pPr>
            <w:r>
              <w:rPr>
                <w:rFonts w:hint="eastAsia"/>
                <w:color w:val="auto"/>
                <w:highlight w:val="none"/>
              </w:rPr>
              <w:t>现有工程履行环境影响评价、竣工环境保护验收、排污许可手续等情况</w:t>
            </w:r>
            <w:r>
              <w:rPr>
                <w:rStyle w:val="29"/>
                <w:rFonts w:hint="eastAsia"/>
                <w:color w:val="auto"/>
                <w:kern w:val="0"/>
                <w:highlight w:val="none"/>
                <w:lang w:eastAsia="zh-CN"/>
              </w:rPr>
              <w:t>：</w:t>
            </w:r>
          </w:p>
          <w:p w14:paraId="28316FE2">
            <w:pPr>
              <w:ind w:firstLine="480"/>
              <w:rPr>
                <w:color w:val="auto"/>
              </w:rPr>
            </w:pPr>
            <w:r>
              <w:rPr>
                <w:color w:val="auto"/>
              </w:rPr>
              <w:t>本项目位于黑龙江省双鸭山市，既有油库专用线自福利屯站佳木斯侧咽喉接轨后，向南方行进至油库，油库内既有装卸线2条。油库外设装卸线3道、4道，已年久失修，本次研究对3道、4道线路大修。</w:t>
            </w:r>
          </w:p>
          <w:p w14:paraId="0B9E045A">
            <w:pPr>
              <w:ind w:firstLine="480"/>
            </w:pPr>
            <w:r>
              <w:rPr>
                <w:rFonts w:hint="eastAsia"/>
              </w:rPr>
              <w:t>油库专用线自1995年建成以来已服役多年。既有轨道类型为43kg/m钢轨，混凝土轨枕，扣板扣件，道岔为43kg/m木岔枕单开道岔。目前，油库专用线内仅有走行线和油库装卸线处于使用状态，库外装卸线3道、4道由于年久失修，现已不停车。既有3道和4道钢轨损耗、轨枕开裂、扣配件损坏缺失问题严重，为保证走行线安全，17#与19#接轨道岔也在近期被拆除，并放置在路基外侧。铁路路基被杂草覆盖。</w:t>
            </w:r>
          </w:p>
          <w:p w14:paraId="48199C9A">
            <w:pPr>
              <w:ind w:firstLine="480"/>
            </w:pPr>
            <w:r>
              <w:rPr>
                <w:rFonts w:hint="eastAsia"/>
              </w:rPr>
              <w:t>结合</w:t>
            </w:r>
            <w:r>
              <w:t>双鸭山远东创投国际物流有限公司</w:t>
            </w:r>
            <w:r>
              <w:rPr>
                <w:rFonts w:hint="eastAsia"/>
              </w:rPr>
              <w:t>对线路的需求及线路现状，亟需对油库专用线3道、4道线路及其接轨道岔进行大修，以提高线路运行状态，确保取送车作业安全</w:t>
            </w:r>
            <w:r>
              <w:t>。</w:t>
            </w:r>
          </w:p>
          <w:p w14:paraId="6C5C1259">
            <w:pPr>
              <w:ind w:firstLine="480"/>
              <w:rPr>
                <w:rFonts w:hint="eastAsia" w:eastAsia="宋体"/>
                <w:color w:val="auto"/>
                <w:lang w:eastAsia="zh-CN"/>
              </w:rPr>
            </w:pPr>
            <w:r>
              <w:rPr>
                <w:rFonts w:hint="eastAsia"/>
                <w:color w:val="auto"/>
                <w:lang w:val="en-US" w:eastAsia="zh-CN"/>
              </w:rPr>
              <w:t>1、</w:t>
            </w:r>
            <w:r>
              <w:rPr>
                <w:rFonts w:hint="eastAsia"/>
                <w:color w:val="auto"/>
              </w:rPr>
              <w:t>既有专用线概况</w:t>
            </w:r>
            <w:r>
              <w:rPr>
                <w:rFonts w:hint="eastAsia"/>
                <w:color w:val="auto"/>
                <w:lang w:eastAsia="zh-CN"/>
              </w:rPr>
              <w:t>：</w:t>
            </w:r>
          </w:p>
          <w:p w14:paraId="57640104">
            <w:pPr>
              <w:ind w:firstLine="480"/>
              <w:rPr>
                <w:color w:val="auto"/>
              </w:rPr>
            </w:pPr>
            <w:r>
              <w:rPr>
                <w:color w:val="auto"/>
              </w:rPr>
              <w:t>油库专用线接轨于福利屯站佳木斯侧咽喉区。专用线接轨后折向南方行进，并设置安全线1条，走行约0.9km进入油库厂区内，设置油库装卸线2条（1道、2道）。专用线库外既有17#和19#道岔，并在走行线两侧由北向南分别设置装卸线（3道、4道）各1条。目前，3道和4道的道岔已被拆除。既有油库专用线轨道类型为43kg/m钢轨，混凝土轨枕，扣板扣件。走行线采用混砂道床，3道和4道线路无道床。</w:t>
            </w:r>
          </w:p>
          <w:p w14:paraId="3287DFA7">
            <w:pPr>
              <w:ind w:firstLine="480"/>
              <w:rPr>
                <w:rFonts w:hint="eastAsia" w:eastAsia="宋体"/>
                <w:color w:val="auto"/>
                <w:lang w:eastAsia="zh-CN"/>
              </w:rPr>
            </w:pPr>
            <w:r>
              <w:rPr>
                <w:color w:val="auto"/>
              </w:rPr>
              <w:t>原有铁路建成时间为19</w:t>
            </w:r>
            <w:r>
              <w:rPr>
                <w:rFonts w:hint="eastAsia"/>
                <w:color w:val="auto"/>
              </w:rPr>
              <w:t>95</w:t>
            </w:r>
            <w:r>
              <w:rPr>
                <w:color w:val="auto"/>
              </w:rPr>
              <w:t>年，无相关环评、验收手续。</w:t>
            </w:r>
            <w:r>
              <w:rPr>
                <w:rFonts w:hint="eastAsia"/>
                <w:color w:val="auto"/>
              </w:rPr>
              <w:t>2004年3月5日双鸭山市石油公司福利油库与原公司集贤县汇丰煤炭销售有限责任公司</w:t>
            </w:r>
            <w:r>
              <w:rPr>
                <w:rFonts w:hint="eastAsia"/>
                <w:color w:val="auto"/>
                <w:lang w:eastAsia="zh-CN"/>
              </w:rPr>
              <w:t>（</w:t>
            </w:r>
            <w:r>
              <w:rPr>
                <w:rFonts w:hint="eastAsia"/>
                <w:color w:val="auto"/>
                <w:lang w:val="en-US" w:eastAsia="zh-CN"/>
              </w:rPr>
              <w:t>后更名为双鸭山远东创投国际物流有限公司</w:t>
            </w:r>
            <w:r>
              <w:rPr>
                <w:rFonts w:hint="eastAsia"/>
                <w:color w:val="auto"/>
                <w:lang w:eastAsia="zh-CN"/>
              </w:rPr>
              <w:t>）</w:t>
            </w:r>
            <w:r>
              <w:rPr>
                <w:rFonts w:hint="eastAsia"/>
                <w:color w:val="auto"/>
              </w:rPr>
              <w:t>签订转让协议书</w:t>
            </w:r>
            <w:r>
              <w:rPr>
                <w:rFonts w:hint="eastAsia"/>
                <w:color w:val="auto"/>
                <w:lang w:eastAsia="zh-CN"/>
              </w:rPr>
              <w:t>。</w:t>
            </w:r>
          </w:p>
          <w:p w14:paraId="219BE469">
            <w:pPr>
              <w:pStyle w:val="35"/>
              <w:spacing w:line="240" w:lineRule="auto"/>
              <w:ind w:firstLine="0" w:firstLineChars="0"/>
              <w:jc w:val="center"/>
            </w:pPr>
            <w:r>
              <w:drawing>
                <wp:inline distT="0" distB="0" distL="114300" distR="114300">
                  <wp:extent cx="4319905" cy="3278505"/>
                  <wp:effectExtent l="0" t="0" r="4445" b="17145"/>
                  <wp:docPr id="60" name="图片 7" descr="IMG_20240724_09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descr="IMG_20240724_094140"/>
                          <pic:cNvPicPr>
                            <a:picLocks noChangeAspect="1"/>
                          </pic:cNvPicPr>
                        </pic:nvPicPr>
                        <pic:blipFill>
                          <a:blip r:embed="rId15"/>
                          <a:srcRect t="43095"/>
                          <a:stretch>
                            <a:fillRect/>
                          </a:stretch>
                        </pic:blipFill>
                        <pic:spPr>
                          <a:xfrm>
                            <a:off x="0" y="0"/>
                            <a:ext cx="4319905" cy="3278505"/>
                          </a:xfrm>
                          <a:prstGeom prst="rect">
                            <a:avLst/>
                          </a:prstGeom>
                          <a:noFill/>
                          <a:ln>
                            <a:noFill/>
                          </a:ln>
                        </pic:spPr>
                      </pic:pic>
                    </a:graphicData>
                  </a:graphic>
                </wp:inline>
              </w:drawing>
            </w:r>
          </w:p>
          <w:p w14:paraId="74964258">
            <w:pPr>
              <w:pStyle w:val="33"/>
            </w:pPr>
            <w:r>
              <w:rPr>
                <w:rFonts w:hint="eastAsia"/>
              </w:rPr>
              <w:t>图3-3 既有油库专用线走行线及被拆除的道岔</w:t>
            </w:r>
          </w:p>
          <w:p w14:paraId="437C1EA2">
            <w:pPr>
              <w:ind w:left="0" w:leftChars="0" w:firstLine="0" w:firstLineChars="0"/>
              <w:jc w:val="center"/>
            </w:pPr>
            <w:r>
              <w:rPr>
                <w:rFonts w:hint="eastAsia"/>
              </w:rPr>
              <w:drawing>
                <wp:inline distT="0" distB="0" distL="114300" distR="114300">
                  <wp:extent cx="4284980" cy="3402965"/>
                  <wp:effectExtent l="0" t="0" r="1270" b="6985"/>
                  <wp:docPr id="88" name="图片 8" descr="IMG_20240724_09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 descr="IMG_20240724_094817"/>
                          <pic:cNvPicPr>
                            <a:picLocks noChangeAspect="1"/>
                          </pic:cNvPicPr>
                        </pic:nvPicPr>
                        <pic:blipFill>
                          <a:blip r:embed="rId16"/>
                          <a:srcRect t="37117" b="3334"/>
                          <a:stretch>
                            <a:fillRect/>
                          </a:stretch>
                        </pic:blipFill>
                        <pic:spPr>
                          <a:xfrm>
                            <a:off x="0" y="0"/>
                            <a:ext cx="4284980" cy="3402965"/>
                          </a:xfrm>
                          <a:prstGeom prst="rect">
                            <a:avLst/>
                          </a:prstGeom>
                          <a:noFill/>
                          <a:ln>
                            <a:noFill/>
                          </a:ln>
                        </pic:spPr>
                      </pic:pic>
                    </a:graphicData>
                  </a:graphic>
                </wp:inline>
              </w:drawing>
            </w:r>
          </w:p>
          <w:p w14:paraId="0BAFFFA7">
            <w:pPr>
              <w:pStyle w:val="33"/>
            </w:pPr>
            <w:r>
              <w:rPr>
                <w:rFonts w:hint="eastAsia"/>
              </w:rPr>
              <w:t>图3-4 既有3道线路已被草丛覆盖</w:t>
            </w:r>
          </w:p>
          <w:p w14:paraId="79EF5220">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drawing>
                <wp:inline distT="0" distB="0" distL="114300" distR="114300">
                  <wp:extent cx="4319905" cy="3239770"/>
                  <wp:effectExtent l="0" t="0" r="4445" b="17780"/>
                  <wp:docPr id="89" name="图片 9" descr="IMG_20240724_09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 descr="IMG_20240724_095158"/>
                          <pic:cNvPicPr>
                            <a:picLocks noChangeAspect="1"/>
                          </pic:cNvPicPr>
                        </pic:nvPicPr>
                        <pic:blipFill>
                          <a:blip r:embed="rId17"/>
                          <a:stretch>
                            <a:fillRect/>
                          </a:stretch>
                        </pic:blipFill>
                        <pic:spPr>
                          <a:xfrm>
                            <a:off x="0" y="0"/>
                            <a:ext cx="4319905" cy="3239770"/>
                          </a:xfrm>
                          <a:prstGeom prst="rect">
                            <a:avLst/>
                          </a:prstGeom>
                          <a:noFill/>
                          <a:ln>
                            <a:noFill/>
                          </a:ln>
                        </pic:spPr>
                      </pic:pic>
                    </a:graphicData>
                  </a:graphic>
                </wp:inline>
              </w:drawing>
            </w:r>
          </w:p>
          <w:p w14:paraId="6D2E991F">
            <w:pPr>
              <w:pStyle w:val="33"/>
            </w:pPr>
            <w:r>
              <w:rPr>
                <w:rFonts w:hint="eastAsia"/>
              </w:rPr>
              <w:t>图3-5 既有4道线路</w:t>
            </w:r>
          </w:p>
          <w:p w14:paraId="2FB53213">
            <w:pPr>
              <w:ind w:firstLine="480"/>
            </w:pPr>
          </w:p>
          <w:p w14:paraId="554EC776">
            <w:pPr>
              <w:ind w:firstLine="480"/>
            </w:pPr>
            <w:r>
              <w:rPr>
                <w:rFonts w:hint="eastAsia"/>
              </w:rPr>
              <w:t>2</w:t>
            </w:r>
            <w:r>
              <w:rPr>
                <w:rFonts w:hint="eastAsia"/>
                <w:lang w:eastAsia="zh-CN"/>
              </w:rPr>
              <w:t>、</w:t>
            </w:r>
            <w:r>
              <w:rPr>
                <w:rFonts w:hint="eastAsia"/>
              </w:rPr>
              <w:t>现有工程存在的主要环境问题</w:t>
            </w:r>
          </w:p>
          <w:p w14:paraId="4A46DB6C">
            <w:pPr>
              <w:ind w:firstLine="480"/>
            </w:pPr>
            <w:r>
              <w:rPr>
                <w:rFonts w:hint="eastAsia"/>
              </w:rPr>
              <w:t>（1）废气</w:t>
            </w:r>
          </w:p>
          <w:p w14:paraId="1B5CAB1C">
            <w:pPr>
              <w:ind w:firstLine="480"/>
            </w:pPr>
            <w:r>
              <w:rPr>
                <w:rFonts w:hint="eastAsia"/>
              </w:rPr>
              <w:t>原有工程运行期无废气产生，根据现状监测报告中可知现状调查中大气的TSP以及氮氧化物达标排放。</w:t>
            </w:r>
          </w:p>
          <w:p w14:paraId="4D1D01BA">
            <w:pPr>
              <w:ind w:firstLine="480"/>
            </w:pPr>
            <w:r>
              <w:rPr>
                <w:rFonts w:hint="eastAsia"/>
              </w:rPr>
              <w:t>（2）废水</w:t>
            </w:r>
          </w:p>
          <w:p w14:paraId="6CD80B05">
            <w:pPr>
              <w:ind w:firstLine="480"/>
              <w:rPr>
                <w:color w:val="auto"/>
              </w:rPr>
            </w:pPr>
            <w:r>
              <w:rPr>
                <w:rFonts w:hint="eastAsia"/>
                <w:color w:val="auto"/>
              </w:rPr>
              <w:t>现有铁路专用线无工作人员，均依托油库管理人员，无生活废水排放。</w:t>
            </w:r>
          </w:p>
          <w:p w14:paraId="372B9F7A">
            <w:pPr>
              <w:ind w:firstLine="480"/>
              <w:rPr>
                <w:color w:val="auto"/>
              </w:rPr>
            </w:pPr>
            <w:r>
              <w:rPr>
                <w:rFonts w:hint="eastAsia"/>
                <w:color w:val="auto"/>
              </w:rPr>
              <w:t>（3）噪声</w:t>
            </w:r>
          </w:p>
          <w:p w14:paraId="1F91CB16">
            <w:pPr>
              <w:ind w:firstLine="480"/>
              <w:rPr>
                <w:rFonts w:hint="default" w:eastAsia="宋体"/>
                <w:color w:val="0000FF"/>
                <w:lang w:val="en-US" w:eastAsia="zh-CN"/>
              </w:rPr>
            </w:pPr>
            <w:r>
              <w:rPr>
                <w:color w:val="auto"/>
              </w:rPr>
              <w:t>噪声主要来源于装卸车噪声、列车行驶噪声、振动噪声，货物装卸时采用有良好声学性能机械设备减少噪声，通过绿化带的隔离措施，列车行驶时限制车速，禁止鸣笛，通过绿化带的隔离，对周围环境影响较小</w:t>
            </w:r>
            <w:r>
              <w:rPr>
                <w:rFonts w:hint="eastAsia"/>
                <w:color w:val="auto"/>
              </w:rPr>
              <w:t>。</w:t>
            </w:r>
            <w:r>
              <w:rPr>
                <w:rFonts w:hint="eastAsia"/>
                <w:color w:val="0000FF"/>
              </w:rPr>
              <w:t>根据现状监测结果可知既有铁路专用线30m边界处噪声满足《铁路边界噪声限值及其测量方法》（GB12525-90）（2008修正）既有铁路边界7</w:t>
            </w:r>
            <w:r>
              <w:rPr>
                <w:color w:val="0000FF"/>
              </w:rPr>
              <w:t>0/70</w:t>
            </w:r>
            <w:r>
              <w:rPr>
                <w:rFonts w:hint="eastAsia"/>
                <w:color w:val="0000FF"/>
              </w:rPr>
              <w:t>标准，</w:t>
            </w:r>
            <w:r>
              <w:rPr>
                <w:rFonts w:hint="eastAsia"/>
                <w:color w:val="0000FF"/>
                <w:lang w:val="en-US" w:eastAsia="zh-CN"/>
              </w:rPr>
              <w:t>既有铁路专用线沿线敏感点</w:t>
            </w:r>
            <w:r>
              <w:rPr>
                <w:rFonts w:hint="eastAsia"/>
                <w:color w:val="0000FF"/>
              </w:rPr>
              <w:t>站前小区声环境满足《声环境质量标准》（GB 3096-2008）中2类标准要求。</w:t>
            </w:r>
          </w:p>
          <w:p w14:paraId="4E4AAFD3">
            <w:pPr>
              <w:numPr>
                <w:ilvl w:val="0"/>
                <w:numId w:val="0"/>
              </w:numPr>
              <w:ind w:firstLine="480" w:firstLineChars="200"/>
              <w:rPr>
                <w:rFonts w:hint="eastAsia"/>
                <w:color w:val="auto"/>
                <w:lang w:val="en-US" w:eastAsia="zh-CN"/>
              </w:rPr>
            </w:pPr>
            <w:r>
              <w:rPr>
                <w:rFonts w:hint="eastAsia" w:ascii="Times New Roman" w:hAnsi="Times New Roman" w:eastAsia="宋体" w:cs="Times New Roman"/>
                <w:color w:val="auto"/>
                <w:kern w:val="2"/>
                <w:sz w:val="24"/>
                <w:szCs w:val="24"/>
                <w:lang w:val="en-US" w:eastAsia="zh-CN" w:bidi="ar-SA"/>
              </w:rPr>
              <w:t>（4）</w:t>
            </w:r>
            <w:r>
              <w:rPr>
                <w:rFonts w:hint="eastAsia"/>
                <w:color w:val="auto"/>
                <w:lang w:val="en-US" w:eastAsia="zh-CN"/>
              </w:rPr>
              <w:t>振动</w:t>
            </w:r>
          </w:p>
          <w:p w14:paraId="49526710">
            <w:pPr>
              <w:bidi w:val="0"/>
              <w:rPr>
                <w:rFonts w:hint="default"/>
                <w:color w:val="0000FF"/>
                <w:lang w:val="en-US" w:eastAsia="zh-CN"/>
              </w:rPr>
            </w:pPr>
            <w:r>
              <w:rPr>
                <w:rFonts w:hint="default"/>
                <w:color w:val="0000FF"/>
                <w:lang w:val="en-US" w:eastAsia="zh-CN"/>
              </w:rPr>
              <w:t>根据现状监测，既有铁路专用线沿线敏感点站前小区振动值满足《城市区域环境振动标准》（GB 10070-88）“混合区、商业中心区”昼间75dB，夜间72dB要求。</w:t>
            </w:r>
          </w:p>
          <w:p w14:paraId="3728D493">
            <w:pPr>
              <w:ind w:firstLine="480"/>
              <w:rPr>
                <w:color w:val="auto"/>
              </w:rPr>
            </w:pPr>
            <w:r>
              <w:rPr>
                <w:rFonts w:hint="eastAsia"/>
                <w:color w:val="auto"/>
              </w:rPr>
              <w:t>（</w:t>
            </w:r>
            <w:r>
              <w:rPr>
                <w:rFonts w:hint="eastAsia"/>
                <w:color w:val="auto"/>
                <w:lang w:val="en-US" w:eastAsia="zh-CN"/>
              </w:rPr>
              <w:t>5</w:t>
            </w:r>
            <w:r>
              <w:rPr>
                <w:rFonts w:hint="eastAsia"/>
                <w:color w:val="auto"/>
              </w:rPr>
              <w:t>）固体废物</w:t>
            </w:r>
          </w:p>
          <w:p w14:paraId="346FCD1E">
            <w:pPr>
              <w:ind w:firstLine="480"/>
              <w:rPr>
                <w:color w:val="auto"/>
              </w:rPr>
            </w:pPr>
            <w:r>
              <w:rPr>
                <w:rFonts w:hint="eastAsia"/>
                <w:color w:val="auto"/>
              </w:rPr>
              <w:t>现有铁路专用线无工作人员，均依托油库管理人员，无生活垃圾排放</w:t>
            </w:r>
            <w:r>
              <w:rPr>
                <w:color w:val="auto"/>
              </w:rPr>
              <w:t>。</w:t>
            </w:r>
          </w:p>
          <w:p w14:paraId="7DC27A31">
            <w:pPr>
              <w:ind w:firstLine="480"/>
              <w:rPr>
                <w:color w:val="0000FF"/>
              </w:rPr>
            </w:pPr>
            <w:r>
              <w:rPr>
                <w:color w:val="auto"/>
                <w:highlight w:val="none"/>
              </w:rPr>
              <w:t>根据现场调查，现有工程各项污染防治措施均落实到位，废气、废水、噪声、固废均实现达标排放，经核实，现有工程无主要环境问题。</w:t>
            </w:r>
          </w:p>
        </w:tc>
      </w:tr>
      <w:tr w14:paraId="2CB4F1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705" w:type="pct"/>
            <w:vAlign w:val="center"/>
          </w:tcPr>
          <w:p w14:paraId="4DDD3EC4">
            <w:pPr>
              <w:adjustRightInd w:val="0"/>
              <w:snapToGrid w:val="0"/>
              <w:ind w:firstLine="0" w:firstLineChars="0"/>
              <w:jc w:val="center"/>
              <w:rPr>
                <w:kern w:val="0"/>
                <w:szCs w:val="21"/>
              </w:rPr>
            </w:pPr>
            <w:r>
              <w:rPr>
                <w:kern w:val="0"/>
                <w:szCs w:val="21"/>
              </w:rPr>
              <w:t>生态环境保护目标</w:t>
            </w:r>
          </w:p>
        </w:tc>
        <w:tc>
          <w:tcPr>
            <w:tcW w:w="4294" w:type="pct"/>
            <w:vAlign w:val="center"/>
          </w:tcPr>
          <w:p w14:paraId="3BBDC077">
            <w:pPr>
              <w:ind w:firstLine="482"/>
            </w:pPr>
            <w:r>
              <w:rPr>
                <w:b/>
                <w:bCs/>
              </w:rPr>
              <w:t>1、生态环境保护目标</w:t>
            </w:r>
          </w:p>
          <w:p w14:paraId="798D7835">
            <w:pPr>
              <w:ind w:firstLine="480"/>
              <w:rPr>
                <w:color w:val="auto"/>
              </w:rPr>
            </w:pPr>
            <w:r>
              <w:rPr>
                <w:rFonts w:hint="eastAsia"/>
              </w:rPr>
              <w:t>本项目位于集贤县福利屯，评价范围内没有自然保护区、风景名胜区、饮用水水源保护区及珍稀鱼类的三场及洄游通道等。项目周边无地下集中式饮用水水源和热水、矿泉水、温泉等特殊地下水资源，周围居民区采用市政管网供水。</w:t>
            </w:r>
            <w:r>
              <w:rPr>
                <w:rFonts w:hint="eastAsia"/>
                <w:color w:val="auto"/>
              </w:rPr>
              <w:t>本项目位于双鸭山市，双鸭山市为黑龙江省水土流失重点治理区，属于东南部山地丘陵水质维护保土区，故本项目生态环境保护目标为评价范围内的陆生生态环境，包括永久占地、临时占地涉及的动植物及土壤资源、水土保持等。本项目主要的生态环境保护目标见表3-6。</w:t>
            </w:r>
          </w:p>
          <w:p w14:paraId="4349876F">
            <w:pPr>
              <w:pStyle w:val="33"/>
              <w:rPr>
                <w:color w:val="auto"/>
              </w:rPr>
            </w:pPr>
            <w:r>
              <w:rPr>
                <w:rFonts w:hint="eastAsia"/>
                <w:color w:val="auto"/>
              </w:rPr>
              <w:t>表3-6 生态环境保护目标表</w:t>
            </w:r>
          </w:p>
          <w:tbl>
            <w:tblPr>
              <w:tblStyle w:val="25"/>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71"/>
              <w:gridCol w:w="6290"/>
            </w:tblGrid>
            <w:tr w14:paraId="0862DD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blHeader/>
                <w:jc w:val="center"/>
              </w:trPr>
              <w:tc>
                <w:tcPr>
                  <w:tcW w:w="999" w:type="pct"/>
                  <w:vAlign w:val="center"/>
                </w:tcPr>
                <w:p w14:paraId="76DD82AA">
                  <w:pPr>
                    <w:pStyle w:val="30"/>
                    <w:rPr>
                      <w:color w:val="auto"/>
                    </w:rPr>
                  </w:pPr>
                  <w:r>
                    <w:rPr>
                      <w:color w:val="auto"/>
                    </w:rPr>
                    <w:t>保护目标</w:t>
                  </w:r>
                </w:p>
              </w:tc>
              <w:tc>
                <w:tcPr>
                  <w:tcW w:w="4000" w:type="pct"/>
                  <w:vAlign w:val="center"/>
                </w:tcPr>
                <w:p w14:paraId="2AEAAFB1">
                  <w:pPr>
                    <w:pStyle w:val="30"/>
                    <w:rPr>
                      <w:color w:val="auto"/>
                    </w:rPr>
                  </w:pPr>
                  <w:r>
                    <w:rPr>
                      <w:color w:val="auto"/>
                    </w:rPr>
                    <w:t>备注</w:t>
                  </w:r>
                </w:p>
              </w:tc>
            </w:tr>
            <w:tr w14:paraId="2EE1E0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99" w:type="pct"/>
                  <w:vAlign w:val="center"/>
                </w:tcPr>
                <w:p w14:paraId="53DAA2FF">
                  <w:pPr>
                    <w:pStyle w:val="30"/>
                    <w:rPr>
                      <w:color w:val="auto"/>
                    </w:rPr>
                  </w:pPr>
                  <w:r>
                    <w:rPr>
                      <w:color w:val="auto"/>
                    </w:rPr>
                    <w:t>陆生生态</w:t>
                  </w:r>
                </w:p>
              </w:tc>
              <w:tc>
                <w:tcPr>
                  <w:tcW w:w="4000" w:type="pct"/>
                  <w:vAlign w:val="center"/>
                </w:tcPr>
                <w:p w14:paraId="05ABE7A2">
                  <w:pPr>
                    <w:pStyle w:val="30"/>
                    <w:rPr>
                      <w:color w:val="auto"/>
                    </w:rPr>
                  </w:pPr>
                  <w:r>
                    <w:rPr>
                      <w:color w:val="auto"/>
                    </w:rPr>
                    <w:t>评价范围内的动植物及</w:t>
                  </w:r>
                  <w:r>
                    <w:rPr>
                      <w:rFonts w:hint="eastAsia"/>
                      <w:color w:val="auto"/>
                    </w:rPr>
                    <w:t>土壤</w:t>
                  </w:r>
                  <w:r>
                    <w:rPr>
                      <w:color w:val="auto"/>
                    </w:rPr>
                    <w:t>资源，无珍惜濒危保护物种</w:t>
                  </w:r>
                  <w:r>
                    <w:rPr>
                      <w:rFonts w:hint="eastAsia"/>
                      <w:color w:val="auto"/>
                    </w:rPr>
                    <w:t>，水土保持</w:t>
                  </w:r>
                </w:p>
              </w:tc>
            </w:tr>
          </w:tbl>
          <w:p w14:paraId="2A7E00D2">
            <w:pPr>
              <w:ind w:firstLine="480"/>
            </w:pPr>
          </w:p>
          <w:p w14:paraId="3EF23847">
            <w:pPr>
              <w:ind w:firstLine="482"/>
            </w:pPr>
            <w:r>
              <w:rPr>
                <w:b/>
                <w:bCs/>
              </w:rPr>
              <w:t>2、声环境保护目标</w:t>
            </w:r>
          </w:p>
          <w:p w14:paraId="6D65DA46">
            <w:pPr>
              <w:ind w:firstLine="480"/>
            </w:pPr>
            <w:r>
              <w:rPr>
                <w:rFonts w:hint="eastAsia"/>
              </w:rPr>
              <w:t>声环境保护目标主要是指依据法律、法规、标准政策等确定的需要保持安静的建筑物及建筑物集中区，本项目运营期线路中心线外两侧200m范围内无声环境保护目标</w:t>
            </w:r>
          </w:p>
          <w:p w14:paraId="7773B181">
            <w:pPr>
              <w:ind w:firstLine="482"/>
              <w:rPr>
                <w:b/>
                <w:bCs/>
              </w:rPr>
            </w:pPr>
            <w:r>
              <w:rPr>
                <w:rFonts w:hint="eastAsia"/>
                <w:b/>
                <w:bCs/>
              </w:rPr>
              <w:t>3、振动环境保护目标</w:t>
            </w:r>
          </w:p>
          <w:p w14:paraId="2C6D884B">
            <w:pPr>
              <w:ind w:firstLine="480"/>
            </w:pPr>
            <w:r>
              <w:rPr>
                <w:rFonts w:hint="eastAsia"/>
              </w:rPr>
              <w:t>线路两侧距外轨中心线60m以内敏感点，本次评价范围内无振动环境保护目标。</w:t>
            </w:r>
          </w:p>
          <w:p w14:paraId="0112646A">
            <w:pPr>
              <w:ind w:firstLine="482"/>
            </w:pPr>
            <w:r>
              <w:rPr>
                <w:b/>
                <w:bCs/>
              </w:rPr>
              <w:t>3、地表水环境保护目标</w:t>
            </w:r>
          </w:p>
          <w:p w14:paraId="39A2EEB4">
            <w:pPr>
              <w:ind w:firstLine="480"/>
              <w:rPr>
                <w:b/>
                <w:bCs/>
              </w:rPr>
            </w:pPr>
            <w:r>
              <w:t>本项目不涉及饮用水水源保护区、饮用水取水口，不涉及涉水的自然保护区、风景名胜区，重要湿地、重点保护与珍稀水生生物的栖息地、重要水生生物的自然产卵场及索饵场、越冬场和洄游通道，天然渔场等渔业水体，以及水产种资质源保护区等。</w:t>
            </w:r>
          </w:p>
          <w:p w14:paraId="3AAC5213">
            <w:pPr>
              <w:ind w:firstLine="482"/>
            </w:pPr>
            <w:r>
              <w:rPr>
                <w:b/>
                <w:bCs/>
              </w:rPr>
              <w:t>4、地下水环境保护目标</w:t>
            </w:r>
          </w:p>
          <w:p w14:paraId="7FD56A4E">
            <w:pPr>
              <w:ind w:firstLine="480"/>
            </w:pPr>
            <w:r>
              <w:t>本项目不涉及集中式饮用水水源保护区等地下水环境保护目标。</w:t>
            </w:r>
          </w:p>
          <w:p w14:paraId="395C3683">
            <w:pPr>
              <w:ind w:firstLine="482"/>
            </w:pPr>
            <w:r>
              <w:rPr>
                <w:b/>
                <w:bCs/>
              </w:rPr>
              <w:t>5、大气环境保护目标</w:t>
            </w:r>
          </w:p>
          <w:p w14:paraId="21A402F4">
            <w:pPr>
              <w:ind w:firstLine="480"/>
            </w:pPr>
            <w:r>
              <w:rPr>
                <w:rFonts w:hint="eastAsia"/>
              </w:rPr>
              <w:t>根据本项目工程性质及周围环境特征，确定环境空气保护目标为大气评价范围内居住区及文化区，环境空气保护目标见表3-7。</w:t>
            </w:r>
          </w:p>
          <w:p w14:paraId="2C12096F">
            <w:pPr>
              <w:pStyle w:val="33"/>
              <w:rPr>
                <w:color w:val="0000FF"/>
              </w:rPr>
            </w:pPr>
            <w:r>
              <w:rPr>
                <w:rFonts w:hint="eastAsia"/>
                <w:color w:val="0000FF"/>
              </w:rPr>
              <w:t>表3-7 环境空气保护目标</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1"/>
              <w:gridCol w:w="1348"/>
              <w:gridCol w:w="1250"/>
              <w:gridCol w:w="412"/>
              <w:gridCol w:w="412"/>
              <w:gridCol w:w="412"/>
              <w:gridCol w:w="662"/>
              <w:gridCol w:w="2956"/>
            </w:tblGrid>
            <w:tr w14:paraId="33A22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restart"/>
                  <w:tcBorders>
                    <w:tl2br w:val="nil"/>
                    <w:tr2bl w:val="nil"/>
                  </w:tcBorders>
                  <w:vAlign w:val="center"/>
                </w:tcPr>
                <w:p w14:paraId="4B00A30B">
                  <w:pPr>
                    <w:pStyle w:val="30"/>
                    <w:rPr>
                      <w:color w:val="auto"/>
                    </w:rPr>
                  </w:pPr>
                  <w:r>
                    <w:rPr>
                      <w:rFonts w:hint="eastAsia"/>
                      <w:color w:val="auto"/>
                    </w:rPr>
                    <w:t>名称</w:t>
                  </w:r>
                </w:p>
              </w:tc>
              <w:tc>
                <w:tcPr>
                  <w:tcW w:w="1083" w:type="pct"/>
                  <w:gridSpan w:val="2"/>
                  <w:tcBorders>
                    <w:tl2br w:val="nil"/>
                    <w:tr2bl w:val="nil"/>
                  </w:tcBorders>
                  <w:vAlign w:val="center"/>
                </w:tcPr>
                <w:p w14:paraId="727BADEA">
                  <w:pPr>
                    <w:pStyle w:val="30"/>
                    <w:rPr>
                      <w:color w:val="auto"/>
                    </w:rPr>
                  </w:pPr>
                  <w:r>
                    <w:rPr>
                      <w:rFonts w:hint="eastAsia"/>
                      <w:color w:val="auto"/>
                    </w:rPr>
                    <w:t>坐标</w:t>
                  </w:r>
                </w:p>
              </w:tc>
              <w:tc>
                <w:tcPr>
                  <w:tcW w:w="527" w:type="pct"/>
                  <w:vMerge w:val="restart"/>
                  <w:tcBorders>
                    <w:tl2br w:val="nil"/>
                    <w:tr2bl w:val="nil"/>
                  </w:tcBorders>
                  <w:vAlign w:val="center"/>
                </w:tcPr>
                <w:p w14:paraId="0DCBF0CF">
                  <w:pPr>
                    <w:pStyle w:val="30"/>
                    <w:rPr>
                      <w:color w:val="auto"/>
                      <w:highlight w:val="none"/>
                    </w:rPr>
                  </w:pPr>
                  <w:r>
                    <w:rPr>
                      <w:rFonts w:hint="eastAsia"/>
                      <w:color w:val="auto"/>
                      <w:highlight w:val="none"/>
                    </w:rPr>
                    <w:t>保护对象</w:t>
                  </w:r>
                </w:p>
              </w:tc>
              <w:tc>
                <w:tcPr>
                  <w:tcW w:w="413" w:type="pct"/>
                  <w:vMerge w:val="restart"/>
                  <w:tcBorders>
                    <w:tl2br w:val="nil"/>
                    <w:tr2bl w:val="nil"/>
                  </w:tcBorders>
                  <w:vAlign w:val="center"/>
                </w:tcPr>
                <w:p w14:paraId="63E1DFFB">
                  <w:pPr>
                    <w:pStyle w:val="30"/>
                    <w:rPr>
                      <w:color w:val="auto"/>
                    </w:rPr>
                  </w:pPr>
                  <w:r>
                    <w:rPr>
                      <w:rFonts w:hint="eastAsia"/>
                      <w:color w:val="auto"/>
                    </w:rPr>
                    <w:t>保护内容</w:t>
                  </w:r>
                </w:p>
              </w:tc>
              <w:tc>
                <w:tcPr>
                  <w:tcW w:w="413" w:type="pct"/>
                  <w:vMerge w:val="restart"/>
                  <w:tcBorders>
                    <w:tl2br w:val="nil"/>
                    <w:tr2bl w:val="nil"/>
                  </w:tcBorders>
                  <w:vAlign w:val="center"/>
                </w:tcPr>
                <w:p w14:paraId="6B5A9585">
                  <w:pPr>
                    <w:pStyle w:val="30"/>
                    <w:rPr>
                      <w:color w:val="auto"/>
                    </w:rPr>
                  </w:pPr>
                  <w:r>
                    <w:rPr>
                      <w:rFonts w:hint="eastAsia"/>
                      <w:color w:val="auto"/>
                    </w:rPr>
                    <w:t>相对厂址方位</w:t>
                  </w:r>
                </w:p>
              </w:tc>
              <w:tc>
                <w:tcPr>
                  <w:tcW w:w="930" w:type="pct"/>
                  <w:vMerge w:val="restart"/>
                  <w:tcBorders>
                    <w:tl2br w:val="nil"/>
                    <w:tr2bl w:val="nil"/>
                  </w:tcBorders>
                  <w:vAlign w:val="center"/>
                </w:tcPr>
                <w:p w14:paraId="0D26FA64">
                  <w:pPr>
                    <w:pStyle w:val="30"/>
                    <w:rPr>
                      <w:color w:val="auto"/>
                    </w:rPr>
                  </w:pPr>
                  <w:r>
                    <w:rPr>
                      <w:rFonts w:hint="eastAsia"/>
                      <w:color w:val="auto"/>
                    </w:rPr>
                    <w:t>相对本项目外轨中心线距离/m</w:t>
                  </w:r>
                </w:p>
              </w:tc>
              <w:tc>
                <w:tcPr>
                  <w:tcW w:w="1191" w:type="pct"/>
                  <w:vMerge w:val="restart"/>
                  <w:tcBorders>
                    <w:tl2br w:val="nil"/>
                    <w:tr2bl w:val="nil"/>
                  </w:tcBorders>
                  <w:vAlign w:val="center"/>
                </w:tcPr>
                <w:p w14:paraId="2B609789">
                  <w:pPr>
                    <w:pStyle w:val="30"/>
                    <w:rPr>
                      <w:color w:val="auto"/>
                    </w:rPr>
                  </w:pPr>
                  <w:r>
                    <w:rPr>
                      <w:rFonts w:hint="eastAsia"/>
                      <w:color w:val="auto"/>
                    </w:rPr>
                    <w:t>环境功能区</w:t>
                  </w:r>
                </w:p>
              </w:tc>
            </w:tr>
            <w:tr w14:paraId="44124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tcBorders>
                    <w:tl2br w:val="nil"/>
                    <w:tr2bl w:val="nil"/>
                  </w:tcBorders>
                  <w:vAlign w:val="center"/>
                </w:tcPr>
                <w:p w14:paraId="6EE581E8">
                  <w:pPr>
                    <w:pStyle w:val="30"/>
                    <w:rPr>
                      <w:color w:val="auto"/>
                    </w:rPr>
                  </w:pPr>
                </w:p>
              </w:tc>
              <w:tc>
                <w:tcPr>
                  <w:tcW w:w="577" w:type="pct"/>
                  <w:tcBorders>
                    <w:tl2br w:val="nil"/>
                    <w:tr2bl w:val="nil"/>
                  </w:tcBorders>
                  <w:vAlign w:val="center"/>
                </w:tcPr>
                <w:p w14:paraId="75B58F6C">
                  <w:pPr>
                    <w:pStyle w:val="30"/>
                    <w:rPr>
                      <w:color w:val="auto"/>
                    </w:rPr>
                  </w:pPr>
                  <w:r>
                    <w:rPr>
                      <w:rFonts w:hint="eastAsia"/>
                      <w:color w:val="auto"/>
                    </w:rPr>
                    <w:t>经度</w:t>
                  </w:r>
                </w:p>
              </w:tc>
              <w:tc>
                <w:tcPr>
                  <w:tcW w:w="506" w:type="pct"/>
                  <w:tcBorders>
                    <w:tl2br w:val="nil"/>
                    <w:tr2bl w:val="nil"/>
                  </w:tcBorders>
                  <w:vAlign w:val="center"/>
                </w:tcPr>
                <w:p w14:paraId="514C2309">
                  <w:pPr>
                    <w:pStyle w:val="30"/>
                    <w:rPr>
                      <w:color w:val="auto"/>
                    </w:rPr>
                  </w:pPr>
                  <w:r>
                    <w:rPr>
                      <w:rFonts w:hint="eastAsia"/>
                      <w:color w:val="auto"/>
                    </w:rPr>
                    <w:t>纬度</w:t>
                  </w:r>
                </w:p>
              </w:tc>
              <w:tc>
                <w:tcPr>
                  <w:tcW w:w="527" w:type="pct"/>
                  <w:vMerge w:val="continue"/>
                  <w:tcBorders>
                    <w:tl2br w:val="nil"/>
                    <w:tr2bl w:val="nil"/>
                  </w:tcBorders>
                  <w:vAlign w:val="center"/>
                </w:tcPr>
                <w:p w14:paraId="70E8F366">
                  <w:pPr>
                    <w:pStyle w:val="30"/>
                    <w:rPr>
                      <w:color w:val="auto"/>
                      <w:highlight w:val="none"/>
                    </w:rPr>
                  </w:pPr>
                </w:p>
              </w:tc>
              <w:tc>
                <w:tcPr>
                  <w:tcW w:w="413" w:type="pct"/>
                  <w:vMerge w:val="continue"/>
                  <w:tcBorders>
                    <w:tl2br w:val="nil"/>
                    <w:tr2bl w:val="nil"/>
                  </w:tcBorders>
                  <w:vAlign w:val="center"/>
                </w:tcPr>
                <w:p w14:paraId="33CE75CF">
                  <w:pPr>
                    <w:pStyle w:val="30"/>
                    <w:rPr>
                      <w:color w:val="auto"/>
                    </w:rPr>
                  </w:pPr>
                </w:p>
              </w:tc>
              <w:tc>
                <w:tcPr>
                  <w:tcW w:w="413" w:type="pct"/>
                  <w:vMerge w:val="continue"/>
                  <w:tcBorders>
                    <w:tl2br w:val="nil"/>
                    <w:tr2bl w:val="nil"/>
                  </w:tcBorders>
                  <w:vAlign w:val="center"/>
                </w:tcPr>
                <w:p w14:paraId="128A5374">
                  <w:pPr>
                    <w:pStyle w:val="30"/>
                    <w:rPr>
                      <w:color w:val="auto"/>
                    </w:rPr>
                  </w:pPr>
                </w:p>
              </w:tc>
              <w:tc>
                <w:tcPr>
                  <w:tcW w:w="930" w:type="pct"/>
                  <w:vMerge w:val="continue"/>
                  <w:tcBorders>
                    <w:tl2br w:val="nil"/>
                    <w:tr2bl w:val="nil"/>
                  </w:tcBorders>
                  <w:vAlign w:val="center"/>
                </w:tcPr>
                <w:p w14:paraId="5FB04708">
                  <w:pPr>
                    <w:pStyle w:val="30"/>
                    <w:rPr>
                      <w:color w:val="auto"/>
                    </w:rPr>
                  </w:pPr>
                </w:p>
              </w:tc>
              <w:tc>
                <w:tcPr>
                  <w:tcW w:w="1191" w:type="pct"/>
                  <w:vMerge w:val="continue"/>
                  <w:tcBorders>
                    <w:tl2br w:val="nil"/>
                    <w:tr2bl w:val="nil"/>
                  </w:tcBorders>
                  <w:vAlign w:val="center"/>
                </w:tcPr>
                <w:p w14:paraId="08A1D919">
                  <w:pPr>
                    <w:pStyle w:val="30"/>
                    <w:rPr>
                      <w:color w:val="auto"/>
                    </w:rPr>
                  </w:pPr>
                </w:p>
              </w:tc>
            </w:tr>
            <w:tr w14:paraId="1D684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tcBorders>
                    <w:tl2br w:val="nil"/>
                    <w:tr2bl w:val="nil"/>
                  </w:tcBorders>
                  <w:vAlign w:val="center"/>
                </w:tcPr>
                <w:p w14:paraId="0CA366E0">
                  <w:pPr>
                    <w:pStyle w:val="30"/>
                    <w:rPr>
                      <w:color w:val="auto"/>
                    </w:rPr>
                  </w:pPr>
                  <w:r>
                    <w:rPr>
                      <w:rFonts w:hint="eastAsia"/>
                      <w:color w:val="auto"/>
                    </w:rPr>
                    <w:t>站前小区</w:t>
                  </w:r>
                </w:p>
              </w:tc>
              <w:tc>
                <w:tcPr>
                  <w:tcW w:w="577" w:type="pct"/>
                  <w:tcBorders>
                    <w:tl2br w:val="nil"/>
                    <w:tr2bl w:val="nil"/>
                  </w:tcBorders>
                  <w:vAlign w:val="center"/>
                </w:tcPr>
                <w:p w14:paraId="73AE4DFA">
                  <w:pPr>
                    <w:pStyle w:val="30"/>
                    <w:rPr>
                      <w:color w:val="auto"/>
                    </w:rPr>
                  </w:pPr>
                  <w:r>
                    <w:rPr>
                      <w:color w:val="auto"/>
                    </w:rPr>
                    <w:t>131°6′54.738″</w:t>
                  </w:r>
                </w:p>
              </w:tc>
              <w:tc>
                <w:tcPr>
                  <w:tcW w:w="506" w:type="pct"/>
                  <w:tcBorders>
                    <w:tl2br w:val="nil"/>
                    <w:tr2bl w:val="nil"/>
                  </w:tcBorders>
                  <w:vAlign w:val="center"/>
                </w:tcPr>
                <w:p w14:paraId="00F26F47">
                  <w:pPr>
                    <w:pStyle w:val="30"/>
                    <w:rPr>
                      <w:color w:val="auto"/>
                    </w:rPr>
                  </w:pPr>
                  <w:r>
                    <w:rPr>
                      <w:color w:val="auto"/>
                    </w:rPr>
                    <w:t>46°43′5.24</w:t>
                  </w:r>
                  <w:r>
                    <w:rPr>
                      <w:rFonts w:hint="eastAsia"/>
                      <w:color w:val="auto"/>
                    </w:rPr>
                    <w:t>2</w:t>
                  </w:r>
                  <w:r>
                    <w:rPr>
                      <w:color w:val="auto"/>
                    </w:rPr>
                    <w:t>″</w:t>
                  </w:r>
                </w:p>
              </w:tc>
              <w:tc>
                <w:tcPr>
                  <w:tcW w:w="527" w:type="pct"/>
                  <w:tcBorders>
                    <w:tl2br w:val="nil"/>
                    <w:tr2bl w:val="nil"/>
                  </w:tcBorders>
                  <w:vAlign w:val="center"/>
                </w:tcPr>
                <w:p w14:paraId="6FA3A938">
                  <w:pPr>
                    <w:pStyle w:val="30"/>
                    <w:rPr>
                      <w:color w:val="auto"/>
                      <w:highlight w:val="none"/>
                    </w:rPr>
                  </w:pPr>
                  <w:r>
                    <w:rPr>
                      <w:rFonts w:hint="eastAsia"/>
                      <w:color w:val="auto"/>
                      <w:highlight w:val="none"/>
                    </w:rPr>
                    <w:t>农村地区</w:t>
                  </w:r>
                </w:p>
              </w:tc>
              <w:tc>
                <w:tcPr>
                  <w:tcW w:w="413" w:type="pct"/>
                  <w:tcBorders>
                    <w:tl2br w:val="nil"/>
                    <w:tr2bl w:val="nil"/>
                  </w:tcBorders>
                  <w:vAlign w:val="center"/>
                </w:tcPr>
                <w:p w14:paraId="003789C2">
                  <w:pPr>
                    <w:pStyle w:val="30"/>
                    <w:rPr>
                      <w:color w:val="auto"/>
                    </w:rPr>
                  </w:pPr>
                  <w:r>
                    <w:rPr>
                      <w:rFonts w:hint="eastAsia"/>
                      <w:color w:val="auto"/>
                    </w:rPr>
                    <w:t>人群集中区</w:t>
                  </w:r>
                </w:p>
              </w:tc>
              <w:tc>
                <w:tcPr>
                  <w:tcW w:w="413" w:type="pct"/>
                  <w:tcBorders>
                    <w:tl2br w:val="nil"/>
                    <w:tr2bl w:val="nil"/>
                  </w:tcBorders>
                  <w:vAlign w:val="center"/>
                </w:tcPr>
                <w:p w14:paraId="2CAB6F1F">
                  <w:pPr>
                    <w:pStyle w:val="30"/>
                    <w:rPr>
                      <w:color w:val="auto"/>
                    </w:rPr>
                  </w:pPr>
                  <w:r>
                    <w:rPr>
                      <w:rFonts w:hint="eastAsia"/>
                      <w:color w:val="auto"/>
                    </w:rPr>
                    <w:t>E</w:t>
                  </w:r>
                </w:p>
              </w:tc>
              <w:tc>
                <w:tcPr>
                  <w:tcW w:w="930" w:type="pct"/>
                  <w:tcBorders>
                    <w:tl2br w:val="nil"/>
                    <w:tr2bl w:val="nil"/>
                  </w:tcBorders>
                  <w:vAlign w:val="center"/>
                </w:tcPr>
                <w:p w14:paraId="47D2C045">
                  <w:pPr>
                    <w:pStyle w:val="30"/>
                    <w:rPr>
                      <w:color w:val="auto"/>
                    </w:rPr>
                  </w:pPr>
                  <w:r>
                    <w:rPr>
                      <w:rFonts w:hint="eastAsia"/>
                      <w:color w:val="auto"/>
                    </w:rPr>
                    <w:t>210m</w:t>
                  </w:r>
                </w:p>
              </w:tc>
              <w:tc>
                <w:tcPr>
                  <w:tcW w:w="1191" w:type="pct"/>
                  <w:tcBorders>
                    <w:tl2br w:val="nil"/>
                    <w:tr2bl w:val="nil"/>
                  </w:tcBorders>
                  <w:vAlign w:val="center"/>
                </w:tcPr>
                <w:p w14:paraId="7B26DFE5">
                  <w:pPr>
                    <w:pStyle w:val="30"/>
                    <w:rPr>
                      <w:color w:val="auto"/>
                    </w:rPr>
                  </w:pPr>
                  <w:r>
                    <w:rPr>
                      <w:sz w:val="21"/>
                    </w:rPr>
                    <mc:AlternateContent>
                      <mc:Choice Requires="wps">
                        <w:drawing>
                          <wp:anchor distT="0" distB="0" distL="114300" distR="114300" simplePos="0" relativeHeight="251708416" behindDoc="0" locked="0" layoutInCell="1" allowOverlap="1">
                            <wp:simplePos x="0" y="0"/>
                            <wp:positionH relativeFrom="column">
                              <wp:posOffset>200025</wp:posOffset>
                            </wp:positionH>
                            <wp:positionV relativeFrom="paragraph">
                              <wp:posOffset>27940</wp:posOffset>
                            </wp:positionV>
                            <wp:extent cx="739775" cy="337185"/>
                            <wp:effectExtent l="0" t="0" r="3175" b="253365"/>
                            <wp:wrapNone/>
                            <wp:docPr id="29" name="圆角矩形标注 29"/>
                            <wp:cNvGraphicFramePr/>
                            <a:graphic xmlns:a="http://schemas.openxmlformats.org/drawingml/2006/main">
                              <a:graphicData uri="http://schemas.microsoft.com/office/word/2010/wordprocessingShape">
                                <wps:wsp>
                                  <wps:cNvSpPr/>
                                  <wps:spPr>
                                    <a:xfrm>
                                      <a:off x="6029325" y="1243330"/>
                                      <a:ext cx="739775" cy="337185"/>
                                    </a:xfrm>
                                    <a:prstGeom prst="wedgeRoundRectCallout">
                                      <a:avLst>
                                        <a:gd name="adj1" fmla="val 40643"/>
                                        <a:gd name="adj2" fmla="val 121939"/>
                                        <a:gd name="adj3" fmla="val 16667"/>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E4E92C1">
                                        <w:pPr>
                                          <w:ind w:left="0" w:leftChars="0" w:firstLine="0" w:firstLineChars="0"/>
                                          <w:jc w:val="both"/>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5.75pt;margin-top:2.2pt;height:26.55pt;width:58.25pt;z-index:251708416;v-text-anchor:middle;mso-width-relative:page;mso-height-relative:page;" fillcolor="#FFFFFF [3212]" filled="t" stroked="f" coordsize="21600,21600" o:gfxdata="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XG1Eu1wAAAAcBAAAP&#10;AAAAAAAAAAEAIAAAACIAAABkcnMvZG93bnJldi54bWxQSwECFAAUAAAACACHTuJAaAB01MQCAABf&#10;BQAADgAAAAAAAAABACAAAAAmAQAAZHJzL2Uyb0RvYy54bWxQSwUGAAAAAAYABgBZAQAAXAYAAAAA&#10;" adj="19579,37139,14400">
                            <v:fill on="t" focussize="0,0"/>
                            <v:stroke on="f" weight="2pt"/>
                            <v:imagedata o:title=""/>
                            <o:lock v:ext="edit" aspectratio="f"/>
                            <v:textbox>
                              <w:txbxContent>
                                <w:p w14:paraId="2E4E92C1">
                                  <w:pPr>
                                    <w:ind w:left="0" w:leftChars="0" w:firstLine="0" w:firstLineChars="0"/>
                                    <w:jc w:val="both"/>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v:textbox>
                          </v:shape>
                        </w:pict>
                      </mc:Fallback>
                    </mc:AlternateContent>
                  </w:r>
                  <w:r>
                    <w:rPr>
                      <w:color w:val="auto"/>
                    </w:rPr>
                    <w:drawing>
                      <wp:inline distT="0" distB="0" distL="114300" distR="114300">
                        <wp:extent cx="1864995" cy="1226820"/>
                        <wp:effectExtent l="0" t="0" r="1905" b="1143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18"/>
                                <a:stretch>
                                  <a:fillRect/>
                                </a:stretch>
                              </pic:blipFill>
                              <pic:spPr>
                                <a:xfrm>
                                  <a:off x="0" y="0"/>
                                  <a:ext cx="1864995" cy="1226820"/>
                                </a:xfrm>
                                <a:prstGeom prst="rect">
                                  <a:avLst/>
                                </a:prstGeom>
                                <a:noFill/>
                                <a:ln>
                                  <a:noFill/>
                                </a:ln>
                              </pic:spPr>
                            </pic:pic>
                          </a:graphicData>
                        </a:graphic>
                      </wp:inline>
                    </w:drawing>
                  </w:r>
                </w:p>
              </w:tc>
            </w:tr>
          </w:tbl>
          <w:p w14:paraId="43EB15ED">
            <w:pPr>
              <w:ind w:firstLine="480"/>
            </w:pPr>
          </w:p>
        </w:tc>
      </w:tr>
      <w:tr w14:paraId="4CDE8A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5" w:type="pct"/>
            <w:vAlign w:val="center"/>
          </w:tcPr>
          <w:p w14:paraId="34B3C53C">
            <w:pPr>
              <w:adjustRightInd w:val="0"/>
              <w:snapToGrid w:val="0"/>
              <w:ind w:firstLine="0" w:firstLineChars="0"/>
              <w:jc w:val="center"/>
              <w:rPr>
                <w:kern w:val="0"/>
                <w:szCs w:val="21"/>
              </w:rPr>
            </w:pPr>
            <w:r>
              <w:rPr>
                <w:kern w:val="0"/>
                <w:szCs w:val="21"/>
              </w:rPr>
              <w:t>评价</w:t>
            </w:r>
          </w:p>
          <w:p w14:paraId="6FA25839">
            <w:pPr>
              <w:adjustRightInd w:val="0"/>
              <w:snapToGrid w:val="0"/>
              <w:ind w:firstLine="0" w:firstLineChars="0"/>
              <w:jc w:val="center"/>
              <w:rPr>
                <w:kern w:val="0"/>
                <w:szCs w:val="21"/>
              </w:rPr>
            </w:pPr>
            <w:r>
              <w:rPr>
                <w:kern w:val="0"/>
                <w:szCs w:val="21"/>
              </w:rPr>
              <w:t>标准</w:t>
            </w:r>
          </w:p>
        </w:tc>
        <w:tc>
          <w:tcPr>
            <w:tcW w:w="4294" w:type="pct"/>
            <w:vAlign w:val="center"/>
          </w:tcPr>
          <w:p w14:paraId="421F8336">
            <w:pPr>
              <w:ind w:firstLine="482"/>
            </w:pPr>
            <w:r>
              <w:rPr>
                <w:b/>
                <w:bCs/>
              </w:rPr>
              <w:t>1</w:t>
            </w:r>
            <w:r>
              <w:rPr>
                <w:rFonts w:hint="eastAsia"/>
                <w:b/>
                <w:bCs/>
              </w:rPr>
              <w:t>、</w:t>
            </w:r>
            <w:r>
              <w:rPr>
                <w:b/>
                <w:bCs/>
              </w:rPr>
              <w:t>环境空气</w:t>
            </w:r>
            <w:r>
              <w:rPr>
                <w:rFonts w:hint="eastAsia"/>
                <w:b/>
                <w:bCs/>
              </w:rPr>
              <w:t>质量标准</w:t>
            </w:r>
          </w:p>
          <w:p w14:paraId="4DF975E0">
            <w:pPr>
              <w:ind w:firstLine="480"/>
            </w:pPr>
            <w:r>
              <w:t>本项目所在区域环境空气执行《环境空气质量标准》（GB3095-2012）及修改单的二级标准。</w:t>
            </w:r>
          </w:p>
          <w:p w14:paraId="762BE23F">
            <w:pPr>
              <w:pStyle w:val="33"/>
              <w:rPr>
                <w:szCs w:val="24"/>
              </w:rPr>
            </w:pPr>
            <w:r>
              <w:t>表3-</w:t>
            </w:r>
            <w:r>
              <w:rPr>
                <w:rFonts w:hint="eastAsia"/>
              </w:rPr>
              <w:t xml:space="preserve">8 </w:t>
            </w:r>
            <w:r>
              <w:t>环境空气质量标准</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1579"/>
              <w:gridCol w:w="2296"/>
              <w:gridCol w:w="1062"/>
              <w:gridCol w:w="1687"/>
            </w:tblGrid>
            <w:tr w14:paraId="0775C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79" w:hRule="atLeast"/>
                <w:jc w:val="center"/>
              </w:trPr>
              <w:tc>
                <w:tcPr>
                  <w:tcW w:w="786" w:type="pct"/>
                  <w:vMerge w:val="restart"/>
                  <w:vAlign w:val="center"/>
                </w:tcPr>
                <w:p w14:paraId="0C937CDB">
                  <w:pPr>
                    <w:spacing w:line="240" w:lineRule="auto"/>
                    <w:ind w:firstLine="0" w:firstLineChars="0"/>
                    <w:jc w:val="center"/>
                    <w:rPr>
                      <w:b/>
                      <w:bCs/>
                      <w:sz w:val="21"/>
                      <w:szCs w:val="21"/>
                    </w:rPr>
                  </w:pPr>
                  <w:r>
                    <w:rPr>
                      <w:b/>
                      <w:bCs/>
                      <w:sz w:val="21"/>
                      <w:szCs w:val="21"/>
                    </w:rPr>
                    <w:t>污染物名称</w:t>
                  </w:r>
                </w:p>
              </w:tc>
              <w:tc>
                <w:tcPr>
                  <w:tcW w:w="1004" w:type="pct"/>
                  <w:vMerge w:val="restart"/>
                  <w:vAlign w:val="center"/>
                </w:tcPr>
                <w:p w14:paraId="11299BAD">
                  <w:pPr>
                    <w:spacing w:line="240" w:lineRule="auto"/>
                    <w:ind w:firstLine="0" w:firstLineChars="0"/>
                    <w:jc w:val="center"/>
                    <w:rPr>
                      <w:b/>
                      <w:bCs/>
                      <w:sz w:val="21"/>
                      <w:szCs w:val="21"/>
                    </w:rPr>
                  </w:pPr>
                  <w:r>
                    <w:rPr>
                      <w:b/>
                      <w:bCs/>
                      <w:sz w:val="21"/>
                      <w:szCs w:val="21"/>
                    </w:rPr>
                    <w:t>平均时间</w:t>
                  </w:r>
                </w:p>
              </w:tc>
              <w:tc>
                <w:tcPr>
                  <w:tcW w:w="1460" w:type="pct"/>
                  <w:vAlign w:val="center"/>
                </w:tcPr>
                <w:p w14:paraId="04460595">
                  <w:pPr>
                    <w:spacing w:line="240" w:lineRule="auto"/>
                    <w:ind w:firstLine="0" w:firstLineChars="0"/>
                    <w:jc w:val="center"/>
                    <w:rPr>
                      <w:b/>
                      <w:bCs/>
                      <w:sz w:val="21"/>
                      <w:szCs w:val="21"/>
                    </w:rPr>
                  </w:pPr>
                  <w:r>
                    <w:rPr>
                      <w:b/>
                      <w:bCs/>
                      <w:sz w:val="21"/>
                      <w:szCs w:val="21"/>
                    </w:rPr>
                    <w:t>浓度限值</w:t>
                  </w:r>
                </w:p>
              </w:tc>
              <w:tc>
                <w:tcPr>
                  <w:tcW w:w="675" w:type="pct"/>
                  <w:vMerge w:val="restart"/>
                  <w:vAlign w:val="center"/>
                </w:tcPr>
                <w:p w14:paraId="0D50CE6B">
                  <w:pPr>
                    <w:spacing w:line="240" w:lineRule="auto"/>
                    <w:ind w:firstLine="0" w:firstLineChars="0"/>
                    <w:jc w:val="center"/>
                    <w:rPr>
                      <w:b/>
                      <w:bCs/>
                      <w:sz w:val="21"/>
                      <w:szCs w:val="21"/>
                    </w:rPr>
                  </w:pPr>
                  <w:r>
                    <w:rPr>
                      <w:b/>
                      <w:bCs/>
                      <w:sz w:val="21"/>
                      <w:szCs w:val="21"/>
                    </w:rPr>
                    <w:t>单位</w:t>
                  </w:r>
                </w:p>
              </w:tc>
              <w:tc>
                <w:tcPr>
                  <w:tcW w:w="1073" w:type="pct"/>
                  <w:vMerge w:val="restart"/>
                  <w:vAlign w:val="center"/>
                </w:tcPr>
                <w:p w14:paraId="700B9591">
                  <w:pPr>
                    <w:spacing w:line="240" w:lineRule="auto"/>
                    <w:ind w:firstLine="0" w:firstLineChars="0"/>
                    <w:jc w:val="center"/>
                    <w:rPr>
                      <w:b/>
                      <w:bCs/>
                      <w:sz w:val="21"/>
                      <w:szCs w:val="21"/>
                    </w:rPr>
                  </w:pPr>
                  <w:r>
                    <w:rPr>
                      <w:b/>
                      <w:bCs/>
                      <w:sz w:val="21"/>
                      <w:szCs w:val="21"/>
                    </w:rPr>
                    <w:t>标准来源</w:t>
                  </w:r>
                </w:p>
              </w:tc>
            </w:tr>
            <w:tr w14:paraId="6E94F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continue"/>
                  <w:vAlign w:val="center"/>
                </w:tcPr>
                <w:p w14:paraId="4D30F320">
                  <w:pPr>
                    <w:spacing w:line="240" w:lineRule="auto"/>
                    <w:ind w:firstLine="0" w:firstLineChars="0"/>
                    <w:jc w:val="center"/>
                    <w:rPr>
                      <w:b/>
                      <w:bCs/>
                      <w:sz w:val="21"/>
                      <w:szCs w:val="21"/>
                    </w:rPr>
                  </w:pPr>
                </w:p>
              </w:tc>
              <w:tc>
                <w:tcPr>
                  <w:tcW w:w="1004" w:type="pct"/>
                  <w:vMerge w:val="continue"/>
                  <w:vAlign w:val="center"/>
                </w:tcPr>
                <w:p w14:paraId="69EBF7ED">
                  <w:pPr>
                    <w:spacing w:line="240" w:lineRule="auto"/>
                    <w:ind w:firstLine="0" w:firstLineChars="0"/>
                    <w:jc w:val="center"/>
                    <w:rPr>
                      <w:b/>
                      <w:bCs/>
                      <w:sz w:val="21"/>
                      <w:szCs w:val="21"/>
                    </w:rPr>
                  </w:pPr>
                </w:p>
              </w:tc>
              <w:tc>
                <w:tcPr>
                  <w:tcW w:w="1460" w:type="pct"/>
                  <w:vAlign w:val="center"/>
                </w:tcPr>
                <w:p w14:paraId="1C932F1E">
                  <w:pPr>
                    <w:spacing w:line="240" w:lineRule="auto"/>
                    <w:ind w:firstLine="0" w:firstLineChars="0"/>
                    <w:jc w:val="center"/>
                    <w:rPr>
                      <w:b/>
                      <w:bCs/>
                      <w:sz w:val="21"/>
                      <w:szCs w:val="21"/>
                    </w:rPr>
                  </w:pPr>
                  <w:r>
                    <w:rPr>
                      <w:b/>
                      <w:bCs/>
                      <w:sz w:val="21"/>
                      <w:szCs w:val="21"/>
                    </w:rPr>
                    <w:t>二级</w:t>
                  </w:r>
                </w:p>
              </w:tc>
              <w:tc>
                <w:tcPr>
                  <w:tcW w:w="675" w:type="pct"/>
                  <w:vMerge w:val="continue"/>
                  <w:vAlign w:val="center"/>
                </w:tcPr>
                <w:p w14:paraId="55835A94">
                  <w:pPr>
                    <w:spacing w:line="240" w:lineRule="auto"/>
                    <w:ind w:firstLine="0" w:firstLineChars="0"/>
                    <w:jc w:val="center"/>
                    <w:rPr>
                      <w:sz w:val="21"/>
                      <w:szCs w:val="21"/>
                    </w:rPr>
                  </w:pPr>
                </w:p>
              </w:tc>
              <w:tc>
                <w:tcPr>
                  <w:tcW w:w="1073" w:type="pct"/>
                  <w:vMerge w:val="continue"/>
                  <w:vAlign w:val="center"/>
                </w:tcPr>
                <w:p w14:paraId="2B36C0F3">
                  <w:pPr>
                    <w:spacing w:line="240" w:lineRule="auto"/>
                    <w:ind w:firstLine="0" w:firstLineChars="0"/>
                    <w:jc w:val="center"/>
                    <w:rPr>
                      <w:sz w:val="21"/>
                      <w:szCs w:val="21"/>
                    </w:rPr>
                  </w:pPr>
                </w:p>
              </w:tc>
            </w:tr>
            <w:tr w14:paraId="0864F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restart"/>
                  <w:vAlign w:val="center"/>
                </w:tcPr>
                <w:p w14:paraId="636D3FDB">
                  <w:pPr>
                    <w:spacing w:line="240" w:lineRule="auto"/>
                    <w:ind w:firstLine="0" w:firstLineChars="0"/>
                    <w:jc w:val="center"/>
                    <w:rPr>
                      <w:sz w:val="21"/>
                      <w:szCs w:val="21"/>
                    </w:rPr>
                  </w:pPr>
                  <w:r>
                    <w:rPr>
                      <w:sz w:val="21"/>
                      <w:szCs w:val="21"/>
                    </w:rPr>
                    <w:t>NO</w:t>
                  </w:r>
                  <w:r>
                    <w:rPr>
                      <w:sz w:val="21"/>
                      <w:szCs w:val="21"/>
                      <w:vertAlign w:val="subscript"/>
                    </w:rPr>
                    <w:t>2</w:t>
                  </w:r>
                </w:p>
              </w:tc>
              <w:tc>
                <w:tcPr>
                  <w:tcW w:w="1004" w:type="pct"/>
                  <w:vAlign w:val="center"/>
                </w:tcPr>
                <w:p w14:paraId="7137A792">
                  <w:pPr>
                    <w:spacing w:line="240" w:lineRule="auto"/>
                    <w:ind w:firstLine="0" w:firstLineChars="0"/>
                    <w:jc w:val="center"/>
                    <w:rPr>
                      <w:sz w:val="21"/>
                      <w:szCs w:val="21"/>
                    </w:rPr>
                  </w:pPr>
                  <w:r>
                    <w:rPr>
                      <w:sz w:val="21"/>
                      <w:szCs w:val="21"/>
                    </w:rPr>
                    <w:t>年平均</w:t>
                  </w:r>
                </w:p>
              </w:tc>
              <w:tc>
                <w:tcPr>
                  <w:tcW w:w="1460" w:type="pct"/>
                  <w:vAlign w:val="center"/>
                </w:tcPr>
                <w:p w14:paraId="7F248545">
                  <w:pPr>
                    <w:spacing w:line="240" w:lineRule="auto"/>
                    <w:ind w:firstLine="0" w:firstLineChars="0"/>
                    <w:jc w:val="center"/>
                    <w:rPr>
                      <w:sz w:val="21"/>
                      <w:szCs w:val="21"/>
                    </w:rPr>
                  </w:pPr>
                  <w:r>
                    <w:rPr>
                      <w:sz w:val="21"/>
                      <w:szCs w:val="21"/>
                    </w:rPr>
                    <w:t>40</w:t>
                  </w:r>
                </w:p>
              </w:tc>
              <w:tc>
                <w:tcPr>
                  <w:tcW w:w="675" w:type="pct"/>
                  <w:vMerge w:val="restart"/>
                  <w:vAlign w:val="center"/>
                </w:tcPr>
                <w:p w14:paraId="3719A460">
                  <w:pPr>
                    <w:spacing w:line="240" w:lineRule="auto"/>
                    <w:ind w:firstLine="0" w:firstLineChars="0"/>
                    <w:jc w:val="center"/>
                    <w:rPr>
                      <w:sz w:val="21"/>
                      <w:szCs w:val="21"/>
                    </w:rPr>
                  </w:pPr>
                  <w:r>
                    <w:rPr>
                      <w:sz w:val="21"/>
                      <w:szCs w:val="21"/>
                    </w:rPr>
                    <w:t>μg/m</w:t>
                  </w:r>
                  <w:r>
                    <w:rPr>
                      <w:sz w:val="21"/>
                      <w:szCs w:val="21"/>
                      <w:vertAlign w:val="superscript"/>
                    </w:rPr>
                    <w:t>3</w:t>
                  </w:r>
                </w:p>
              </w:tc>
              <w:tc>
                <w:tcPr>
                  <w:tcW w:w="1073" w:type="pct"/>
                  <w:vMerge w:val="restart"/>
                  <w:vAlign w:val="center"/>
                </w:tcPr>
                <w:p w14:paraId="6DC3B789">
                  <w:pPr>
                    <w:spacing w:line="240" w:lineRule="auto"/>
                    <w:ind w:firstLine="0" w:firstLineChars="0"/>
                    <w:jc w:val="center"/>
                    <w:rPr>
                      <w:sz w:val="21"/>
                      <w:szCs w:val="21"/>
                    </w:rPr>
                  </w:pPr>
                  <w:r>
                    <w:rPr>
                      <w:sz w:val="21"/>
                      <w:szCs w:val="21"/>
                    </w:rPr>
                    <w:t>《环境空气质量标准》(GB3095-2012)及其修改单</w:t>
                  </w:r>
                </w:p>
              </w:tc>
            </w:tr>
            <w:tr w14:paraId="7F225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continue"/>
                  <w:vAlign w:val="center"/>
                </w:tcPr>
                <w:p w14:paraId="24C88C72">
                  <w:pPr>
                    <w:spacing w:line="240" w:lineRule="auto"/>
                    <w:ind w:firstLine="0" w:firstLineChars="0"/>
                    <w:jc w:val="center"/>
                    <w:rPr>
                      <w:sz w:val="21"/>
                      <w:szCs w:val="21"/>
                    </w:rPr>
                  </w:pPr>
                </w:p>
              </w:tc>
              <w:tc>
                <w:tcPr>
                  <w:tcW w:w="1004" w:type="pct"/>
                  <w:vAlign w:val="center"/>
                </w:tcPr>
                <w:p w14:paraId="3CC0C2C9">
                  <w:pPr>
                    <w:spacing w:line="240" w:lineRule="auto"/>
                    <w:ind w:firstLine="0" w:firstLineChars="0"/>
                    <w:jc w:val="center"/>
                    <w:rPr>
                      <w:sz w:val="21"/>
                      <w:szCs w:val="21"/>
                    </w:rPr>
                  </w:pPr>
                  <w:r>
                    <w:rPr>
                      <w:sz w:val="21"/>
                      <w:szCs w:val="21"/>
                    </w:rPr>
                    <w:t>24小时平均</w:t>
                  </w:r>
                </w:p>
              </w:tc>
              <w:tc>
                <w:tcPr>
                  <w:tcW w:w="1460" w:type="pct"/>
                  <w:vAlign w:val="center"/>
                </w:tcPr>
                <w:p w14:paraId="49FD7CE6">
                  <w:pPr>
                    <w:spacing w:line="240" w:lineRule="auto"/>
                    <w:ind w:firstLine="0" w:firstLineChars="0"/>
                    <w:jc w:val="center"/>
                    <w:rPr>
                      <w:sz w:val="21"/>
                      <w:szCs w:val="21"/>
                    </w:rPr>
                  </w:pPr>
                  <w:r>
                    <w:rPr>
                      <w:sz w:val="21"/>
                      <w:szCs w:val="21"/>
                    </w:rPr>
                    <w:t>80</w:t>
                  </w:r>
                </w:p>
              </w:tc>
              <w:tc>
                <w:tcPr>
                  <w:tcW w:w="675" w:type="pct"/>
                  <w:vMerge w:val="continue"/>
                  <w:vAlign w:val="center"/>
                </w:tcPr>
                <w:p w14:paraId="1CAD6244">
                  <w:pPr>
                    <w:spacing w:line="240" w:lineRule="auto"/>
                    <w:ind w:firstLine="0" w:firstLineChars="0"/>
                    <w:jc w:val="center"/>
                    <w:rPr>
                      <w:sz w:val="21"/>
                      <w:szCs w:val="21"/>
                    </w:rPr>
                  </w:pPr>
                </w:p>
              </w:tc>
              <w:tc>
                <w:tcPr>
                  <w:tcW w:w="1073" w:type="pct"/>
                  <w:vMerge w:val="continue"/>
                  <w:vAlign w:val="center"/>
                </w:tcPr>
                <w:p w14:paraId="429F94F5">
                  <w:pPr>
                    <w:spacing w:line="240" w:lineRule="auto"/>
                    <w:ind w:firstLine="0" w:firstLineChars="0"/>
                    <w:jc w:val="center"/>
                    <w:rPr>
                      <w:sz w:val="21"/>
                      <w:szCs w:val="21"/>
                    </w:rPr>
                  </w:pPr>
                </w:p>
              </w:tc>
            </w:tr>
            <w:tr w14:paraId="2733E9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continue"/>
                  <w:vAlign w:val="center"/>
                </w:tcPr>
                <w:p w14:paraId="632653C0">
                  <w:pPr>
                    <w:spacing w:line="240" w:lineRule="auto"/>
                    <w:ind w:firstLine="0" w:firstLineChars="0"/>
                    <w:jc w:val="center"/>
                    <w:rPr>
                      <w:sz w:val="21"/>
                      <w:szCs w:val="21"/>
                    </w:rPr>
                  </w:pPr>
                </w:p>
              </w:tc>
              <w:tc>
                <w:tcPr>
                  <w:tcW w:w="1004" w:type="pct"/>
                  <w:vAlign w:val="center"/>
                </w:tcPr>
                <w:p w14:paraId="5067E037">
                  <w:pPr>
                    <w:spacing w:line="240" w:lineRule="auto"/>
                    <w:ind w:firstLine="0" w:firstLineChars="0"/>
                    <w:jc w:val="center"/>
                    <w:rPr>
                      <w:sz w:val="21"/>
                      <w:szCs w:val="21"/>
                    </w:rPr>
                  </w:pPr>
                  <w:r>
                    <w:rPr>
                      <w:sz w:val="21"/>
                      <w:szCs w:val="21"/>
                    </w:rPr>
                    <w:t>1小时平均</w:t>
                  </w:r>
                </w:p>
              </w:tc>
              <w:tc>
                <w:tcPr>
                  <w:tcW w:w="1460" w:type="pct"/>
                  <w:vAlign w:val="center"/>
                </w:tcPr>
                <w:p w14:paraId="3C11744C">
                  <w:pPr>
                    <w:spacing w:line="240" w:lineRule="auto"/>
                    <w:ind w:firstLine="0" w:firstLineChars="0"/>
                    <w:jc w:val="center"/>
                    <w:rPr>
                      <w:sz w:val="21"/>
                      <w:szCs w:val="21"/>
                    </w:rPr>
                  </w:pPr>
                  <w:r>
                    <w:rPr>
                      <w:sz w:val="21"/>
                      <w:szCs w:val="21"/>
                    </w:rPr>
                    <w:t>200</w:t>
                  </w:r>
                </w:p>
              </w:tc>
              <w:tc>
                <w:tcPr>
                  <w:tcW w:w="675" w:type="pct"/>
                  <w:vMerge w:val="continue"/>
                  <w:vAlign w:val="center"/>
                </w:tcPr>
                <w:p w14:paraId="04A76B0B">
                  <w:pPr>
                    <w:spacing w:line="240" w:lineRule="auto"/>
                    <w:ind w:firstLine="0" w:firstLineChars="0"/>
                    <w:jc w:val="center"/>
                    <w:rPr>
                      <w:sz w:val="21"/>
                      <w:szCs w:val="21"/>
                    </w:rPr>
                  </w:pPr>
                </w:p>
              </w:tc>
              <w:tc>
                <w:tcPr>
                  <w:tcW w:w="1073" w:type="pct"/>
                  <w:vMerge w:val="continue"/>
                  <w:vAlign w:val="center"/>
                </w:tcPr>
                <w:p w14:paraId="25C239E6">
                  <w:pPr>
                    <w:spacing w:line="240" w:lineRule="auto"/>
                    <w:ind w:firstLine="0" w:firstLineChars="0"/>
                    <w:jc w:val="center"/>
                    <w:rPr>
                      <w:sz w:val="21"/>
                      <w:szCs w:val="21"/>
                    </w:rPr>
                  </w:pPr>
                </w:p>
              </w:tc>
            </w:tr>
            <w:tr w14:paraId="11F5F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restart"/>
                  <w:vAlign w:val="center"/>
                </w:tcPr>
                <w:p w14:paraId="0D8514CE">
                  <w:pPr>
                    <w:spacing w:line="240" w:lineRule="auto"/>
                    <w:ind w:firstLine="0" w:firstLineChars="0"/>
                    <w:jc w:val="center"/>
                    <w:rPr>
                      <w:sz w:val="21"/>
                      <w:szCs w:val="21"/>
                    </w:rPr>
                  </w:pPr>
                  <w:r>
                    <w:rPr>
                      <w:sz w:val="21"/>
                      <w:szCs w:val="21"/>
                    </w:rPr>
                    <w:t>TSP</w:t>
                  </w:r>
                </w:p>
              </w:tc>
              <w:tc>
                <w:tcPr>
                  <w:tcW w:w="1004" w:type="pct"/>
                  <w:vAlign w:val="center"/>
                </w:tcPr>
                <w:p w14:paraId="457BD1D1">
                  <w:pPr>
                    <w:spacing w:line="240" w:lineRule="auto"/>
                    <w:ind w:firstLine="0" w:firstLineChars="0"/>
                    <w:jc w:val="center"/>
                    <w:rPr>
                      <w:sz w:val="21"/>
                      <w:szCs w:val="21"/>
                    </w:rPr>
                  </w:pPr>
                  <w:r>
                    <w:rPr>
                      <w:sz w:val="21"/>
                      <w:szCs w:val="21"/>
                    </w:rPr>
                    <w:t>年平均</w:t>
                  </w:r>
                </w:p>
              </w:tc>
              <w:tc>
                <w:tcPr>
                  <w:tcW w:w="1460" w:type="pct"/>
                  <w:vAlign w:val="center"/>
                </w:tcPr>
                <w:p w14:paraId="3A2D147F">
                  <w:pPr>
                    <w:spacing w:line="240" w:lineRule="auto"/>
                    <w:ind w:firstLine="0" w:firstLineChars="0"/>
                    <w:jc w:val="center"/>
                    <w:rPr>
                      <w:sz w:val="21"/>
                      <w:szCs w:val="21"/>
                    </w:rPr>
                  </w:pPr>
                  <w:r>
                    <w:rPr>
                      <w:sz w:val="21"/>
                      <w:szCs w:val="21"/>
                    </w:rPr>
                    <w:t>200</w:t>
                  </w:r>
                </w:p>
              </w:tc>
              <w:tc>
                <w:tcPr>
                  <w:tcW w:w="675" w:type="pct"/>
                  <w:vMerge w:val="continue"/>
                  <w:vAlign w:val="center"/>
                </w:tcPr>
                <w:p w14:paraId="6E78103E">
                  <w:pPr>
                    <w:spacing w:line="240" w:lineRule="auto"/>
                    <w:ind w:firstLine="0" w:firstLineChars="0"/>
                    <w:jc w:val="center"/>
                    <w:rPr>
                      <w:sz w:val="21"/>
                      <w:szCs w:val="21"/>
                    </w:rPr>
                  </w:pPr>
                </w:p>
              </w:tc>
              <w:tc>
                <w:tcPr>
                  <w:tcW w:w="1073" w:type="pct"/>
                  <w:vMerge w:val="continue"/>
                  <w:vAlign w:val="center"/>
                </w:tcPr>
                <w:p w14:paraId="0F141F00">
                  <w:pPr>
                    <w:spacing w:line="240" w:lineRule="auto"/>
                    <w:ind w:firstLine="0" w:firstLineChars="0"/>
                    <w:jc w:val="center"/>
                    <w:rPr>
                      <w:sz w:val="21"/>
                      <w:szCs w:val="21"/>
                    </w:rPr>
                  </w:pPr>
                </w:p>
              </w:tc>
            </w:tr>
            <w:tr w14:paraId="28534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4" w:hRule="atLeast"/>
                <w:jc w:val="center"/>
              </w:trPr>
              <w:tc>
                <w:tcPr>
                  <w:tcW w:w="786" w:type="pct"/>
                  <w:vMerge w:val="continue"/>
                  <w:vAlign w:val="center"/>
                </w:tcPr>
                <w:p w14:paraId="24CC6EAF">
                  <w:pPr>
                    <w:spacing w:line="240" w:lineRule="auto"/>
                    <w:ind w:firstLine="0" w:firstLineChars="0"/>
                    <w:jc w:val="center"/>
                    <w:rPr>
                      <w:sz w:val="21"/>
                      <w:szCs w:val="21"/>
                    </w:rPr>
                  </w:pPr>
                </w:p>
              </w:tc>
              <w:tc>
                <w:tcPr>
                  <w:tcW w:w="1004" w:type="pct"/>
                  <w:vAlign w:val="center"/>
                </w:tcPr>
                <w:p w14:paraId="51BEECCA">
                  <w:pPr>
                    <w:spacing w:line="240" w:lineRule="auto"/>
                    <w:ind w:firstLine="0" w:firstLineChars="0"/>
                    <w:jc w:val="center"/>
                    <w:rPr>
                      <w:sz w:val="21"/>
                      <w:szCs w:val="21"/>
                    </w:rPr>
                  </w:pPr>
                  <w:r>
                    <w:rPr>
                      <w:sz w:val="21"/>
                      <w:szCs w:val="21"/>
                    </w:rPr>
                    <w:t>24小时平均</w:t>
                  </w:r>
                </w:p>
              </w:tc>
              <w:tc>
                <w:tcPr>
                  <w:tcW w:w="1460" w:type="pct"/>
                  <w:vAlign w:val="center"/>
                </w:tcPr>
                <w:p w14:paraId="248EEA96">
                  <w:pPr>
                    <w:spacing w:line="240" w:lineRule="auto"/>
                    <w:ind w:firstLine="0" w:firstLineChars="0"/>
                    <w:jc w:val="center"/>
                    <w:rPr>
                      <w:sz w:val="21"/>
                      <w:szCs w:val="21"/>
                    </w:rPr>
                  </w:pPr>
                  <w:r>
                    <w:rPr>
                      <w:sz w:val="21"/>
                      <w:szCs w:val="21"/>
                    </w:rPr>
                    <w:t>300</w:t>
                  </w:r>
                </w:p>
              </w:tc>
              <w:tc>
                <w:tcPr>
                  <w:tcW w:w="675" w:type="pct"/>
                  <w:vMerge w:val="continue"/>
                  <w:vAlign w:val="center"/>
                </w:tcPr>
                <w:p w14:paraId="19CA30DF">
                  <w:pPr>
                    <w:spacing w:line="240" w:lineRule="auto"/>
                    <w:ind w:firstLine="0" w:firstLineChars="0"/>
                    <w:jc w:val="center"/>
                    <w:rPr>
                      <w:sz w:val="21"/>
                      <w:szCs w:val="21"/>
                    </w:rPr>
                  </w:pPr>
                </w:p>
              </w:tc>
              <w:tc>
                <w:tcPr>
                  <w:tcW w:w="1073" w:type="pct"/>
                  <w:vMerge w:val="continue"/>
                  <w:vAlign w:val="center"/>
                </w:tcPr>
                <w:p w14:paraId="7CC18D36">
                  <w:pPr>
                    <w:spacing w:line="240" w:lineRule="auto"/>
                    <w:ind w:firstLine="0" w:firstLineChars="0"/>
                    <w:jc w:val="center"/>
                    <w:rPr>
                      <w:sz w:val="21"/>
                      <w:szCs w:val="21"/>
                    </w:rPr>
                  </w:pPr>
                </w:p>
              </w:tc>
            </w:tr>
            <w:tr w14:paraId="60A53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restart"/>
                  <w:vAlign w:val="center"/>
                </w:tcPr>
                <w:p w14:paraId="1D95ADF4">
                  <w:pPr>
                    <w:spacing w:line="240" w:lineRule="auto"/>
                    <w:ind w:firstLine="0" w:firstLineChars="0"/>
                    <w:jc w:val="center"/>
                    <w:rPr>
                      <w:sz w:val="21"/>
                      <w:szCs w:val="21"/>
                      <w:vertAlign w:val="subscript"/>
                    </w:rPr>
                  </w:pPr>
                  <w:r>
                    <w:rPr>
                      <w:sz w:val="21"/>
                      <w:szCs w:val="21"/>
                    </w:rPr>
                    <w:t>PM</w:t>
                  </w:r>
                  <w:r>
                    <w:rPr>
                      <w:sz w:val="21"/>
                      <w:szCs w:val="21"/>
                      <w:vertAlign w:val="subscript"/>
                    </w:rPr>
                    <w:t>10</w:t>
                  </w:r>
                </w:p>
              </w:tc>
              <w:tc>
                <w:tcPr>
                  <w:tcW w:w="1004" w:type="pct"/>
                  <w:vAlign w:val="center"/>
                </w:tcPr>
                <w:p w14:paraId="123F3878">
                  <w:pPr>
                    <w:spacing w:line="240" w:lineRule="auto"/>
                    <w:ind w:firstLine="0" w:firstLineChars="0"/>
                    <w:jc w:val="center"/>
                    <w:rPr>
                      <w:sz w:val="21"/>
                      <w:szCs w:val="21"/>
                    </w:rPr>
                  </w:pPr>
                  <w:r>
                    <w:rPr>
                      <w:sz w:val="21"/>
                      <w:szCs w:val="21"/>
                    </w:rPr>
                    <w:t>年平均</w:t>
                  </w:r>
                </w:p>
              </w:tc>
              <w:tc>
                <w:tcPr>
                  <w:tcW w:w="1460" w:type="pct"/>
                  <w:vAlign w:val="center"/>
                </w:tcPr>
                <w:p w14:paraId="1E660A5E">
                  <w:pPr>
                    <w:spacing w:line="240" w:lineRule="auto"/>
                    <w:ind w:firstLine="0" w:firstLineChars="0"/>
                    <w:jc w:val="center"/>
                    <w:rPr>
                      <w:sz w:val="21"/>
                      <w:szCs w:val="21"/>
                    </w:rPr>
                  </w:pPr>
                  <w:r>
                    <w:rPr>
                      <w:sz w:val="21"/>
                      <w:szCs w:val="21"/>
                    </w:rPr>
                    <w:t>70</w:t>
                  </w:r>
                </w:p>
              </w:tc>
              <w:tc>
                <w:tcPr>
                  <w:tcW w:w="675" w:type="pct"/>
                  <w:vMerge w:val="continue"/>
                  <w:vAlign w:val="center"/>
                </w:tcPr>
                <w:p w14:paraId="4BA88985">
                  <w:pPr>
                    <w:spacing w:line="240" w:lineRule="auto"/>
                    <w:ind w:firstLine="0" w:firstLineChars="0"/>
                    <w:jc w:val="center"/>
                    <w:rPr>
                      <w:sz w:val="21"/>
                      <w:szCs w:val="21"/>
                    </w:rPr>
                  </w:pPr>
                </w:p>
              </w:tc>
              <w:tc>
                <w:tcPr>
                  <w:tcW w:w="1073" w:type="pct"/>
                  <w:vMerge w:val="continue"/>
                  <w:vAlign w:val="center"/>
                </w:tcPr>
                <w:p w14:paraId="1BB09733">
                  <w:pPr>
                    <w:spacing w:line="240" w:lineRule="auto"/>
                    <w:ind w:firstLine="0" w:firstLineChars="0"/>
                    <w:jc w:val="center"/>
                    <w:rPr>
                      <w:sz w:val="21"/>
                      <w:szCs w:val="21"/>
                    </w:rPr>
                  </w:pPr>
                </w:p>
              </w:tc>
            </w:tr>
            <w:tr w14:paraId="612F9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continue"/>
                  <w:vAlign w:val="center"/>
                </w:tcPr>
                <w:p w14:paraId="3D5D56A1">
                  <w:pPr>
                    <w:spacing w:line="240" w:lineRule="auto"/>
                    <w:ind w:firstLine="0" w:firstLineChars="0"/>
                    <w:jc w:val="center"/>
                    <w:rPr>
                      <w:sz w:val="21"/>
                      <w:szCs w:val="21"/>
                    </w:rPr>
                  </w:pPr>
                </w:p>
              </w:tc>
              <w:tc>
                <w:tcPr>
                  <w:tcW w:w="1004" w:type="pct"/>
                  <w:vAlign w:val="center"/>
                </w:tcPr>
                <w:p w14:paraId="40D1388D">
                  <w:pPr>
                    <w:spacing w:line="240" w:lineRule="auto"/>
                    <w:ind w:firstLine="0" w:firstLineChars="0"/>
                    <w:jc w:val="center"/>
                    <w:rPr>
                      <w:sz w:val="21"/>
                      <w:szCs w:val="21"/>
                    </w:rPr>
                  </w:pPr>
                  <w:r>
                    <w:rPr>
                      <w:sz w:val="21"/>
                      <w:szCs w:val="21"/>
                    </w:rPr>
                    <w:t>24小时平均</w:t>
                  </w:r>
                </w:p>
              </w:tc>
              <w:tc>
                <w:tcPr>
                  <w:tcW w:w="1460" w:type="pct"/>
                  <w:vAlign w:val="center"/>
                </w:tcPr>
                <w:p w14:paraId="35735FCD">
                  <w:pPr>
                    <w:spacing w:line="240" w:lineRule="auto"/>
                    <w:ind w:firstLine="0" w:firstLineChars="0"/>
                    <w:jc w:val="center"/>
                    <w:rPr>
                      <w:sz w:val="21"/>
                      <w:szCs w:val="21"/>
                    </w:rPr>
                  </w:pPr>
                  <w:r>
                    <w:rPr>
                      <w:sz w:val="21"/>
                      <w:szCs w:val="21"/>
                    </w:rPr>
                    <w:t>150</w:t>
                  </w:r>
                </w:p>
              </w:tc>
              <w:tc>
                <w:tcPr>
                  <w:tcW w:w="675" w:type="pct"/>
                  <w:vMerge w:val="continue"/>
                  <w:vAlign w:val="center"/>
                </w:tcPr>
                <w:p w14:paraId="262F0880">
                  <w:pPr>
                    <w:spacing w:line="240" w:lineRule="auto"/>
                    <w:ind w:firstLine="0" w:firstLineChars="0"/>
                    <w:jc w:val="center"/>
                    <w:rPr>
                      <w:sz w:val="21"/>
                      <w:szCs w:val="21"/>
                    </w:rPr>
                  </w:pPr>
                </w:p>
              </w:tc>
              <w:tc>
                <w:tcPr>
                  <w:tcW w:w="1073" w:type="pct"/>
                  <w:vMerge w:val="continue"/>
                  <w:vAlign w:val="center"/>
                </w:tcPr>
                <w:p w14:paraId="7565E5D9">
                  <w:pPr>
                    <w:spacing w:line="240" w:lineRule="auto"/>
                    <w:ind w:firstLine="0" w:firstLineChars="0"/>
                    <w:jc w:val="center"/>
                    <w:rPr>
                      <w:sz w:val="21"/>
                      <w:szCs w:val="21"/>
                    </w:rPr>
                  </w:pPr>
                </w:p>
              </w:tc>
            </w:tr>
            <w:tr w14:paraId="15CA52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restart"/>
                  <w:vAlign w:val="center"/>
                </w:tcPr>
                <w:p w14:paraId="7AB593A3">
                  <w:pPr>
                    <w:spacing w:line="240" w:lineRule="auto"/>
                    <w:ind w:firstLine="0" w:firstLineChars="0"/>
                    <w:jc w:val="center"/>
                    <w:rPr>
                      <w:sz w:val="21"/>
                      <w:szCs w:val="21"/>
                    </w:rPr>
                  </w:pPr>
                  <w:r>
                    <w:rPr>
                      <w:sz w:val="21"/>
                      <w:szCs w:val="21"/>
                    </w:rPr>
                    <w:t>PM</w:t>
                  </w:r>
                  <w:r>
                    <w:rPr>
                      <w:sz w:val="21"/>
                      <w:szCs w:val="21"/>
                      <w:vertAlign w:val="subscript"/>
                    </w:rPr>
                    <w:t>2.5</w:t>
                  </w:r>
                </w:p>
              </w:tc>
              <w:tc>
                <w:tcPr>
                  <w:tcW w:w="1004" w:type="pct"/>
                  <w:vAlign w:val="center"/>
                </w:tcPr>
                <w:p w14:paraId="22EDC8A8">
                  <w:pPr>
                    <w:spacing w:line="240" w:lineRule="auto"/>
                    <w:ind w:firstLine="0" w:firstLineChars="0"/>
                    <w:jc w:val="center"/>
                    <w:rPr>
                      <w:sz w:val="21"/>
                      <w:szCs w:val="21"/>
                    </w:rPr>
                  </w:pPr>
                  <w:r>
                    <w:rPr>
                      <w:sz w:val="21"/>
                      <w:szCs w:val="21"/>
                    </w:rPr>
                    <w:t>年平均</w:t>
                  </w:r>
                </w:p>
              </w:tc>
              <w:tc>
                <w:tcPr>
                  <w:tcW w:w="1460" w:type="pct"/>
                  <w:vAlign w:val="center"/>
                </w:tcPr>
                <w:p w14:paraId="17379300">
                  <w:pPr>
                    <w:spacing w:line="240" w:lineRule="auto"/>
                    <w:ind w:firstLine="0" w:firstLineChars="0"/>
                    <w:jc w:val="center"/>
                    <w:rPr>
                      <w:sz w:val="21"/>
                      <w:szCs w:val="21"/>
                    </w:rPr>
                  </w:pPr>
                  <w:r>
                    <w:rPr>
                      <w:sz w:val="21"/>
                      <w:szCs w:val="21"/>
                    </w:rPr>
                    <w:t>35</w:t>
                  </w:r>
                </w:p>
              </w:tc>
              <w:tc>
                <w:tcPr>
                  <w:tcW w:w="675" w:type="pct"/>
                  <w:vMerge w:val="continue"/>
                  <w:vAlign w:val="center"/>
                </w:tcPr>
                <w:p w14:paraId="4A0F22CB">
                  <w:pPr>
                    <w:spacing w:line="240" w:lineRule="auto"/>
                    <w:ind w:firstLine="0" w:firstLineChars="0"/>
                    <w:jc w:val="center"/>
                    <w:rPr>
                      <w:sz w:val="21"/>
                      <w:szCs w:val="21"/>
                    </w:rPr>
                  </w:pPr>
                </w:p>
              </w:tc>
              <w:tc>
                <w:tcPr>
                  <w:tcW w:w="1073" w:type="pct"/>
                  <w:vMerge w:val="continue"/>
                  <w:vAlign w:val="center"/>
                </w:tcPr>
                <w:p w14:paraId="41B69DA3">
                  <w:pPr>
                    <w:spacing w:line="240" w:lineRule="auto"/>
                    <w:ind w:firstLine="0" w:firstLineChars="0"/>
                    <w:jc w:val="center"/>
                    <w:rPr>
                      <w:sz w:val="21"/>
                      <w:szCs w:val="21"/>
                    </w:rPr>
                  </w:pPr>
                </w:p>
              </w:tc>
            </w:tr>
            <w:tr w14:paraId="4A92F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continue"/>
                  <w:vAlign w:val="center"/>
                </w:tcPr>
                <w:p w14:paraId="0DCCD67E">
                  <w:pPr>
                    <w:spacing w:line="240" w:lineRule="auto"/>
                    <w:ind w:firstLine="0" w:firstLineChars="0"/>
                    <w:jc w:val="center"/>
                    <w:rPr>
                      <w:sz w:val="21"/>
                      <w:szCs w:val="21"/>
                    </w:rPr>
                  </w:pPr>
                </w:p>
              </w:tc>
              <w:tc>
                <w:tcPr>
                  <w:tcW w:w="1004" w:type="pct"/>
                  <w:vAlign w:val="center"/>
                </w:tcPr>
                <w:p w14:paraId="064D6443">
                  <w:pPr>
                    <w:spacing w:line="240" w:lineRule="auto"/>
                    <w:ind w:firstLine="0" w:firstLineChars="0"/>
                    <w:jc w:val="center"/>
                    <w:rPr>
                      <w:sz w:val="21"/>
                      <w:szCs w:val="21"/>
                    </w:rPr>
                  </w:pPr>
                  <w:r>
                    <w:rPr>
                      <w:sz w:val="21"/>
                      <w:szCs w:val="21"/>
                    </w:rPr>
                    <w:t>24小时平均</w:t>
                  </w:r>
                </w:p>
              </w:tc>
              <w:tc>
                <w:tcPr>
                  <w:tcW w:w="1460" w:type="pct"/>
                  <w:vAlign w:val="center"/>
                </w:tcPr>
                <w:p w14:paraId="620C1290">
                  <w:pPr>
                    <w:spacing w:line="240" w:lineRule="auto"/>
                    <w:ind w:firstLine="0" w:firstLineChars="0"/>
                    <w:jc w:val="center"/>
                    <w:rPr>
                      <w:sz w:val="21"/>
                      <w:szCs w:val="21"/>
                    </w:rPr>
                  </w:pPr>
                  <w:r>
                    <w:rPr>
                      <w:sz w:val="21"/>
                      <w:szCs w:val="21"/>
                    </w:rPr>
                    <w:t>75</w:t>
                  </w:r>
                </w:p>
              </w:tc>
              <w:tc>
                <w:tcPr>
                  <w:tcW w:w="675" w:type="pct"/>
                  <w:vMerge w:val="continue"/>
                  <w:vAlign w:val="center"/>
                </w:tcPr>
                <w:p w14:paraId="04310F4F">
                  <w:pPr>
                    <w:spacing w:line="240" w:lineRule="auto"/>
                    <w:ind w:firstLine="0" w:firstLineChars="0"/>
                    <w:jc w:val="center"/>
                    <w:rPr>
                      <w:sz w:val="21"/>
                      <w:szCs w:val="21"/>
                    </w:rPr>
                  </w:pPr>
                </w:p>
              </w:tc>
              <w:tc>
                <w:tcPr>
                  <w:tcW w:w="1073" w:type="pct"/>
                  <w:vMerge w:val="continue"/>
                  <w:vAlign w:val="center"/>
                </w:tcPr>
                <w:p w14:paraId="6924F9E0">
                  <w:pPr>
                    <w:spacing w:line="240" w:lineRule="auto"/>
                    <w:ind w:firstLine="0" w:firstLineChars="0"/>
                    <w:jc w:val="center"/>
                    <w:rPr>
                      <w:sz w:val="21"/>
                      <w:szCs w:val="21"/>
                    </w:rPr>
                  </w:pPr>
                </w:p>
              </w:tc>
            </w:tr>
            <w:tr w14:paraId="4AA15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restart"/>
                  <w:vAlign w:val="center"/>
                </w:tcPr>
                <w:p w14:paraId="04425B05">
                  <w:pPr>
                    <w:spacing w:line="240" w:lineRule="auto"/>
                    <w:ind w:firstLine="0" w:firstLineChars="0"/>
                    <w:jc w:val="center"/>
                    <w:rPr>
                      <w:sz w:val="21"/>
                      <w:szCs w:val="21"/>
                    </w:rPr>
                  </w:pPr>
                  <w:r>
                    <w:rPr>
                      <w:sz w:val="21"/>
                      <w:szCs w:val="21"/>
                    </w:rPr>
                    <w:t>SO</w:t>
                  </w:r>
                  <w:r>
                    <w:rPr>
                      <w:sz w:val="21"/>
                      <w:szCs w:val="21"/>
                      <w:vertAlign w:val="subscript"/>
                    </w:rPr>
                    <w:t>2</w:t>
                  </w:r>
                </w:p>
              </w:tc>
              <w:tc>
                <w:tcPr>
                  <w:tcW w:w="1004" w:type="pct"/>
                  <w:vAlign w:val="center"/>
                </w:tcPr>
                <w:p w14:paraId="00AA8C90">
                  <w:pPr>
                    <w:spacing w:line="240" w:lineRule="auto"/>
                    <w:ind w:firstLine="0" w:firstLineChars="0"/>
                    <w:jc w:val="center"/>
                    <w:rPr>
                      <w:sz w:val="21"/>
                      <w:szCs w:val="21"/>
                    </w:rPr>
                  </w:pPr>
                  <w:r>
                    <w:rPr>
                      <w:sz w:val="21"/>
                      <w:szCs w:val="21"/>
                    </w:rPr>
                    <w:t>年平均</w:t>
                  </w:r>
                </w:p>
              </w:tc>
              <w:tc>
                <w:tcPr>
                  <w:tcW w:w="1460" w:type="pct"/>
                  <w:vAlign w:val="center"/>
                </w:tcPr>
                <w:p w14:paraId="29DF1734">
                  <w:pPr>
                    <w:spacing w:line="240" w:lineRule="auto"/>
                    <w:ind w:firstLine="0" w:firstLineChars="0"/>
                    <w:jc w:val="center"/>
                    <w:rPr>
                      <w:sz w:val="21"/>
                      <w:szCs w:val="21"/>
                    </w:rPr>
                  </w:pPr>
                  <w:r>
                    <w:rPr>
                      <w:sz w:val="21"/>
                      <w:szCs w:val="21"/>
                    </w:rPr>
                    <w:t>60</w:t>
                  </w:r>
                </w:p>
              </w:tc>
              <w:tc>
                <w:tcPr>
                  <w:tcW w:w="675" w:type="pct"/>
                  <w:vMerge w:val="continue"/>
                  <w:vAlign w:val="center"/>
                </w:tcPr>
                <w:p w14:paraId="6E89E3C8">
                  <w:pPr>
                    <w:spacing w:line="240" w:lineRule="auto"/>
                    <w:ind w:firstLine="0" w:firstLineChars="0"/>
                    <w:jc w:val="center"/>
                    <w:rPr>
                      <w:sz w:val="21"/>
                      <w:szCs w:val="21"/>
                    </w:rPr>
                  </w:pPr>
                </w:p>
              </w:tc>
              <w:tc>
                <w:tcPr>
                  <w:tcW w:w="1073" w:type="pct"/>
                  <w:vMerge w:val="continue"/>
                  <w:vAlign w:val="center"/>
                </w:tcPr>
                <w:p w14:paraId="3AF45659">
                  <w:pPr>
                    <w:spacing w:line="240" w:lineRule="auto"/>
                    <w:ind w:firstLine="0" w:firstLineChars="0"/>
                    <w:jc w:val="center"/>
                    <w:rPr>
                      <w:sz w:val="21"/>
                      <w:szCs w:val="21"/>
                    </w:rPr>
                  </w:pPr>
                </w:p>
              </w:tc>
            </w:tr>
            <w:tr w14:paraId="4754B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continue"/>
                  <w:vAlign w:val="center"/>
                </w:tcPr>
                <w:p w14:paraId="2AD644A5">
                  <w:pPr>
                    <w:spacing w:line="240" w:lineRule="auto"/>
                    <w:ind w:firstLine="0" w:firstLineChars="0"/>
                    <w:jc w:val="center"/>
                    <w:rPr>
                      <w:sz w:val="21"/>
                      <w:szCs w:val="21"/>
                    </w:rPr>
                  </w:pPr>
                </w:p>
              </w:tc>
              <w:tc>
                <w:tcPr>
                  <w:tcW w:w="1004" w:type="pct"/>
                  <w:vAlign w:val="center"/>
                </w:tcPr>
                <w:p w14:paraId="79143CB0">
                  <w:pPr>
                    <w:spacing w:line="240" w:lineRule="auto"/>
                    <w:ind w:firstLine="0" w:firstLineChars="0"/>
                    <w:jc w:val="center"/>
                    <w:rPr>
                      <w:sz w:val="21"/>
                      <w:szCs w:val="21"/>
                    </w:rPr>
                  </w:pPr>
                  <w:r>
                    <w:rPr>
                      <w:sz w:val="21"/>
                      <w:szCs w:val="21"/>
                    </w:rPr>
                    <w:t>24小时平均</w:t>
                  </w:r>
                </w:p>
              </w:tc>
              <w:tc>
                <w:tcPr>
                  <w:tcW w:w="1460" w:type="pct"/>
                  <w:vAlign w:val="center"/>
                </w:tcPr>
                <w:p w14:paraId="18692879">
                  <w:pPr>
                    <w:spacing w:line="240" w:lineRule="auto"/>
                    <w:ind w:firstLine="0" w:firstLineChars="0"/>
                    <w:jc w:val="center"/>
                    <w:rPr>
                      <w:sz w:val="21"/>
                      <w:szCs w:val="21"/>
                    </w:rPr>
                  </w:pPr>
                  <w:r>
                    <w:rPr>
                      <w:sz w:val="21"/>
                      <w:szCs w:val="21"/>
                    </w:rPr>
                    <w:t>150</w:t>
                  </w:r>
                </w:p>
              </w:tc>
              <w:tc>
                <w:tcPr>
                  <w:tcW w:w="675" w:type="pct"/>
                  <w:vMerge w:val="continue"/>
                  <w:vAlign w:val="center"/>
                </w:tcPr>
                <w:p w14:paraId="1542593D">
                  <w:pPr>
                    <w:spacing w:line="240" w:lineRule="auto"/>
                    <w:ind w:firstLine="0" w:firstLineChars="0"/>
                    <w:jc w:val="center"/>
                    <w:rPr>
                      <w:sz w:val="21"/>
                      <w:szCs w:val="21"/>
                    </w:rPr>
                  </w:pPr>
                </w:p>
              </w:tc>
              <w:tc>
                <w:tcPr>
                  <w:tcW w:w="1073" w:type="pct"/>
                  <w:vMerge w:val="continue"/>
                  <w:vAlign w:val="center"/>
                </w:tcPr>
                <w:p w14:paraId="2D66443D">
                  <w:pPr>
                    <w:spacing w:line="240" w:lineRule="auto"/>
                    <w:ind w:firstLine="0" w:firstLineChars="0"/>
                    <w:jc w:val="center"/>
                    <w:rPr>
                      <w:sz w:val="21"/>
                      <w:szCs w:val="21"/>
                    </w:rPr>
                  </w:pPr>
                </w:p>
              </w:tc>
            </w:tr>
            <w:tr w14:paraId="63E1E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continue"/>
                  <w:vAlign w:val="center"/>
                </w:tcPr>
                <w:p w14:paraId="17433B6A">
                  <w:pPr>
                    <w:spacing w:line="240" w:lineRule="auto"/>
                    <w:ind w:firstLine="0" w:firstLineChars="0"/>
                    <w:jc w:val="center"/>
                    <w:rPr>
                      <w:sz w:val="21"/>
                      <w:szCs w:val="21"/>
                    </w:rPr>
                  </w:pPr>
                </w:p>
              </w:tc>
              <w:tc>
                <w:tcPr>
                  <w:tcW w:w="1004" w:type="pct"/>
                  <w:vAlign w:val="center"/>
                </w:tcPr>
                <w:p w14:paraId="094B22A9">
                  <w:pPr>
                    <w:spacing w:line="240" w:lineRule="auto"/>
                    <w:ind w:firstLine="0" w:firstLineChars="0"/>
                    <w:jc w:val="center"/>
                    <w:rPr>
                      <w:sz w:val="21"/>
                      <w:szCs w:val="21"/>
                    </w:rPr>
                  </w:pPr>
                  <w:r>
                    <w:rPr>
                      <w:sz w:val="21"/>
                      <w:szCs w:val="21"/>
                    </w:rPr>
                    <w:t>1小时平均</w:t>
                  </w:r>
                </w:p>
              </w:tc>
              <w:tc>
                <w:tcPr>
                  <w:tcW w:w="1460" w:type="pct"/>
                  <w:vAlign w:val="center"/>
                </w:tcPr>
                <w:p w14:paraId="227D5602">
                  <w:pPr>
                    <w:spacing w:line="240" w:lineRule="auto"/>
                    <w:ind w:firstLine="0" w:firstLineChars="0"/>
                    <w:jc w:val="center"/>
                    <w:rPr>
                      <w:sz w:val="21"/>
                      <w:szCs w:val="21"/>
                    </w:rPr>
                  </w:pPr>
                  <w:r>
                    <w:rPr>
                      <w:sz w:val="21"/>
                      <w:szCs w:val="21"/>
                    </w:rPr>
                    <w:t>500</w:t>
                  </w:r>
                </w:p>
              </w:tc>
              <w:tc>
                <w:tcPr>
                  <w:tcW w:w="675" w:type="pct"/>
                  <w:vMerge w:val="continue"/>
                  <w:vAlign w:val="center"/>
                </w:tcPr>
                <w:p w14:paraId="3D594F70">
                  <w:pPr>
                    <w:spacing w:line="240" w:lineRule="auto"/>
                    <w:ind w:firstLine="0" w:firstLineChars="0"/>
                    <w:jc w:val="center"/>
                    <w:rPr>
                      <w:sz w:val="21"/>
                      <w:szCs w:val="21"/>
                    </w:rPr>
                  </w:pPr>
                </w:p>
              </w:tc>
              <w:tc>
                <w:tcPr>
                  <w:tcW w:w="1073" w:type="pct"/>
                  <w:vMerge w:val="continue"/>
                  <w:vAlign w:val="center"/>
                </w:tcPr>
                <w:p w14:paraId="264944D2">
                  <w:pPr>
                    <w:spacing w:line="240" w:lineRule="auto"/>
                    <w:ind w:firstLine="0" w:firstLineChars="0"/>
                    <w:jc w:val="center"/>
                    <w:rPr>
                      <w:sz w:val="21"/>
                      <w:szCs w:val="21"/>
                    </w:rPr>
                  </w:pPr>
                </w:p>
              </w:tc>
            </w:tr>
            <w:tr w14:paraId="227D8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restart"/>
                  <w:vAlign w:val="center"/>
                </w:tcPr>
                <w:p w14:paraId="6CF02140">
                  <w:pPr>
                    <w:spacing w:line="240" w:lineRule="auto"/>
                    <w:ind w:firstLine="0" w:firstLineChars="0"/>
                    <w:jc w:val="center"/>
                    <w:rPr>
                      <w:sz w:val="21"/>
                      <w:szCs w:val="21"/>
                    </w:rPr>
                  </w:pPr>
                  <w:r>
                    <w:rPr>
                      <w:sz w:val="21"/>
                      <w:szCs w:val="21"/>
                    </w:rPr>
                    <w:t>O</w:t>
                  </w:r>
                  <w:r>
                    <w:rPr>
                      <w:sz w:val="21"/>
                      <w:szCs w:val="21"/>
                      <w:vertAlign w:val="subscript"/>
                    </w:rPr>
                    <w:t>3</w:t>
                  </w:r>
                </w:p>
              </w:tc>
              <w:tc>
                <w:tcPr>
                  <w:tcW w:w="1004" w:type="pct"/>
                  <w:vAlign w:val="center"/>
                </w:tcPr>
                <w:p w14:paraId="53388205">
                  <w:pPr>
                    <w:spacing w:line="240" w:lineRule="auto"/>
                    <w:ind w:firstLine="0" w:firstLineChars="0"/>
                    <w:jc w:val="center"/>
                    <w:rPr>
                      <w:sz w:val="21"/>
                      <w:szCs w:val="21"/>
                    </w:rPr>
                  </w:pPr>
                  <w:r>
                    <w:rPr>
                      <w:sz w:val="21"/>
                      <w:szCs w:val="21"/>
                    </w:rPr>
                    <w:t>日最大8小时平均</w:t>
                  </w:r>
                </w:p>
              </w:tc>
              <w:tc>
                <w:tcPr>
                  <w:tcW w:w="1460" w:type="pct"/>
                  <w:vAlign w:val="center"/>
                </w:tcPr>
                <w:p w14:paraId="39E0D7B4">
                  <w:pPr>
                    <w:spacing w:line="240" w:lineRule="auto"/>
                    <w:ind w:firstLine="0" w:firstLineChars="0"/>
                    <w:jc w:val="center"/>
                    <w:rPr>
                      <w:sz w:val="21"/>
                      <w:szCs w:val="21"/>
                    </w:rPr>
                  </w:pPr>
                  <w:r>
                    <w:rPr>
                      <w:sz w:val="21"/>
                      <w:szCs w:val="21"/>
                    </w:rPr>
                    <w:t>160</w:t>
                  </w:r>
                </w:p>
              </w:tc>
              <w:tc>
                <w:tcPr>
                  <w:tcW w:w="675" w:type="pct"/>
                  <w:vMerge w:val="continue"/>
                  <w:vAlign w:val="center"/>
                </w:tcPr>
                <w:p w14:paraId="01BFDEB9">
                  <w:pPr>
                    <w:spacing w:line="240" w:lineRule="auto"/>
                    <w:ind w:firstLine="0" w:firstLineChars="0"/>
                    <w:jc w:val="center"/>
                    <w:rPr>
                      <w:sz w:val="21"/>
                      <w:szCs w:val="21"/>
                    </w:rPr>
                  </w:pPr>
                </w:p>
              </w:tc>
              <w:tc>
                <w:tcPr>
                  <w:tcW w:w="1073" w:type="pct"/>
                  <w:vMerge w:val="continue"/>
                  <w:vAlign w:val="center"/>
                </w:tcPr>
                <w:p w14:paraId="38D019E0">
                  <w:pPr>
                    <w:spacing w:line="240" w:lineRule="auto"/>
                    <w:ind w:firstLine="0" w:firstLineChars="0"/>
                    <w:jc w:val="center"/>
                    <w:rPr>
                      <w:sz w:val="21"/>
                      <w:szCs w:val="21"/>
                    </w:rPr>
                  </w:pPr>
                </w:p>
              </w:tc>
            </w:tr>
            <w:tr w14:paraId="0FC8CB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86" w:type="pct"/>
                  <w:vMerge w:val="continue"/>
                  <w:vAlign w:val="center"/>
                </w:tcPr>
                <w:p w14:paraId="44F737C8">
                  <w:pPr>
                    <w:spacing w:line="240" w:lineRule="auto"/>
                    <w:ind w:firstLine="0" w:firstLineChars="0"/>
                    <w:jc w:val="center"/>
                    <w:rPr>
                      <w:sz w:val="21"/>
                      <w:szCs w:val="21"/>
                    </w:rPr>
                  </w:pPr>
                </w:p>
              </w:tc>
              <w:tc>
                <w:tcPr>
                  <w:tcW w:w="1004" w:type="pct"/>
                  <w:vAlign w:val="center"/>
                </w:tcPr>
                <w:p w14:paraId="5B23DCC8">
                  <w:pPr>
                    <w:spacing w:line="240" w:lineRule="auto"/>
                    <w:ind w:firstLine="0" w:firstLineChars="0"/>
                    <w:jc w:val="center"/>
                    <w:rPr>
                      <w:sz w:val="21"/>
                      <w:szCs w:val="21"/>
                    </w:rPr>
                  </w:pPr>
                  <w:r>
                    <w:rPr>
                      <w:sz w:val="21"/>
                      <w:szCs w:val="21"/>
                    </w:rPr>
                    <w:t>1小时平均</w:t>
                  </w:r>
                </w:p>
              </w:tc>
              <w:tc>
                <w:tcPr>
                  <w:tcW w:w="1460" w:type="pct"/>
                  <w:vAlign w:val="center"/>
                </w:tcPr>
                <w:p w14:paraId="09D9B86E">
                  <w:pPr>
                    <w:spacing w:line="240" w:lineRule="auto"/>
                    <w:ind w:firstLine="0" w:firstLineChars="0"/>
                    <w:jc w:val="center"/>
                    <w:rPr>
                      <w:sz w:val="21"/>
                      <w:szCs w:val="21"/>
                    </w:rPr>
                  </w:pPr>
                  <w:r>
                    <w:rPr>
                      <w:sz w:val="21"/>
                      <w:szCs w:val="21"/>
                    </w:rPr>
                    <w:t>200</w:t>
                  </w:r>
                </w:p>
              </w:tc>
              <w:tc>
                <w:tcPr>
                  <w:tcW w:w="675" w:type="pct"/>
                  <w:vMerge w:val="continue"/>
                  <w:vAlign w:val="center"/>
                </w:tcPr>
                <w:p w14:paraId="00850A4A">
                  <w:pPr>
                    <w:spacing w:line="240" w:lineRule="auto"/>
                    <w:ind w:firstLine="0" w:firstLineChars="0"/>
                    <w:jc w:val="center"/>
                    <w:rPr>
                      <w:sz w:val="21"/>
                      <w:szCs w:val="21"/>
                    </w:rPr>
                  </w:pPr>
                </w:p>
              </w:tc>
              <w:tc>
                <w:tcPr>
                  <w:tcW w:w="1073" w:type="pct"/>
                  <w:vMerge w:val="continue"/>
                  <w:vAlign w:val="center"/>
                </w:tcPr>
                <w:p w14:paraId="0AE86073">
                  <w:pPr>
                    <w:spacing w:line="240" w:lineRule="auto"/>
                    <w:ind w:firstLine="0" w:firstLineChars="0"/>
                    <w:jc w:val="center"/>
                    <w:rPr>
                      <w:sz w:val="21"/>
                      <w:szCs w:val="21"/>
                    </w:rPr>
                  </w:pPr>
                </w:p>
              </w:tc>
            </w:tr>
            <w:tr w14:paraId="75E2F7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59" w:hRule="atLeast"/>
                <w:jc w:val="center"/>
              </w:trPr>
              <w:tc>
                <w:tcPr>
                  <w:tcW w:w="786" w:type="pct"/>
                  <w:vMerge w:val="restart"/>
                  <w:vAlign w:val="center"/>
                </w:tcPr>
                <w:p w14:paraId="2539D3FF">
                  <w:pPr>
                    <w:spacing w:line="240" w:lineRule="auto"/>
                    <w:ind w:firstLine="0" w:firstLineChars="0"/>
                    <w:jc w:val="center"/>
                    <w:rPr>
                      <w:sz w:val="21"/>
                      <w:szCs w:val="21"/>
                    </w:rPr>
                  </w:pPr>
                  <w:r>
                    <w:rPr>
                      <w:sz w:val="21"/>
                      <w:szCs w:val="21"/>
                    </w:rPr>
                    <w:t>CO</w:t>
                  </w:r>
                </w:p>
              </w:tc>
              <w:tc>
                <w:tcPr>
                  <w:tcW w:w="1004" w:type="pct"/>
                  <w:vAlign w:val="center"/>
                </w:tcPr>
                <w:p w14:paraId="3686A54E">
                  <w:pPr>
                    <w:spacing w:line="240" w:lineRule="auto"/>
                    <w:ind w:firstLine="0" w:firstLineChars="0"/>
                    <w:jc w:val="center"/>
                    <w:rPr>
                      <w:sz w:val="21"/>
                      <w:szCs w:val="21"/>
                    </w:rPr>
                  </w:pPr>
                  <w:r>
                    <w:rPr>
                      <w:sz w:val="21"/>
                      <w:szCs w:val="21"/>
                    </w:rPr>
                    <w:t>24小时平均</w:t>
                  </w:r>
                </w:p>
              </w:tc>
              <w:tc>
                <w:tcPr>
                  <w:tcW w:w="1460" w:type="pct"/>
                  <w:vAlign w:val="center"/>
                </w:tcPr>
                <w:p w14:paraId="6680845A">
                  <w:pPr>
                    <w:spacing w:line="240" w:lineRule="auto"/>
                    <w:ind w:firstLine="0" w:firstLineChars="0"/>
                    <w:jc w:val="center"/>
                    <w:rPr>
                      <w:sz w:val="21"/>
                      <w:szCs w:val="21"/>
                    </w:rPr>
                  </w:pPr>
                  <w:r>
                    <w:rPr>
                      <w:sz w:val="21"/>
                      <w:szCs w:val="21"/>
                    </w:rPr>
                    <w:t>4</w:t>
                  </w:r>
                </w:p>
              </w:tc>
              <w:tc>
                <w:tcPr>
                  <w:tcW w:w="675" w:type="pct"/>
                  <w:vMerge w:val="restart"/>
                  <w:vAlign w:val="center"/>
                </w:tcPr>
                <w:p w14:paraId="6B625F23">
                  <w:pPr>
                    <w:spacing w:line="240" w:lineRule="auto"/>
                    <w:ind w:firstLine="0" w:firstLineChars="0"/>
                    <w:jc w:val="center"/>
                    <w:rPr>
                      <w:sz w:val="21"/>
                      <w:szCs w:val="21"/>
                    </w:rPr>
                  </w:pPr>
                  <w:r>
                    <w:rPr>
                      <w:sz w:val="21"/>
                      <w:szCs w:val="21"/>
                    </w:rPr>
                    <w:t>mg/m</w:t>
                  </w:r>
                  <w:r>
                    <w:rPr>
                      <w:sz w:val="21"/>
                      <w:szCs w:val="21"/>
                      <w:vertAlign w:val="superscript"/>
                    </w:rPr>
                    <w:t>3</w:t>
                  </w:r>
                </w:p>
              </w:tc>
              <w:tc>
                <w:tcPr>
                  <w:tcW w:w="1073" w:type="pct"/>
                  <w:vMerge w:val="continue"/>
                  <w:vAlign w:val="center"/>
                </w:tcPr>
                <w:p w14:paraId="37E8B7E1">
                  <w:pPr>
                    <w:spacing w:line="240" w:lineRule="auto"/>
                    <w:ind w:firstLine="0" w:firstLineChars="0"/>
                    <w:jc w:val="center"/>
                    <w:rPr>
                      <w:sz w:val="21"/>
                      <w:szCs w:val="21"/>
                    </w:rPr>
                  </w:pPr>
                </w:p>
              </w:tc>
            </w:tr>
            <w:tr w14:paraId="0D3FD7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jc w:val="center"/>
              </w:trPr>
              <w:tc>
                <w:tcPr>
                  <w:tcW w:w="786" w:type="pct"/>
                  <w:vMerge w:val="continue"/>
                  <w:vAlign w:val="center"/>
                </w:tcPr>
                <w:p w14:paraId="1F3BBFE9">
                  <w:pPr>
                    <w:spacing w:line="240" w:lineRule="auto"/>
                    <w:ind w:firstLine="0" w:firstLineChars="0"/>
                    <w:jc w:val="center"/>
                    <w:rPr>
                      <w:sz w:val="21"/>
                      <w:szCs w:val="21"/>
                    </w:rPr>
                  </w:pPr>
                </w:p>
              </w:tc>
              <w:tc>
                <w:tcPr>
                  <w:tcW w:w="1004" w:type="pct"/>
                  <w:vAlign w:val="center"/>
                </w:tcPr>
                <w:p w14:paraId="523E0BE9">
                  <w:pPr>
                    <w:spacing w:line="240" w:lineRule="auto"/>
                    <w:ind w:firstLine="0" w:firstLineChars="0"/>
                    <w:jc w:val="center"/>
                    <w:rPr>
                      <w:sz w:val="21"/>
                      <w:szCs w:val="21"/>
                    </w:rPr>
                  </w:pPr>
                  <w:r>
                    <w:rPr>
                      <w:sz w:val="21"/>
                      <w:szCs w:val="21"/>
                    </w:rPr>
                    <w:t>1小时平均</w:t>
                  </w:r>
                </w:p>
              </w:tc>
              <w:tc>
                <w:tcPr>
                  <w:tcW w:w="1460" w:type="pct"/>
                  <w:vAlign w:val="center"/>
                </w:tcPr>
                <w:p w14:paraId="315BC150">
                  <w:pPr>
                    <w:spacing w:line="240" w:lineRule="auto"/>
                    <w:ind w:firstLine="0" w:firstLineChars="0"/>
                    <w:jc w:val="center"/>
                    <w:rPr>
                      <w:sz w:val="21"/>
                      <w:szCs w:val="21"/>
                    </w:rPr>
                  </w:pPr>
                  <w:r>
                    <w:rPr>
                      <w:sz w:val="21"/>
                      <w:szCs w:val="21"/>
                    </w:rPr>
                    <w:t>10</w:t>
                  </w:r>
                </w:p>
              </w:tc>
              <w:tc>
                <w:tcPr>
                  <w:tcW w:w="675" w:type="pct"/>
                  <w:vMerge w:val="continue"/>
                  <w:vAlign w:val="center"/>
                </w:tcPr>
                <w:p w14:paraId="2813E179">
                  <w:pPr>
                    <w:spacing w:line="240" w:lineRule="auto"/>
                    <w:ind w:firstLine="0" w:firstLineChars="0"/>
                    <w:jc w:val="center"/>
                    <w:rPr>
                      <w:sz w:val="21"/>
                      <w:szCs w:val="21"/>
                    </w:rPr>
                  </w:pPr>
                </w:p>
              </w:tc>
              <w:tc>
                <w:tcPr>
                  <w:tcW w:w="1073" w:type="pct"/>
                  <w:vMerge w:val="continue"/>
                  <w:vAlign w:val="center"/>
                </w:tcPr>
                <w:p w14:paraId="1DBD9668">
                  <w:pPr>
                    <w:spacing w:line="240" w:lineRule="auto"/>
                    <w:ind w:firstLine="0" w:firstLineChars="0"/>
                    <w:jc w:val="center"/>
                    <w:rPr>
                      <w:sz w:val="21"/>
                      <w:szCs w:val="21"/>
                    </w:rPr>
                  </w:pPr>
                </w:p>
              </w:tc>
            </w:tr>
          </w:tbl>
          <w:p w14:paraId="652D653B">
            <w:pPr>
              <w:ind w:firstLine="482"/>
              <w:rPr>
                <w:color w:val="auto"/>
              </w:rPr>
            </w:pPr>
            <w:r>
              <w:rPr>
                <w:rFonts w:hint="eastAsia"/>
                <w:b/>
                <w:bCs/>
                <w:color w:val="auto"/>
              </w:rPr>
              <w:t>2、</w:t>
            </w:r>
            <w:r>
              <w:rPr>
                <w:b/>
                <w:bCs/>
                <w:color w:val="auto"/>
              </w:rPr>
              <w:t>声环境质量</w:t>
            </w:r>
            <w:r>
              <w:rPr>
                <w:rFonts w:hint="eastAsia"/>
                <w:b/>
                <w:bCs/>
                <w:color w:val="auto"/>
              </w:rPr>
              <w:t>标准</w:t>
            </w:r>
          </w:p>
          <w:p w14:paraId="19916A84">
            <w:pPr>
              <w:ind w:firstLine="480"/>
              <w:rPr>
                <w:color w:val="auto"/>
              </w:rPr>
            </w:pPr>
            <w:r>
              <w:rPr>
                <w:rFonts w:hint="eastAsia"/>
                <w:color w:val="auto"/>
              </w:rPr>
              <w:t>本项目</w:t>
            </w:r>
            <w:r>
              <w:rPr>
                <w:color w:val="auto"/>
              </w:rPr>
              <w:t>声环境功能区执行《声环境质量标准》（GB3096-2008）</w:t>
            </w:r>
            <w:r>
              <w:rPr>
                <w:rFonts w:hint="eastAsia"/>
                <w:color w:val="auto"/>
              </w:rPr>
              <w:t>中2类标准，具体标准值如下表所示</w:t>
            </w:r>
            <w:r>
              <w:rPr>
                <w:color w:val="auto"/>
              </w:rPr>
              <w:t>。</w:t>
            </w:r>
          </w:p>
          <w:p w14:paraId="7AB01ADF">
            <w:pPr>
              <w:pStyle w:val="33"/>
              <w:rPr>
                <w:color w:val="auto"/>
                <w:szCs w:val="24"/>
              </w:rPr>
            </w:pPr>
            <w:r>
              <w:rPr>
                <w:color w:val="auto"/>
              </w:rPr>
              <w:t>表3-</w:t>
            </w:r>
            <w:r>
              <w:rPr>
                <w:rFonts w:hint="eastAsia"/>
                <w:color w:val="auto"/>
              </w:rPr>
              <w:t>9 声环境质量评价标准</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19"/>
              <w:gridCol w:w="2620"/>
              <w:gridCol w:w="2621"/>
            </w:tblGrid>
            <w:tr w14:paraId="68EA8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14:paraId="5103E3CF">
                  <w:pPr>
                    <w:pStyle w:val="30"/>
                    <w:rPr>
                      <w:color w:val="auto"/>
                    </w:rPr>
                  </w:pPr>
                  <w:bookmarkStart w:id="12" w:name="_Toc5241"/>
                  <w:r>
                    <w:rPr>
                      <w:rFonts w:hint="eastAsia"/>
                      <w:color w:val="auto"/>
                    </w:rPr>
                    <w:t>级别</w:t>
                  </w:r>
                </w:p>
              </w:tc>
              <w:tc>
                <w:tcPr>
                  <w:tcW w:w="1666" w:type="pct"/>
                  <w:tcBorders>
                    <w:tl2br w:val="nil"/>
                    <w:tr2bl w:val="nil"/>
                  </w:tcBorders>
                </w:tcPr>
                <w:p w14:paraId="1D474D59">
                  <w:pPr>
                    <w:pStyle w:val="30"/>
                    <w:rPr>
                      <w:color w:val="auto"/>
                    </w:rPr>
                  </w:pPr>
                  <w:r>
                    <w:rPr>
                      <w:rFonts w:hint="eastAsia"/>
                      <w:color w:val="auto"/>
                    </w:rPr>
                    <w:t>昼间</w:t>
                  </w:r>
                </w:p>
              </w:tc>
              <w:tc>
                <w:tcPr>
                  <w:tcW w:w="1667" w:type="pct"/>
                  <w:tcBorders>
                    <w:tl2br w:val="nil"/>
                    <w:tr2bl w:val="nil"/>
                  </w:tcBorders>
                </w:tcPr>
                <w:p w14:paraId="536F1E4E">
                  <w:pPr>
                    <w:pStyle w:val="30"/>
                    <w:rPr>
                      <w:color w:val="auto"/>
                    </w:rPr>
                  </w:pPr>
                  <w:r>
                    <w:rPr>
                      <w:rFonts w:hint="eastAsia"/>
                      <w:color w:val="auto"/>
                    </w:rPr>
                    <w:t>夜间</w:t>
                  </w:r>
                </w:p>
              </w:tc>
            </w:tr>
            <w:tr w14:paraId="637D7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14:paraId="07736247">
                  <w:pPr>
                    <w:pStyle w:val="30"/>
                    <w:rPr>
                      <w:color w:val="auto"/>
                    </w:rPr>
                  </w:pPr>
                  <w:r>
                    <w:rPr>
                      <w:rFonts w:hint="eastAsia"/>
                      <w:color w:val="auto"/>
                    </w:rPr>
                    <w:t>2类</w:t>
                  </w:r>
                </w:p>
              </w:tc>
              <w:tc>
                <w:tcPr>
                  <w:tcW w:w="1666" w:type="pct"/>
                  <w:tcBorders>
                    <w:tl2br w:val="nil"/>
                    <w:tr2bl w:val="nil"/>
                  </w:tcBorders>
                </w:tcPr>
                <w:p w14:paraId="708DFC0E">
                  <w:pPr>
                    <w:pStyle w:val="30"/>
                    <w:rPr>
                      <w:color w:val="auto"/>
                    </w:rPr>
                  </w:pPr>
                  <w:r>
                    <w:rPr>
                      <w:rFonts w:hint="eastAsia"/>
                      <w:color w:val="auto"/>
                    </w:rPr>
                    <w:t>60dB（A）</w:t>
                  </w:r>
                </w:p>
              </w:tc>
              <w:tc>
                <w:tcPr>
                  <w:tcW w:w="1667" w:type="pct"/>
                  <w:tcBorders>
                    <w:tl2br w:val="nil"/>
                    <w:tr2bl w:val="nil"/>
                  </w:tcBorders>
                </w:tcPr>
                <w:p w14:paraId="120BA31E">
                  <w:pPr>
                    <w:pStyle w:val="30"/>
                    <w:rPr>
                      <w:color w:val="auto"/>
                    </w:rPr>
                  </w:pPr>
                  <w:r>
                    <w:rPr>
                      <w:rFonts w:hint="eastAsia"/>
                      <w:color w:val="auto"/>
                    </w:rPr>
                    <w:t>50dB（A）</w:t>
                  </w:r>
                </w:p>
              </w:tc>
            </w:tr>
          </w:tbl>
          <w:p w14:paraId="6042B6E3">
            <w:pPr>
              <w:pStyle w:val="4"/>
              <w:spacing w:before="48" w:after="48"/>
              <w:ind w:firstLine="482"/>
              <w:rPr>
                <w:color w:val="0000FF"/>
                <w:szCs w:val="32"/>
              </w:rPr>
            </w:pPr>
            <w:r>
              <w:rPr>
                <w:rFonts w:hint="eastAsia"/>
                <w:color w:val="0000FF"/>
                <w:szCs w:val="32"/>
              </w:rPr>
              <w:t>3、环境振动质量标准</w:t>
            </w:r>
          </w:p>
          <w:p w14:paraId="1C6C4775">
            <w:pPr>
              <w:ind w:firstLine="480"/>
            </w:pPr>
            <w:r>
              <w:rPr>
                <w:rFonts w:hint="eastAsia"/>
                <w:color w:val="0000FF"/>
                <w:lang w:val="en-US" w:eastAsia="zh-CN"/>
              </w:rPr>
              <w:t>本项目铁路专用线两侧评价范围内无敏感点，既有铁路沿线现状敏感点执行《城市区域环境振动标准》（GB 10070-88）“混合区、商业中心区”标准执行，即昼间75dB，夜间72dB。</w:t>
            </w:r>
          </w:p>
          <w:p w14:paraId="00FE1AFD">
            <w:pPr>
              <w:ind w:firstLine="482"/>
              <w:rPr>
                <w:szCs w:val="32"/>
              </w:rPr>
            </w:pPr>
            <w:r>
              <w:rPr>
                <w:rFonts w:hint="eastAsia"/>
                <w:b/>
                <w:bCs/>
              </w:rPr>
              <w:t>4</w:t>
            </w:r>
            <w:r>
              <w:rPr>
                <w:b/>
                <w:bCs/>
              </w:rPr>
              <w:t>、</w:t>
            </w:r>
            <w:r>
              <w:rPr>
                <w:rFonts w:hint="eastAsia"/>
                <w:b/>
                <w:bCs/>
              </w:rPr>
              <w:t>噪声</w:t>
            </w:r>
            <w:r>
              <w:rPr>
                <w:b/>
                <w:bCs/>
              </w:rPr>
              <w:t>排放标准</w:t>
            </w:r>
            <w:bookmarkEnd w:id="12"/>
          </w:p>
          <w:p w14:paraId="2F5E1A54">
            <w:pPr>
              <w:ind w:firstLine="480"/>
            </w:pPr>
            <w:r>
              <w:t>施工期施工场界噪声执行《建筑施工场界环境噪声排放标准》（GB12532-2011）；运营期噪声执行《铁路边界噪声限值及其测量方法》（GB12525-90）（2008修正）既有铁路边界标准</w:t>
            </w:r>
            <w:r>
              <w:rPr>
                <w:rFonts w:hint="eastAsia"/>
              </w:rPr>
              <w:t>。</w:t>
            </w:r>
          </w:p>
          <w:p w14:paraId="4824C7C2">
            <w:pPr>
              <w:pStyle w:val="33"/>
              <w:rPr>
                <w:szCs w:val="24"/>
              </w:rPr>
            </w:pPr>
            <w:r>
              <w:t>表3-</w:t>
            </w:r>
            <w:r>
              <w:rPr>
                <w:rFonts w:hint="eastAsia"/>
              </w:rPr>
              <w:t>1</w:t>
            </w:r>
            <w:r>
              <w:rPr>
                <w:rFonts w:hint="eastAsia"/>
                <w:lang w:val="en-US" w:eastAsia="zh-CN"/>
              </w:rPr>
              <w:t>0</w:t>
            </w:r>
            <w:r>
              <w:rPr>
                <w:rFonts w:hint="eastAsia"/>
              </w:rPr>
              <w:t xml:space="preserve"> </w:t>
            </w:r>
            <w:bookmarkStart w:id="13" w:name="OLE_LINK2"/>
            <w:r>
              <w:t>《建筑施工场界环境噪声排放标准》（GB12523－2011 ）     单位：dB(A)</w:t>
            </w:r>
          </w:p>
          <w:tbl>
            <w:tblPr>
              <w:tblStyle w:val="25"/>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433"/>
              <w:gridCol w:w="2965"/>
              <w:gridCol w:w="2463"/>
            </w:tblGrid>
            <w:tr w14:paraId="1EBE5C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1547" w:type="pct"/>
                  <w:vMerge w:val="restart"/>
                  <w:vAlign w:val="center"/>
                </w:tcPr>
                <w:p w14:paraId="46102824">
                  <w:pPr>
                    <w:pStyle w:val="30"/>
                  </w:pPr>
                  <w:r>
                    <w:t>施工噪声</w:t>
                  </w:r>
                </w:p>
              </w:tc>
              <w:tc>
                <w:tcPr>
                  <w:tcW w:w="1885" w:type="pct"/>
                  <w:vAlign w:val="center"/>
                </w:tcPr>
                <w:p w14:paraId="74E0DA52">
                  <w:pPr>
                    <w:pStyle w:val="30"/>
                  </w:pPr>
                  <w:r>
                    <w:t>昼</w:t>
                  </w:r>
                </w:p>
              </w:tc>
              <w:tc>
                <w:tcPr>
                  <w:tcW w:w="1566" w:type="pct"/>
                  <w:vAlign w:val="center"/>
                </w:tcPr>
                <w:p w14:paraId="7124758B">
                  <w:pPr>
                    <w:pStyle w:val="30"/>
                  </w:pPr>
                  <w:r>
                    <w:t>夜</w:t>
                  </w:r>
                </w:p>
              </w:tc>
            </w:tr>
            <w:tr w14:paraId="6367F4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547" w:type="pct"/>
                  <w:vMerge w:val="continue"/>
                  <w:vAlign w:val="center"/>
                </w:tcPr>
                <w:p w14:paraId="07E1BAA8">
                  <w:pPr>
                    <w:pStyle w:val="30"/>
                  </w:pPr>
                </w:p>
              </w:tc>
              <w:tc>
                <w:tcPr>
                  <w:tcW w:w="1885" w:type="pct"/>
                  <w:vAlign w:val="center"/>
                </w:tcPr>
                <w:p w14:paraId="79C26FE2">
                  <w:pPr>
                    <w:pStyle w:val="30"/>
                  </w:pPr>
                  <w:r>
                    <w:t>70</w:t>
                  </w:r>
                </w:p>
              </w:tc>
              <w:tc>
                <w:tcPr>
                  <w:tcW w:w="1566" w:type="pct"/>
                  <w:vAlign w:val="center"/>
                </w:tcPr>
                <w:p w14:paraId="334B1B6D">
                  <w:pPr>
                    <w:pStyle w:val="30"/>
                  </w:pPr>
                  <w:r>
                    <w:t>55</w:t>
                  </w:r>
                </w:p>
              </w:tc>
            </w:tr>
          </w:tbl>
          <w:p w14:paraId="2628F0EA">
            <w:pPr>
              <w:pStyle w:val="33"/>
            </w:pPr>
            <w:r>
              <w:rPr>
                <w:rFonts w:hint="eastAsia"/>
              </w:rPr>
              <w:t>表3-1</w:t>
            </w:r>
            <w:r>
              <w:rPr>
                <w:rFonts w:hint="eastAsia"/>
                <w:lang w:val="en-US" w:eastAsia="zh-CN"/>
              </w:rPr>
              <w:t>1</w:t>
            </w:r>
            <w:r>
              <w:rPr>
                <w:rFonts w:hint="eastAsia"/>
              </w:rPr>
              <w:t xml:space="preserve"> 本项目噪声执行标准值一览表  单位：dB(A)</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85"/>
              <w:gridCol w:w="2473"/>
              <w:gridCol w:w="426"/>
              <w:gridCol w:w="426"/>
              <w:gridCol w:w="3453"/>
            </w:tblGrid>
            <w:tr w14:paraId="707B4E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5" w:hRule="atLeast"/>
                <w:jc w:val="center"/>
              </w:trPr>
              <w:tc>
                <w:tcPr>
                  <w:tcW w:w="690" w:type="pct"/>
                  <w:vAlign w:val="center"/>
                </w:tcPr>
                <w:p w14:paraId="0BAF10CF">
                  <w:pPr>
                    <w:pStyle w:val="30"/>
                  </w:pPr>
                  <w:r>
                    <w:rPr>
                      <w:rFonts w:hint="eastAsia"/>
                    </w:rPr>
                    <w:t>功能区</w:t>
                  </w:r>
                </w:p>
              </w:tc>
              <w:tc>
                <w:tcPr>
                  <w:tcW w:w="1572" w:type="pct"/>
                  <w:vAlign w:val="center"/>
                </w:tcPr>
                <w:p w14:paraId="562499D5">
                  <w:pPr>
                    <w:pStyle w:val="30"/>
                  </w:pPr>
                  <w:r>
                    <w:rPr>
                      <w:rFonts w:hint="eastAsia"/>
                    </w:rPr>
                    <w:t>功能区范围</w:t>
                  </w:r>
                </w:p>
              </w:tc>
              <w:tc>
                <w:tcPr>
                  <w:tcW w:w="2737" w:type="pct"/>
                  <w:gridSpan w:val="3"/>
                  <w:vAlign w:val="center"/>
                </w:tcPr>
                <w:p w14:paraId="552E68E7">
                  <w:pPr>
                    <w:pStyle w:val="30"/>
                  </w:pPr>
                  <w:r>
                    <w:t>标准</w:t>
                  </w:r>
                  <w:r>
                    <w:rPr>
                      <w:rFonts w:hint="eastAsia"/>
                    </w:rPr>
                    <w:t>及</w:t>
                  </w:r>
                  <w:r>
                    <w:t>限值</w:t>
                  </w:r>
                </w:p>
              </w:tc>
            </w:tr>
            <w:tr w14:paraId="373618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690" w:type="pct"/>
                  <w:vAlign w:val="center"/>
                </w:tcPr>
                <w:p w14:paraId="4585CD6A">
                  <w:pPr>
                    <w:pStyle w:val="30"/>
                  </w:pPr>
                  <w:r>
                    <w:rPr>
                      <w:rFonts w:hint="eastAsia"/>
                    </w:rPr>
                    <w:t>铁路边界</w:t>
                  </w:r>
                </w:p>
              </w:tc>
              <w:tc>
                <w:tcPr>
                  <w:tcW w:w="1572" w:type="pct"/>
                  <w:vAlign w:val="center"/>
                </w:tcPr>
                <w:p w14:paraId="39262683">
                  <w:pPr>
                    <w:pStyle w:val="30"/>
                  </w:pPr>
                  <w:r>
                    <w:rPr>
                      <w:rFonts w:hint="eastAsia"/>
                    </w:rPr>
                    <w:t>距铁路外轨中心线30m处</w:t>
                  </w:r>
                </w:p>
              </w:tc>
              <w:tc>
                <w:tcPr>
                  <w:tcW w:w="271" w:type="pct"/>
                  <w:vAlign w:val="center"/>
                </w:tcPr>
                <w:p w14:paraId="07A0429D">
                  <w:pPr>
                    <w:pStyle w:val="30"/>
                  </w:pPr>
                  <w:r>
                    <w:t>70</w:t>
                  </w:r>
                </w:p>
              </w:tc>
              <w:tc>
                <w:tcPr>
                  <w:tcW w:w="271" w:type="pct"/>
                  <w:vAlign w:val="center"/>
                </w:tcPr>
                <w:p w14:paraId="2A283E67">
                  <w:pPr>
                    <w:pStyle w:val="30"/>
                  </w:pPr>
                  <w:r>
                    <w:rPr>
                      <w:rFonts w:hint="eastAsia"/>
                    </w:rPr>
                    <w:t>70</w:t>
                  </w:r>
                </w:p>
              </w:tc>
              <w:tc>
                <w:tcPr>
                  <w:tcW w:w="2193" w:type="pct"/>
                  <w:vAlign w:val="center"/>
                </w:tcPr>
                <w:p w14:paraId="64EEC630">
                  <w:pPr>
                    <w:pStyle w:val="30"/>
                  </w:pPr>
                  <w:r>
                    <w:rPr>
                      <w:rFonts w:hint="eastAsia"/>
                    </w:rPr>
                    <w:t>《铁路边界噪声限值及其测量方法》（GB12525-90）（2008修正）</w:t>
                  </w:r>
                </w:p>
              </w:tc>
            </w:tr>
          </w:tbl>
          <w:p w14:paraId="314EF4ED">
            <w:pPr>
              <w:ind w:firstLine="482"/>
              <w:rPr>
                <w:b/>
                <w:bCs/>
              </w:rPr>
            </w:pPr>
            <w:r>
              <w:rPr>
                <w:rFonts w:hint="eastAsia"/>
                <w:b/>
                <w:bCs/>
              </w:rPr>
              <w:t>5、大气污染物排放标准</w:t>
            </w:r>
          </w:p>
          <w:p w14:paraId="3D16EF5B">
            <w:pPr>
              <w:ind w:firstLine="480"/>
              <w:rPr>
                <w:color w:val="auto"/>
              </w:rPr>
            </w:pPr>
            <w:r>
              <w:rPr>
                <w:rFonts w:hint="eastAsia"/>
                <w:color w:val="auto"/>
              </w:rPr>
              <w:t>施工期及运营期粉尘排放标准执行《大气污染物综合排放标准》（GB16297-1996）表2无组织排放监控浓度限值，详见表3-1</w:t>
            </w:r>
            <w:r>
              <w:rPr>
                <w:rFonts w:hint="eastAsia"/>
                <w:color w:val="auto"/>
                <w:lang w:val="en-US" w:eastAsia="zh-CN"/>
              </w:rPr>
              <w:t>2</w:t>
            </w:r>
            <w:r>
              <w:rPr>
                <w:rFonts w:hint="eastAsia"/>
                <w:color w:val="auto"/>
              </w:rPr>
              <w:t>。</w:t>
            </w:r>
          </w:p>
          <w:p w14:paraId="33E945EF">
            <w:pPr>
              <w:pStyle w:val="33"/>
              <w:rPr>
                <w:bCs/>
                <w:szCs w:val="24"/>
              </w:rPr>
            </w:pPr>
            <w:r>
              <w:t>表3-</w:t>
            </w:r>
            <w:r>
              <w:rPr>
                <w:rFonts w:hint="eastAsia"/>
              </w:rPr>
              <w:t xml:space="preserve">12 </w:t>
            </w:r>
            <w:r>
              <w:t>大气污染物综合排放标准（GB16297-1996）单位：mg/m</w:t>
            </w:r>
            <w:r>
              <w:rPr>
                <w:vertAlign w:val="superscript"/>
              </w:rPr>
              <w:t>3</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9"/>
              <w:gridCol w:w="1886"/>
              <w:gridCol w:w="2030"/>
              <w:gridCol w:w="2875"/>
            </w:tblGrid>
            <w:tr w14:paraId="5A3B1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680" w:type="pct"/>
                  <w:tcBorders>
                    <w:tl2br w:val="nil"/>
                    <w:tr2bl w:val="nil"/>
                  </w:tcBorders>
                  <w:vAlign w:val="center"/>
                </w:tcPr>
                <w:p w14:paraId="172CAD6E">
                  <w:pPr>
                    <w:pStyle w:val="30"/>
                  </w:pPr>
                  <w:r>
                    <w:t>污染物</w:t>
                  </w:r>
                </w:p>
              </w:tc>
              <w:tc>
                <w:tcPr>
                  <w:tcW w:w="1199" w:type="pct"/>
                  <w:tcBorders>
                    <w:tl2br w:val="nil"/>
                    <w:tr2bl w:val="nil"/>
                  </w:tcBorders>
                  <w:vAlign w:val="center"/>
                </w:tcPr>
                <w:p w14:paraId="28061301">
                  <w:pPr>
                    <w:pStyle w:val="30"/>
                  </w:pPr>
                  <w:r>
                    <w:t>生产工艺</w:t>
                  </w:r>
                </w:p>
              </w:tc>
              <w:tc>
                <w:tcPr>
                  <w:tcW w:w="1291" w:type="pct"/>
                  <w:tcBorders>
                    <w:tl2br w:val="nil"/>
                    <w:tr2bl w:val="nil"/>
                  </w:tcBorders>
                  <w:vAlign w:val="center"/>
                </w:tcPr>
                <w:p w14:paraId="0C13D021">
                  <w:pPr>
                    <w:pStyle w:val="30"/>
                  </w:pPr>
                  <w:r>
                    <w:t>最高允许排放浓度</w:t>
                  </w:r>
                </w:p>
              </w:tc>
              <w:tc>
                <w:tcPr>
                  <w:tcW w:w="1828" w:type="pct"/>
                  <w:tcBorders>
                    <w:tl2br w:val="nil"/>
                    <w:tr2bl w:val="nil"/>
                  </w:tcBorders>
                  <w:vAlign w:val="center"/>
                </w:tcPr>
                <w:p w14:paraId="6F242F64">
                  <w:pPr>
                    <w:pStyle w:val="30"/>
                  </w:pPr>
                  <w:r>
                    <w:t>无组织排放监控浓度限值</w:t>
                  </w:r>
                </w:p>
              </w:tc>
            </w:tr>
            <w:tr w14:paraId="21AFF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680" w:type="pct"/>
                  <w:tcBorders>
                    <w:tl2br w:val="nil"/>
                    <w:tr2bl w:val="nil"/>
                  </w:tcBorders>
                  <w:vAlign w:val="center"/>
                </w:tcPr>
                <w:p w14:paraId="273CE13E">
                  <w:pPr>
                    <w:pStyle w:val="30"/>
                  </w:pPr>
                  <w:r>
                    <w:t>颗粒物</w:t>
                  </w:r>
                </w:p>
              </w:tc>
              <w:tc>
                <w:tcPr>
                  <w:tcW w:w="1199" w:type="pct"/>
                  <w:tcBorders>
                    <w:tl2br w:val="nil"/>
                    <w:tr2bl w:val="nil"/>
                  </w:tcBorders>
                  <w:vAlign w:val="center"/>
                </w:tcPr>
                <w:p w14:paraId="6599BE5E">
                  <w:pPr>
                    <w:pStyle w:val="30"/>
                  </w:pPr>
                  <w:r>
                    <w:t>施工作业、运输</w:t>
                  </w:r>
                </w:p>
              </w:tc>
              <w:tc>
                <w:tcPr>
                  <w:tcW w:w="1291" w:type="pct"/>
                  <w:tcBorders>
                    <w:tl2br w:val="nil"/>
                    <w:tr2bl w:val="nil"/>
                  </w:tcBorders>
                  <w:vAlign w:val="center"/>
                </w:tcPr>
                <w:p w14:paraId="56291ADA">
                  <w:pPr>
                    <w:pStyle w:val="30"/>
                  </w:pPr>
                  <w:r>
                    <w:t>----</w:t>
                  </w:r>
                </w:p>
              </w:tc>
              <w:tc>
                <w:tcPr>
                  <w:tcW w:w="1828" w:type="pct"/>
                  <w:tcBorders>
                    <w:tl2br w:val="nil"/>
                    <w:tr2bl w:val="nil"/>
                  </w:tcBorders>
                  <w:vAlign w:val="center"/>
                </w:tcPr>
                <w:p w14:paraId="01F7FCF5">
                  <w:pPr>
                    <w:pStyle w:val="30"/>
                  </w:pPr>
                  <w:r>
                    <w:t>周界外浓度最高为：1.0</w:t>
                  </w:r>
                </w:p>
              </w:tc>
            </w:tr>
            <w:bookmarkEnd w:id="13"/>
          </w:tbl>
          <w:p w14:paraId="7758D54D">
            <w:pPr>
              <w:ind w:firstLine="482"/>
              <w:rPr>
                <w:b/>
                <w:bCs/>
              </w:rPr>
            </w:pPr>
            <w:r>
              <w:rPr>
                <w:rFonts w:hint="eastAsia"/>
                <w:b/>
                <w:bCs/>
              </w:rPr>
              <w:t>6、固体废物排放标准</w:t>
            </w:r>
          </w:p>
          <w:p w14:paraId="25FBEDCD">
            <w:pPr>
              <w:ind w:firstLine="480"/>
            </w:pPr>
            <w:r>
              <w:rPr>
                <w:rFonts w:hint="eastAsia"/>
              </w:rPr>
              <w:t>施工期固体废物等执行《一般工业固体废物贮存和填埋污染控制标准》（GB18599-2020）的要求。</w:t>
            </w:r>
          </w:p>
        </w:tc>
      </w:tr>
      <w:tr w14:paraId="21547B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705" w:type="pct"/>
            <w:vAlign w:val="center"/>
          </w:tcPr>
          <w:p w14:paraId="1079A620">
            <w:pPr>
              <w:adjustRightInd w:val="0"/>
              <w:snapToGrid w:val="0"/>
              <w:ind w:firstLine="0" w:firstLineChars="0"/>
              <w:jc w:val="center"/>
              <w:rPr>
                <w:kern w:val="0"/>
                <w:szCs w:val="21"/>
              </w:rPr>
            </w:pPr>
            <w:r>
              <w:rPr>
                <w:kern w:val="0"/>
                <w:szCs w:val="21"/>
              </w:rPr>
              <w:t>其他</w:t>
            </w:r>
          </w:p>
        </w:tc>
        <w:tc>
          <w:tcPr>
            <w:tcW w:w="4294" w:type="pct"/>
            <w:vAlign w:val="center"/>
          </w:tcPr>
          <w:p w14:paraId="25E6C65C">
            <w:pPr>
              <w:adjustRightInd w:val="0"/>
              <w:snapToGrid w:val="0"/>
              <w:ind w:firstLine="0" w:firstLineChars="0"/>
              <w:jc w:val="center"/>
              <w:rPr>
                <w:kern w:val="0"/>
                <w:szCs w:val="21"/>
              </w:rPr>
            </w:pPr>
            <w:r>
              <w:rPr>
                <w:kern w:val="0"/>
                <w:szCs w:val="21"/>
              </w:rPr>
              <w:t>无</w:t>
            </w:r>
          </w:p>
        </w:tc>
      </w:tr>
    </w:tbl>
    <w:p w14:paraId="411C8E21">
      <w:pPr>
        <w:pStyle w:val="21"/>
        <w:adjustRightInd w:val="0"/>
        <w:snapToGrid w:val="0"/>
        <w:spacing w:before="0" w:beforeAutospacing="0" w:after="0" w:afterAutospacing="0" w:line="14" w:lineRule="auto"/>
        <w:jc w:val="center"/>
        <w:rPr>
          <w:rFonts w:ascii="Times New Roman" w:hAnsi="Times New Roman" w:eastAsia="黑体"/>
          <w:snapToGrid w:val="0"/>
          <w:kern w:val="2"/>
          <w:sz w:val="36"/>
          <w:szCs w:val="36"/>
        </w:rPr>
      </w:pPr>
    </w:p>
    <w:p w14:paraId="7F855ADB">
      <w:pPr>
        <w:pStyle w:val="21"/>
        <w:ind w:firstLine="0" w:firstLineChars="0"/>
        <w:jc w:val="center"/>
        <w:outlineLvl w:val="0"/>
        <w:rPr>
          <w:rFonts w:ascii="Times New Roman" w:hAnsi="Times New Roman" w:eastAsia="黑体"/>
          <w:snapToGrid w:val="0"/>
          <w:sz w:val="30"/>
          <w:szCs w:val="30"/>
        </w:rPr>
      </w:pPr>
      <w:r>
        <w:rPr>
          <w:rFonts w:ascii="Times New Roman" w:hAnsi="Times New Roman" w:eastAsia="黑体"/>
          <w:snapToGrid w:val="0"/>
          <w:kern w:val="2"/>
          <w:sz w:val="36"/>
          <w:szCs w:val="36"/>
        </w:rPr>
        <w:br w:type="page"/>
      </w:r>
      <w:bookmarkStart w:id="14" w:name="_Toc31494"/>
      <w:r>
        <w:rPr>
          <w:rFonts w:ascii="Times New Roman" w:hAnsi="Times New Roman" w:eastAsia="黑体"/>
          <w:snapToGrid w:val="0"/>
          <w:sz w:val="30"/>
          <w:szCs w:val="30"/>
        </w:rPr>
        <w:t>四、生态环境影响分析</w:t>
      </w:r>
      <w:bookmarkEnd w:id="14"/>
    </w:p>
    <w:tbl>
      <w:tblPr>
        <w:tblStyle w:val="25"/>
        <w:tblW w:w="50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7477"/>
      </w:tblGrid>
      <w:tr w14:paraId="5CEE48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653" w:type="pct"/>
            <w:tcBorders>
              <w:top w:val="single" w:color="auto" w:sz="4" w:space="0"/>
              <w:left w:val="single" w:color="auto" w:sz="4" w:space="0"/>
            </w:tcBorders>
            <w:tcMar>
              <w:left w:w="28" w:type="dxa"/>
              <w:right w:w="28" w:type="dxa"/>
            </w:tcMar>
            <w:vAlign w:val="center"/>
          </w:tcPr>
          <w:p w14:paraId="39FB7FB7">
            <w:pPr>
              <w:pStyle w:val="21"/>
              <w:adjustRightInd w:val="0"/>
              <w:snapToGrid w:val="0"/>
              <w:spacing w:before="0" w:beforeAutospacing="0" w:after="0" w:afterAutospacing="0"/>
              <w:ind w:firstLine="0" w:firstLineChars="0"/>
              <w:jc w:val="center"/>
              <w:rPr>
                <w:rFonts w:ascii="Times New Roman" w:hAnsi="Times New Roman"/>
                <w:bCs/>
                <w:kern w:val="2"/>
              </w:rPr>
            </w:pPr>
            <w:bookmarkStart w:id="15" w:name="_Hlk49796138"/>
            <w:r>
              <w:rPr>
                <w:rFonts w:ascii="Times New Roman" w:hAnsi="Times New Roman"/>
                <w:bCs/>
                <w:spacing w:val="10"/>
                <w:kern w:val="2"/>
              </w:rPr>
              <w:t>施工期生态环境影响分析</w:t>
            </w:r>
            <w:bookmarkEnd w:id="15"/>
          </w:p>
        </w:tc>
        <w:tc>
          <w:tcPr>
            <w:tcW w:w="4346" w:type="pct"/>
            <w:tcBorders>
              <w:top w:val="single" w:color="auto" w:sz="4" w:space="0"/>
              <w:right w:val="single" w:color="auto" w:sz="4" w:space="0"/>
            </w:tcBorders>
          </w:tcPr>
          <w:p w14:paraId="673B81C1">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rPr>
                <w:color w:val="0000FF"/>
              </w:rPr>
            </w:pPr>
            <w:r>
              <w:t>1、生态环境影响分析</w:t>
            </w:r>
          </w:p>
          <w:p w14:paraId="70EDA559">
            <w:pPr>
              <w:ind w:firstLine="480"/>
            </w:pPr>
            <w:r>
              <w:t>（1）</w:t>
            </w:r>
            <w:r>
              <w:rPr>
                <w:rFonts w:hint="eastAsia"/>
              </w:rPr>
              <w:t>对工程占地的影响</w:t>
            </w:r>
          </w:p>
          <w:p w14:paraId="67ED468F">
            <w:pPr>
              <w:ind w:firstLine="480"/>
              <w:rPr>
                <w:color w:val="auto"/>
              </w:rPr>
            </w:pPr>
            <w:r>
              <w:rPr>
                <w:rFonts w:hint="eastAsia"/>
                <w:color w:val="auto"/>
              </w:rPr>
              <w:t>本项目不新增永久占地，永久占地面积为70470m</w:t>
            </w:r>
            <w:r>
              <w:rPr>
                <w:rFonts w:hint="eastAsia"/>
                <w:color w:val="auto"/>
                <w:vertAlign w:val="superscript"/>
              </w:rPr>
              <w:t>2</w:t>
            </w:r>
            <w:r>
              <w:rPr>
                <w:rFonts w:hint="eastAsia"/>
                <w:color w:val="auto"/>
              </w:rPr>
              <w:t>，均为既有铁路用地。不改变原有土地的使用功能。本次研究在油库专用线走行线上重新插入17#和19#道岔，分别连通3道和4道。本项目全部在原有铁路用地范围内进行建设，本项目不设置取、弃土场、拌合站，</w:t>
            </w:r>
            <w:r>
              <w:rPr>
                <w:rFonts w:hint="eastAsia"/>
                <w:color w:val="auto"/>
                <w:highlight w:val="none"/>
              </w:rPr>
              <w:t>本项目临时占地共计19267m</w:t>
            </w:r>
            <w:r>
              <w:rPr>
                <w:rFonts w:hint="eastAsia"/>
                <w:color w:val="auto"/>
                <w:highlight w:val="none"/>
                <w:vertAlign w:val="superscript"/>
              </w:rPr>
              <w:t>2</w:t>
            </w:r>
            <w:r>
              <w:rPr>
                <w:rFonts w:hint="eastAsia"/>
                <w:color w:val="auto"/>
                <w:highlight w:val="none"/>
              </w:rPr>
              <w:t>，其中施工场地7027m</w:t>
            </w:r>
            <w:r>
              <w:rPr>
                <w:rFonts w:hint="eastAsia"/>
                <w:color w:val="auto"/>
                <w:highlight w:val="none"/>
                <w:vertAlign w:val="superscript"/>
              </w:rPr>
              <w:t>2</w:t>
            </w:r>
            <w:r>
              <w:rPr>
                <w:rFonts w:hint="eastAsia"/>
                <w:color w:val="auto"/>
                <w:highlight w:val="none"/>
              </w:rPr>
              <w:t>，在专用线一侧设置，占地类型为</w:t>
            </w:r>
            <w:r>
              <w:rPr>
                <w:rFonts w:hint="eastAsia"/>
                <w:color w:val="auto"/>
                <w:highlight w:val="none"/>
                <w:lang w:val="en-US" w:eastAsia="zh-CN"/>
              </w:rPr>
              <w:t>铁路用地</w:t>
            </w:r>
            <w:r>
              <w:rPr>
                <w:rFonts w:hint="eastAsia"/>
                <w:color w:val="auto"/>
                <w:highlight w:val="none"/>
              </w:rPr>
              <w:t>，施工结束后恢复为</w:t>
            </w:r>
            <w:r>
              <w:rPr>
                <w:rFonts w:hint="eastAsia"/>
                <w:color w:val="auto"/>
                <w:highlight w:val="none"/>
                <w:lang w:val="en-US" w:eastAsia="zh-CN"/>
              </w:rPr>
              <w:t>原地类</w:t>
            </w:r>
            <w:r>
              <w:rPr>
                <w:rFonts w:hint="eastAsia"/>
                <w:color w:val="auto"/>
                <w:highlight w:val="none"/>
              </w:rPr>
              <w:t>；临时堆土场6300m</w:t>
            </w:r>
            <w:r>
              <w:rPr>
                <w:rFonts w:hint="eastAsia"/>
                <w:color w:val="auto"/>
                <w:highlight w:val="none"/>
                <w:vertAlign w:val="superscript"/>
              </w:rPr>
              <w:t>2</w:t>
            </w:r>
            <w:r>
              <w:rPr>
                <w:rFonts w:hint="eastAsia"/>
                <w:color w:val="auto"/>
                <w:highlight w:val="none"/>
              </w:rPr>
              <w:t>，设在铁路</w:t>
            </w:r>
            <w:r>
              <w:rPr>
                <w:rFonts w:hint="eastAsia"/>
                <w:color w:val="auto"/>
                <w:highlight w:val="none"/>
                <w:lang w:val="en-US" w:eastAsia="zh-CN"/>
              </w:rPr>
              <w:t>一</w:t>
            </w:r>
            <w:r>
              <w:rPr>
                <w:rFonts w:hint="eastAsia"/>
                <w:color w:val="auto"/>
                <w:highlight w:val="none"/>
              </w:rPr>
              <w:t>侧，占地类型为</w:t>
            </w:r>
            <w:r>
              <w:rPr>
                <w:rFonts w:hint="eastAsia"/>
                <w:color w:val="auto"/>
                <w:highlight w:val="none"/>
                <w:lang w:val="en-US" w:eastAsia="zh-CN"/>
              </w:rPr>
              <w:t>铁路用地</w:t>
            </w:r>
            <w:r>
              <w:rPr>
                <w:rFonts w:hint="eastAsia"/>
                <w:color w:val="auto"/>
                <w:highlight w:val="none"/>
              </w:rPr>
              <w:t>，施工结束后恢复为</w:t>
            </w:r>
            <w:r>
              <w:rPr>
                <w:rFonts w:hint="eastAsia"/>
                <w:color w:val="auto"/>
                <w:highlight w:val="none"/>
                <w:lang w:val="en-US" w:eastAsia="zh-CN"/>
              </w:rPr>
              <w:t>原地类</w:t>
            </w:r>
            <w:r>
              <w:rPr>
                <w:rFonts w:hint="eastAsia"/>
                <w:color w:val="auto"/>
                <w:highlight w:val="none"/>
              </w:rPr>
              <w:t>，确保耕地面积不减少、质量不降低；临时施工便道5940m</w:t>
            </w:r>
            <w:r>
              <w:rPr>
                <w:rFonts w:hint="eastAsia"/>
                <w:color w:val="auto"/>
                <w:highlight w:val="none"/>
                <w:vertAlign w:val="superscript"/>
              </w:rPr>
              <w:t>2</w:t>
            </w:r>
            <w:r>
              <w:rPr>
                <w:rFonts w:hint="eastAsia"/>
                <w:color w:val="auto"/>
                <w:highlight w:val="none"/>
              </w:rPr>
              <w:t>，长度850m，占地类型为耕地，施工结束后恢复为耕地。</w:t>
            </w:r>
          </w:p>
          <w:p w14:paraId="14B8C647">
            <w:pPr>
              <w:ind w:firstLine="480"/>
            </w:pPr>
            <w:r>
              <w:rPr>
                <w:rFonts w:hint="eastAsia"/>
                <w:color w:val="auto"/>
              </w:rPr>
              <w:t>因此，项目施工占地对土地利用类型的影响是可接受的。</w:t>
            </w:r>
          </w:p>
          <w:p w14:paraId="0F9B3B9B">
            <w:pPr>
              <w:ind w:firstLine="480"/>
            </w:pPr>
            <w:r>
              <w:t>（2）动物、植物多样性影响特征分析</w:t>
            </w:r>
          </w:p>
          <w:p w14:paraId="514A6A6C">
            <w:pPr>
              <w:ind w:firstLine="480"/>
              <w:rPr>
                <w:color w:val="auto"/>
              </w:rPr>
            </w:pPr>
            <w:r>
              <w:rPr>
                <w:color w:val="auto"/>
              </w:rPr>
              <w:t>本项目所在区域开发时间较长，人为活动频繁，耕地面积比重较大，线路所经过的地区生物多样性较单一，且无大型、珍稀、濒危及国家重点保护的野生动植物。野生动物中兽类主要有草鹭、大仓鼠、小家鼠等，鸟类有山雀、喜鹊、家燕、麻雀、乌鸦等，两栖类有蟾蜍、林蛙等。</w:t>
            </w:r>
          </w:p>
          <w:p w14:paraId="2EE18528">
            <w:pPr>
              <w:ind w:firstLine="480"/>
              <w:rPr>
                <w:color w:val="auto"/>
              </w:rPr>
            </w:pPr>
            <w:r>
              <w:rPr>
                <w:color w:val="auto"/>
              </w:rPr>
              <w:t>施工期间，人为活动增加以及路基开挖、机械振动、噪声将影响沿线上述环境中的两栖类、小型兽类、鸟类。动物将通过迁移或者飞翔来避免工程对其栖息和觅食的影响。施工结束后区域内的动物能够重返，同时采取一定的降噪措施，本项目施工期对动物的影响较小。</w:t>
            </w:r>
          </w:p>
          <w:p w14:paraId="1CBE13CB">
            <w:pPr>
              <w:ind w:firstLine="480"/>
              <w:rPr>
                <w:color w:val="auto"/>
              </w:rPr>
            </w:pPr>
            <w:r>
              <w:rPr>
                <w:color w:val="auto"/>
              </w:rPr>
              <w:t>本项目实施前将对施工范围的植被进行清理。项目占地以及施工产生的噪声、振动、废水、烟尘、固体废物等将对沿线的各类生态系统带来一定的影响，并对植物、动物产生影响</w:t>
            </w:r>
            <w:r>
              <w:rPr>
                <w:rFonts w:hint="eastAsia"/>
                <w:color w:val="auto"/>
              </w:rPr>
              <w:t>，但施工完毕后随着临时占地的恢复生产力将有所回升，基本上恢复到建设前的状况；同时，根据现场调查，在工程影响范围内、受工程影响的植被均属一般常见种，其生长范围广，适应性强，不存在因局部植被管理不慎而导致植物种群消失或灭绝。植被基本为人工抚育，植被的破坏损失不会造成区域生态系统的永久破坏，可通过人工异地抚育，很快得到恢复。</w:t>
            </w:r>
          </w:p>
          <w:p w14:paraId="430A186E">
            <w:pPr>
              <w:ind w:firstLine="480"/>
              <w:rPr>
                <w:color w:val="auto"/>
              </w:rPr>
            </w:pPr>
            <w:r>
              <w:rPr>
                <w:rFonts w:hint="eastAsia"/>
                <w:color w:val="auto"/>
              </w:rPr>
              <w:t>因此，本工程的建设不会影响区域生态系统的稳定性和完整性。</w:t>
            </w:r>
          </w:p>
          <w:p w14:paraId="75580AF3">
            <w:pPr>
              <w:ind w:firstLine="480"/>
            </w:pPr>
            <w:r>
              <w:rPr>
                <w:rFonts w:hint="eastAsia"/>
              </w:rPr>
              <w:t>（3）对重点保护野生植物及名木古树的影响分析</w:t>
            </w:r>
          </w:p>
          <w:p w14:paraId="4DA9080F">
            <w:pPr>
              <w:ind w:firstLine="480"/>
            </w:pPr>
            <w:r>
              <w:rPr>
                <w:rFonts w:hint="eastAsia"/>
              </w:rPr>
              <w:t>根据现场调查及资料分析，项目施工占地范围内未见保护植物及名木古树分布，施工期对重点保护野生植物及名木古树无影响。</w:t>
            </w:r>
          </w:p>
          <w:p w14:paraId="68A703FC">
            <w:pPr>
              <w:ind w:firstLine="480"/>
            </w:pPr>
            <w:r>
              <w:rPr>
                <w:rFonts w:hint="eastAsia"/>
              </w:rPr>
              <w:t>工程施工过程中必须严格控制施工作业带宽度，减小扰动范围，施工过程中一旦发现保护植物，需立即告知当地林业部门，并在林业部门的指导下采取合理的保护措施。</w:t>
            </w:r>
          </w:p>
          <w:p w14:paraId="6A50C0E6">
            <w:pPr>
              <w:ind w:firstLine="480"/>
              <w:rPr>
                <w:color w:val="auto"/>
              </w:rPr>
            </w:pPr>
            <w:r>
              <w:rPr>
                <w:rFonts w:hint="eastAsia"/>
                <w:color w:val="auto"/>
              </w:rPr>
              <w:t>（4）对野生动物影响</w:t>
            </w:r>
          </w:p>
          <w:p w14:paraId="3705160A">
            <w:pPr>
              <w:ind w:firstLine="480"/>
              <w:rPr>
                <w:color w:val="auto"/>
              </w:rPr>
            </w:pPr>
            <w:r>
              <w:rPr>
                <w:rFonts w:hint="eastAsia"/>
                <w:color w:val="auto"/>
              </w:rPr>
              <w:t>施工机械噪声和人类活动噪声是影响野生动物的主要因素，各种施工机械如运输车辆、推土机、振捣棒等均可能产生较强的噪声。因现状周边有一定施工扰动，人为活动较为频繁，大部分动物早已迁徙至远处。随本项目施工噪声具有一定的辐射范围，但近处野生动物都将产生规避反应，迁往附近同类环境，故物种种群与数量不会受到明显影响。根据当地居民反映，本区无保护、珍稀、濒危、大型野生动物，主要有鼠、兔等小型动物。因此，本项目建设实施不会对周边动物造成较大影响。</w:t>
            </w:r>
          </w:p>
          <w:p w14:paraId="592B5958">
            <w:pPr>
              <w:ind w:firstLine="480"/>
              <w:rPr>
                <w:color w:val="auto"/>
              </w:rPr>
            </w:pPr>
            <w:r>
              <w:rPr>
                <w:rFonts w:hint="eastAsia"/>
                <w:color w:val="auto"/>
              </w:rPr>
              <w:t>（5）对水土流失影响</w:t>
            </w:r>
          </w:p>
          <w:p w14:paraId="2A4E77CC">
            <w:pPr>
              <w:ind w:firstLine="480"/>
            </w:pPr>
            <w:r>
              <w:rPr>
                <w:rFonts w:hint="eastAsia"/>
                <w:color w:val="auto"/>
              </w:rPr>
              <w:t>根据工程布局及设计特点，在确定的水土流失防治责任范围内进行水土流失防治分区，将项目区划分为路基工程区和施工生产区2个防治分区。根据水土流失防治分区，在水土流失预测及分析主体工程中具有水土保持功能工程的基础上，针对建设活动引起水土流失的特点和造成水土流失危害程度，采取有效的水土流失防治措施，把工程、植物、临时措施有机结合起来，把主体工程中具有水土保持功能的措施纳入水土流失防治体系，科学配置，形成动态的防治体系，发挥最佳效益。水土保持方案新增的防治措施工程量包括工程措施、植物措施及临时防护措施。</w:t>
            </w:r>
          </w:p>
          <w:p w14:paraId="1F5696B1">
            <w:pPr>
              <w:ind w:left="480" w:leftChars="200" w:firstLine="0" w:firstLineChars="0"/>
            </w:pPr>
            <w:r>
              <w:rPr>
                <w:rFonts w:hint="eastAsia"/>
              </w:rPr>
              <w:t>（6）对鸟类的影响</w:t>
            </w:r>
          </w:p>
          <w:p w14:paraId="57DFC603">
            <w:pPr>
              <w:ind w:firstLine="480"/>
            </w:pPr>
            <w:r>
              <w:rPr>
                <w:rFonts w:hint="eastAsia"/>
              </w:rPr>
              <w:t>施工期间对鸟类的影响主要体现在沿线施工人员噪声及施工机械噪声产生的惊吓、干扰等。但鸟类可以通过迁徙和飞翔来避免施工队其栖息和觅食的影响。拟建专用线沿线分布的雀形目鸟类等多在浅水中觅食，在水域附近的草丛、灌丛或高大乔木上营巣繁殖。施工的干扰可能会导致这些鸟类向邻近地区迁移，远离施工区范围。</w:t>
            </w:r>
          </w:p>
          <w:p w14:paraId="3EBC4665">
            <w:pPr>
              <w:ind w:firstLine="480"/>
              <w:rPr>
                <w:color w:val="auto"/>
              </w:rPr>
            </w:pPr>
            <w:r>
              <w:rPr>
                <w:rFonts w:hint="eastAsia"/>
              </w:rPr>
              <w:t>由于专用线分段进行施工，施工期较短，累积影响低，通过加强环境管理，施工过程中注意对幼鸟的保护，做到生态施工，工程对鸟类</w:t>
            </w:r>
            <w:r>
              <w:rPr>
                <w:rFonts w:hint="eastAsia"/>
                <w:color w:val="auto"/>
              </w:rPr>
              <w:t>的影响是可控的，总体影响较小。</w:t>
            </w:r>
          </w:p>
          <w:p w14:paraId="35CAB419">
            <w:pPr>
              <w:ind w:firstLine="480"/>
              <w:rPr>
                <w:rFonts w:hint="default" w:eastAsia="宋体"/>
                <w:color w:val="auto"/>
                <w:lang w:val="en-US" w:eastAsia="zh-CN"/>
              </w:rPr>
            </w:pPr>
            <w:r>
              <w:rPr>
                <w:rFonts w:hint="eastAsia"/>
                <w:color w:val="auto"/>
                <w:lang w:eastAsia="zh-CN"/>
              </w:rPr>
              <w:t>（</w:t>
            </w:r>
            <w:r>
              <w:rPr>
                <w:rFonts w:hint="eastAsia"/>
                <w:color w:val="auto"/>
                <w:lang w:val="en-US" w:eastAsia="zh-CN"/>
              </w:rPr>
              <w:t>7</w:t>
            </w:r>
            <w:r>
              <w:rPr>
                <w:rFonts w:hint="eastAsia"/>
                <w:color w:val="auto"/>
                <w:lang w:eastAsia="zh-CN"/>
              </w:rPr>
              <w:t>）</w:t>
            </w:r>
            <w:r>
              <w:rPr>
                <w:rFonts w:hint="eastAsia"/>
                <w:color w:val="auto"/>
                <w:lang w:val="en-US" w:eastAsia="zh-CN"/>
              </w:rPr>
              <w:t>对黑土地的影响分析</w:t>
            </w:r>
          </w:p>
          <w:p w14:paraId="01A0A1CB">
            <w:pPr>
              <w:ind w:firstLine="480"/>
              <w:rPr>
                <w:rFonts w:hint="eastAsia"/>
                <w:color w:val="auto"/>
                <w:lang w:val="en-US" w:eastAsia="zh-CN"/>
              </w:rPr>
            </w:pPr>
            <w:r>
              <w:rPr>
                <w:rFonts w:hint="eastAsia"/>
                <w:color w:val="auto"/>
                <w:lang w:val="en-US" w:eastAsia="zh-CN"/>
              </w:rPr>
              <w:t>施工期间可能破坏地表植被，造成土壤侵蚀，影响黑土地的生态功能，列车运行产生的噪声和振动也可能对沿线动植物栖息环境产生干扰。建设过程中可能占用部分耕地资源，对农业生产造成短期影响。施工期间可能还对沿线居民的生活造成干扰，如噪声、扬尘等问题。</w:t>
            </w:r>
          </w:p>
          <w:p w14:paraId="3BF83E2D">
            <w:pPr>
              <w:ind w:firstLine="480"/>
              <w:rPr>
                <w:rFonts w:hint="default"/>
                <w:color w:val="auto"/>
                <w:lang w:val="en-US" w:eastAsia="zh-CN"/>
              </w:rPr>
            </w:pPr>
            <w:r>
              <w:rPr>
                <w:rFonts w:hint="default"/>
                <w:color w:val="auto"/>
                <w:lang w:val="en-US" w:eastAsia="zh-CN"/>
              </w:rPr>
              <w:t>由于专用线分段进行施工，施工期较短，</w:t>
            </w:r>
            <w:r>
              <w:rPr>
                <w:rFonts w:hint="eastAsia"/>
                <w:color w:val="auto"/>
                <w:lang w:val="en-US" w:eastAsia="zh-CN"/>
              </w:rPr>
              <w:t>施工结束后恢复土地原地类，总体影响较小。</w:t>
            </w:r>
          </w:p>
          <w:p w14:paraId="57E55A58">
            <w:pPr>
              <w:ind w:firstLine="480"/>
            </w:pPr>
            <w:r>
              <w:t>2、声环境、振动环境影响分析</w:t>
            </w:r>
          </w:p>
          <w:p w14:paraId="14C7D104">
            <w:pPr>
              <w:ind w:firstLine="480"/>
            </w:pPr>
            <w:r>
              <w:t>（1）声环境</w:t>
            </w:r>
          </w:p>
          <w:p w14:paraId="50AA4145">
            <w:pPr>
              <w:ind w:firstLine="480"/>
            </w:pPr>
            <w:r>
              <w:t>①施工噪声</w:t>
            </w:r>
          </w:p>
          <w:p w14:paraId="2E96E476">
            <w:pPr>
              <w:ind w:firstLine="480"/>
            </w:pPr>
            <w:r>
              <w:t>施工噪声会影响周围居民区等敏感点的声环境质量。</w:t>
            </w:r>
          </w:p>
          <w:p w14:paraId="6DC74806">
            <w:pPr>
              <w:ind w:firstLine="480"/>
            </w:pPr>
            <w:r>
              <w:t>施工现场的各类机械设备包括装载车、挖掘机、推土机等是最主要的施工噪声源。根据《环境噪声与振动控制工程技术导则》（HJ2034-2013），常见施工设备噪声源强详见表</w:t>
            </w:r>
          </w:p>
          <w:p w14:paraId="1123011F">
            <w:pPr>
              <w:pStyle w:val="33"/>
            </w:pPr>
            <w:r>
              <w:t>表4-1 常见施工设备噪声源强</w:t>
            </w:r>
          </w:p>
          <w:tbl>
            <w:tblPr>
              <w:tblStyle w:val="55"/>
              <w:tblW w:w="4998" w:type="pct"/>
              <w:jc w:val="center"/>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Layout w:type="fixed"/>
              <w:tblCellMar>
                <w:top w:w="0" w:type="dxa"/>
                <w:left w:w="0" w:type="dxa"/>
                <w:bottom w:w="0" w:type="dxa"/>
                <w:right w:w="0" w:type="dxa"/>
              </w:tblCellMar>
            </w:tblPr>
            <w:tblGrid>
              <w:gridCol w:w="1331"/>
              <w:gridCol w:w="1087"/>
              <w:gridCol w:w="1111"/>
              <w:gridCol w:w="1485"/>
              <w:gridCol w:w="1117"/>
              <w:gridCol w:w="1127"/>
            </w:tblGrid>
            <w:tr w14:paraId="06938A5E">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916" w:type="pct"/>
                  <w:tcBorders>
                    <w:tl2br w:val="nil"/>
                    <w:tr2bl w:val="nil"/>
                  </w:tcBorders>
                  <w:vAlign w:val="center"/>
                </w:tcPr>
                <w:p w14:paraId="06EECE51">
                  <w:pPr>
                    <w:pStyle w:val="30"/>
                  </w:pPr>
                  <w:r>
                    <w:t>施工设备名称</w:t>
                  </w:r>
                </w:p>
              </w:tc>
              <w:tc>
                <w:tcPr>
                  <w:tcW w:w="748" w:type="pct"/>
                  <w:tcBorders>
                    <w:tl2br w:val="nil"/>
                    <w:tr2bl w:val="nil"/>
                  </w:tcBorders>
                  <w:vAlign w:val="center"/>
                </w:tcPr>
                <w:p w14:paraId="126DBAEB">
                  <w:pPr>
                    <w:pStyle w:val="30"/>
                  </w:pPr>
                  <w:r>
                    <w:t>距声源5m</w:t>
                  </w:r>
                </w:p>
              </w:tc>
              <w:tc>
                <w:tcPr>
                  <w:tcW w:w="765" w:type="pct"/>
                  <w:tcBorders>
                    <w:tl2br w:val="nil"/>
                    <w:tr2bl w:val="nil"/>
                  </w:tcBorders>
                  <w:vAlign w:val="center"/>
                </w:tcPr>
                <w:p w14:paraId="16A87369">
                  <w:pPr>
                    <w:pStyle w:val="30"/>
                  </w:pPr>
                  <w:r>
                    <w:t>距声源10m</w:t>
                  </w:r>
                </w:p>
              </w:tc>
              <w:tc>
                <w:tcPr>
                  <w:tcW w:w="1022" w:type="pct"/>
                  <w:tcBorders>
                    <w:tl2br w:val="nil"/>
                    <w:tr2bl w:val="nil"/>
                  </w:tcBorders>
                  <w:vAlign w:val="center"/>
                </w:tcPr>
                <w:p w14:paraId="576032CC">
                  <w:pPr>
                    <w:pStyle w:val="30"/>
                  </w:pPr>
                  <w:r>
                    <w:t>施工设备名称</w:t>
                  </w:r>
                </w:p>
              </w:tc>
              <w:tc>
                <w:tcPr>
                  <w:tcW w:w="769" w:type="pct"/>
                  <w:tcBorders>
                    <w:tl2br w:val="nil"/>
                    <w:tr2bl w:val="nil"/>
                  </w:tcBorders>
                  <w:vAlign w:val="center"/>
                </w:tcPr>
                <w:p w14:paraId="2089AA08">
                  <w:pPr>
                    <w:pStyle w:val="30"/>
                  </w:pPr>
                  <w:r>
                    <w:t>距声源5m</w:t>
                  </w:r>
                </w:p>
              </w:tc>
              <w:tc>
                <w:tcPr>
                  <w:tcW w:w="776" w:type="pct"/>
                  <w:tcBorders>
                    <w:tl2br w:val="nil"/>
                    <w:tr2bl w:val="nil"/>
                  </w:tcBorders>
                  <w:vAlign w:val="center"/>
                </w:tcPr>
                <w:p w14:paraId="5C4CBA4A">
                  <w:pPr>
                    <w:pStyle w:val="30"/>
                  </w:pPr>
                  <w:r>
                    <w:t>距声源10m</w:t>
                  </w:r>
                </w:p>
              </w:tc>
            </w:tr>
            <w:tr w14:paraId="43FEEE2F">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916" w:type="pct"/>
                  <w:tcBorders>
                    <w:tl2br w:val="nil"/>
                    <w:tr2bl w:val="nil"/>
                  </w:tcBorders>
                  <w:vAlign w:val="center"/>
                </w:tcPr>
                <w:p w14:paraId="652FF7B0">
                  <w:pPr>
                    <w:pStyle w:val="30"/>
                  </w:pPr>
                  <w:r>
                    <w:t>液压挖掘机</w:t>
                  </w:r>
                </w:p>
              </w:tc>
              <w:tc>
                <w:tcPr>
                  <w:tcW w:w="748" w:type="pct"/>
                  <w:tcBorders>
                    <w:tl2br w:val="nil"/>
                    <w:tr2bl w:val="nil"/>
                  </w:tcBorders>
                  <w:vAlign w:val="center"/>
                </w:tcPr>
                <w:p w14:paraId="7C3DF5F9">
                  <w:pPr>
                    <w:pStyle w:val="30"/>
                  </w:pPr>
                  <w:r>
                    <w:t>82~90</w:t>
                  </w:r>
                </w:p>
              </w:tc>
              <w:tc>
                <w:tcPr>
                  <w:tcW w:w="765" w:type="pct"/>
                  <w:tcBorders>
                    <w:tl2br w:val="nil"/>
                    <w:tr2bl w:val="nil"/>
                  </w:tcBorders>
                  <w:vAlign w:val="center"/>
                </w:tcPr>
                <w:p w14:paraId="701245E5">
                  <w:pPr>
                    <w:pStyle w:val="30"/>
                  </w:pPr>
                  <w:r>
                    <w:t>78~86</w:t>
                  </w:r>
                </w:p>
              </w:tc>
              <w:tc>
                <w:tcPr>
                  <w:tcW w:w="1022" w:type="pct"/>
                  <w:tcBorders>
                    <w:tl2br w:val="nil"/>
                    <w:tr2bl w:val="nil"/>
                  </w:tcBorders>
                  <w:vAlign w:val="center"/>
                </w:tcPr>
                <w:p w14:paraId="08104686">
                  <w:pPr>
                    <w:pStyle w:val="30"/>
                  </w:pPr>
                  <w:r>
                    <w:t>振动夯锤</w:t>
                  </w:r>
                </w:p>
              </w:tc>
              <w:tc>
                <w:tcPr>
                  <w:tcW w:w="769" w:type="pct"/>
                  <w:tcBorders>
                    <w:tl2br w:val="nil"/>
                    <w:tr2bl w:val="nil"/>
                  </w:tcBorders>
                  <w:vAlign w:val="center"/>
                </w:tcPr>
                <w:p w14:paraId="736E3E8B">
                  <w:pPr>
                    <w:pStyle w:val="30"/>
                  </w:pPr>
                  <w:r>
                    <w:t>92~100</w:t>
                  </w:r>
                </w:p>
              </w:tc>
              <w:tc>
                <w:tcPr>
                  <w:tcW w:w="776" w:type="pct"/>
                  <w:tcBorders>
                    <w:tl2br w:val="nil"/>
                    <w:tr2bl w:val="nil"/>
                  </w:tcBorders>
                  <w:vAlign w:val="center"/>
                </w:tcPr>
                <w:p w14:paraId="67625FB7">
                  <w:pPr>
                    <w:pStyle w:val="30"/>
                  </w:pPr>
                  <w:r>
                    <w:t>86~94</w:t>
                  </w:r>
                </w:p>
              </w:tc>
            </w:tr>
            <w:tr w14:paraId="1B17554D">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916" w:type="pct"/>
                  <w:tcBorders>
                    <w:tl2br w:val="nil"/>
                    <w:tr2bl w:val="nil"/>
                  </w:tcBorders>
                  <w:vAlign w:val="center"/>
                </w:tcPr>
                <w:p w14:paraId="260460D6">
                  <w:pPr>
                    <w:pStyle w:val="30"/>
                  </w:pPr>
                  <w:r>
                    <w:t>电动挖掘机</w:t>
                  </w:r>
                </w:p>
              </w:tc>
              <w:tc>
                <w:tcPr>
                  <w:tcW w:w="748" w:type="pct"/>
                  <w:tcBorders>
                    <w:tl2br w:val="nil"/>
                    <w:tr2bl w:val="nil"/>
                  </w:tcBorders>
                  <w:vAlign w:val="center"/>
                </w:tcPr>
                <w:p w14:paraId="1103AA77">
                  <w:pPr>
                    <w:pStyle w:val="30"/>
                  </w:pPr>
                  <w:r>
                    <w:t>80~86</w:t>
                  </w:r>
                </w:p>
              </w:tc>
              <w:tc>
                <w:tcPr>
                  <w:tcW w:w="765" w:type="pct"/>
                  <w:tcBorders>
                    <w:tl2br w:val="nil"/>
                    <w:tr2bl w:val="nil"/>
                  </w:tcBorders>
                  <w:vAlign w:val="center"/>
                </w:tcPr>
                <w:p w14:paraId="54AF5DF6">
                  <w:pPr>
                    <w:pStyle w:val="30"/>
                  </w:pPr>
                  <w:r>
                    <w:t>75~83</w:t>
                  </w:r>
                </w:p>
              </w:tc>
              <w:tc>
                <w:tcPr>
                  <w:tcW w:w="1022" w:type="pct"/>
                  <w:tcBorders>
                    <w:tl2br w:val="nil"/>
                    <w:tr2bl w:val="nil"/>
                  </w:tcBorders>
                  <w:vAlign w:val="center"/>
                </w:tcPr>
                <w:p w14:paraId="66B49230">
                  <w:pPr>
                    <w:pStyle w:val="30"/>
                  </w:pPr>
                  <w:r>
                    <w:t>打桩机</w:t>
                  </w:r>
                </w:p>
              </w:tc>
              <w:tc>
                <w:tcPr>
                  <w:tcW w:w="769" w:type="pct"/>
                  <w:tcBorders>
                    <w:tl2br w:val="nil"/>
                    <w:tr2bl w:val="nil"/>
                  </w:tcBorders>
                  <w:vAlign w:val="center"/>
                </w:tcPr>
                <w:p w14:paraId="385923E3">
                  <w:pPr>
                    <w:pStyle w:val="30"/>
                  </w:pPr>
                  <w:r>
                    <w:t>100~110</w:t>
                  </w:r>
                </w:p>
              </w:tc>
              <w:tc>
                <w:tcPr>
                  <w:tcW w:w="776" w:type="pct"/>
                  <w:tcBorders>
                    <w:tl2br w:val="nil"/>
                    <w:tr2bl w:val="nil"/>
                  </w:tcBorders>
                  <w:vAlign w:val="center"/>
                </w:tcPr>
                <w:p w14:paraId="4EC29D3F">
                  <w:pPr>
                    <w:pStyle w:val="30"/>
                  </w:pPr>
                  <w:r>
                    <w:t>95~105</w:t>
                  </w:r>
                </w:p>
              </w:tc>
            </w:tr>
            <w:tr w14:paraId="1845F141">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916" w:type="pct"/>
                  <w:tcBorders>
                    <w:tl2br w:val="nil"/>
                    <w:tr2bl w:val="nil"/>
                  </w:tcBorders>
                  <w:vAlign w:val="center"/>
                </w:tcPr>
                <w:p w14:paraId="69303586">
                  <w:pPr>
                    <w:pStyle w:val="30"/>
                  </w:pPr>
                  <w:r>
                    <w:t>轮式装载机</w:t>
                  </w:r>
                </w:p>
              </w:tc>
              <w:tc>
                <w:tcPr>
                  <w:tcW w:w="748" w:type="pct"/>
                  <w:tcBorders>
                    <w:tl2br w:val="nil"/>
                    <w:tr2bl w:val="nil"/>
                  </w:tcBorders>
                  <w:vAlign w:val="center"/>
                </w:tcPr>
                <w:p w14:paraId="79824B9D">
                  <w:pPr>
                    <w:pStyle w:val="30"/>
                  </w:pPr>
                  <w:r>
                    <w:t>90~95</w:t>
                  </w:r>
                </w:p>
              </w:tc>
              <w:tc>
                <w:tcPr>
                  <w:tcW w:w="765" w:type="pct"/>
                  <w:tcBorders>
                    <w:tl2br w:val="nil"/>
                    <w:tr2bl w:val="nil"/>
                  </w:tcBorders>
                  <w:vAlign w:val="center"/>
                </w:tcPr>
                <w:p w14:paraId="169BC27E">
                  <w:pPr>
                    <w:pStyle w:val="30"/>
                  </w:pPr>
                  <w:r>
                    <w:t>85~91</w:t>
                  </w:r>
                </w:p>
              </w:tc>
              <w:tc>
                <w:tcPr>
                  <w:tcW w:w="1022" w:type="pct"/>
                  <w:tcBorders>
                    <w:tl2br w:val="nil"/>
                    <w:tr2bl w:val="nil"/>
                  </w:tcBorders>
                  <w:vAlign w:val="center"/>
                </w:tcPr>
                <w:p w14:paraId="70812A5F">
                  <w:pPr>
                    <w:pStyle w:val="30"/>
                  </w:pPr>
                  <w:r>
                    <w:t>静力压桩机</w:t>
                  </w:r>
                </w:p>
              </w:tc>
              <w:tc>
                <w:tcPr>
                  <w:tcW w:w="769" w:type="pct"/>
                  <w:tcBorders>
                    <w:tl2br w:val="nil"/>
                    <w:tr2bl w:val="nil"/>
                  </w:tcBorders>
                  <w:vAlign w:val="center"/>
                </w:tcPr>
                <w:p w14:paraId="26436D1C">
                  <w:pPr>
                    <w:pStyle w:val="30"/>
                  </w:pPr>
                  <w:r>
                    <w:t>70~75</w:t>
                  </w:r>
                </w:p>
              </w:tc>
              <w:tc>
                <w:tcPr>
                  <w:tcW w:w="776" w:type="pct"/>
                  <w:tcBorders>
                    <w:tl2br w:val="nil"/>
                    <w:tr2bl w:val="nil"/>
                  </w:tcBorders>
                  <w:vAlign w:val="center"/>
                </w:tcPr>
                <w:p w14:paraId="03BD828C">
                  <w:pPr>
                    <w:pStyle w:val="30"/>
                  </w:pPr>
                  <w:r>
                    <w:t>68~73</w:t>
                  </w:r>
                </w:p>
              </w:tc>
            </w:tr>
            <w:tr w14:paraId="1C37DBF7">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916" w:type="pct"/>
                  <w:tcBorders>
                    <w:tl2br w:val="nil"/>
                    <w:tr2bl w:val="nil"/>
                  </w:tcBorders>
                  <w:vAlign w:val="center"/>
                </w:tcPr>
                <w:p w14:paraId="4E450D86">
                  <w:pPr>
                    <w:pStyle w:val="30"/>
                  </w:pPr>
                  <w:r>
                    <w:t>推土机</w:t>
                  </w:r>
                </w:p>
              </w:tc>
              <w:tc>
                <w:tcPr>
                  <w:tcW w:w="748" w:type="pct"/>
                  <w:tcBorders>
                    <w:tl2br w:val="nil"/>
                    <w:tr2bl w:val="nil"/>
                  </w:tcBorders>
                  <w:vAlign w:val="center"/>
                </w:tcPr>
                <w:p w14:paraId="4A24AF63">
                  <w:pPr>
                    <w:pStyle w:val="30"/>
                  </w:pPr>
                  <w:r>
                    <w:t>83~88</w:t>
                  </w:r>
                </w:p>
              </w:tc>
              <w:tc>
                <w:tcPr>
                  <w:tcW w:w="765" w:type="pct"/>
                  <w:tcBorders>
                    <w:tl2br w:val="nil"/>
                    <w:tr2bl w:val="nil"/>
                  </w:tcBorders>
                  <w:vAlign w:val="center"/>
                </w:tcPr>
                <w:p w14:paraId="7C693D68">
                  <w:pPr>
                    <w:pStyle w:val="30"/>
                  </w:pPr>
                  <w:r>
                    <w:t>80~85</w:t>
                  </w:r>
                </w:p>
              </w:tc>
              <w:tc>
                <w:tcPr>
                  <w:tcW w:w="1022" w:type="pct"/>
                  <w:tcBorders>
                    <w:tl2br w:val="nil"/>
                    <w:tr2bl w:val="nil"/>
                  </w:tcBorders>
                  <w:vAlign w:val="center"/>
                </w:tcPr>
                <w:p w14:paraId="6C65B3D1">
                  <w:pPr>
                    <w:pStyle w:val="30"/>
                  </w:pPr>
                  <w:r>
                    <w:t>风镐</w:t>
                  </w:r>
                </w:p>
              </w:tc>
              <w:tc>
                <w:tcPr>
                  <w:tcW w:w="769" w:type="pct"/>
                  <w:tcBorders>
                    <w:tl2br w:val="nil"/>
                    <w:tr2bl w:val="nil"/>
                  </w:tcBorders>
                  <w:vAlign w:val="center"/>
                </w:tcPr>
                <w:p w14:paraId="14B04EA4">
                  <w:pPr>
                    <w:pStyle w:val="30"/>
                  </w:pPr>
                  <w:r>
                    <w:t>88~92</w:t>
                  </w:r>
                </w:p>
              </w:tc>
              <w:tc>
                <w:tcPr>
                  <w:tcW w:w="776" w:type="pct"/>
                  <w:tcBorders>
                    <w:tl2br w:val="nil"/>
                    <w:tr2bl w:val="nil"/>
                  </w:tcBorders>
                  <w:vAlign w:val="center"/>
                </w:tcPr>
                <w:p w14:paraId="4AC5AAD7">
                  <w:pPr>
                    <w:pStyle w:val="30"/>
                  </w:pPr>
                  <w:r>
                    <w:t>83~87</w:t>
                  </w:r>
                </w:p>
              </w:tc>
            </w:tr>
            <w:tr w14:paraId="7F798507">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916" w:type="pct"/>
                  <w:tcBorders>
                    <w:tl2br w:val="nil"/>
                    <w:tr2bl w:val="nil"/>
                  </w:tcBorders>
                  <w:vAlign w:val="center"/>
                </w:tcPr>
                <w:p w14:paraId="25FE4EC0">
                  <w:pPr>
                    <w:pStyle w:val="30"/>
                  </w:pPr>
                  <w:r>
                    <w:t>移动式发电机</w:t>
                  </w:r>
                </w:p>
              </w:tc>
              <w:tc>
                <w:tcPr>
                  <w:tcW w:w="748" w:type="pct"/>
                  <w:tcBorders>
                    <w:tl2br w:val="nil"/>
                    <w:tr2bl w:val="nil"/>
                  </w:tcBorders>
                  <w:vAlign w:val="center"/>
                </w:tcPr>
                <w:p w14:paraId="281FE22F">
                  <w:pPr>
                    <w:pStyle w:val="30"/>
                  </w:pPr>
                  <w:r>
                    <w:t>95~102</w:t>
                  </w:r>
                </w:p>
              </w:tc>
              <w:tc>
                <w:tcPr>
                  <w:tcW w:w="765" w:type="pct"/>
                  <w:tcBorders>
                    <w:tl2br w:val="nil"/>
                    <w:tr2bl w:val="nil"/>
                  </w:tcBorders>
                  <w:vAlign w:val="center"/>
                </w:tcPr>
                <w:p w14:paraId="6A34F505">
                  <w:pPr>
                    <w:pStyle w:val="30"/>
                  </w:pPr>
                  <w:r>
                    <w:t>90~98</w:t>
                  </w:r>
                </w:p>
              </w:tc>
              <w:tc>
                <w:tcPr>
                  <w:tcW w:w="1022" w:type="pct"/>
                  <w:tcBorders>
                    <w:tl2br w:val="nil"/>
                    <w:tr2bl w:val="nil"/>
                  </w:tcBorders>
                  <w:vAlign w:val="center"/>
                </w:tcPr>
                <w:p w14:paraId="0CA8B9C1">
                  <w:pPr>
                    <w:pStyle w:val="30"/>
                  </w:pPr>
                  <w:r>
                    <w:t>云石机、角磨机</w:t>
                  </w:r>
                </w:p>
              </w:tc>
              <w:tc>
                <w:tcPr>
                  <w:tcW w:w="769" w:type="pct"/>
                  <w:tcBorders>
                    <w:tl2br w:val="nil"/>
                    <w:tr2bl w:val="nil"/>
                  </w:tcBorders>
                  <w:vAlign w:val="center"/>
                </w:tcPr>
                <w:p w14:paraId="3FEADB08">
                  <w:pPr>
                    <w:pStyle w:val="30"/>
                  </w:pPr>
                  <w:r>
                    <w:t>90~96</w:t>
                  </w:r>
                </w:p>
              </w:tc>
              <w:tc>
                <w:tcPr>
                  <w:tcW w:w="776" w:type="pct"/>
                  <w:tcBorders>
                    <w:tl2br w:val="nil"/>
                    <w:tr2bl w:val="nil"/>
                  </w:tcBorders>
                  <w:vAlign w:val="center"/>
                </w:tcPr>
                <w:p w14:paraId="2FE1AB68">
                  <w:pPr>
                    <w:pStyle w:val="30"/>
                  </w:pPr>
                  <w:r>
                    <w:t>84~90</w:t>
                  </w:r>
                </w:p>
              </w:tc>
            </w:tr>
            <w:tr w14:paraId="2802D87A">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916" w:type="pct"/>
                  <w:tcBorders>
                    <w:tl2br w:val="nil"/>
                    <w:tr2bl w:val="nil"/>
                  </w:tcBorders>
                  <w:vAlign w:val="center"/>
                </w:tcPr>
                <w:p w14:paraId="73F14BFC">
                  <w:pPr>
                    <w:pStyle w:val="30"/>
                  </w:pPr>
                  <w:r>
                    <w:t>各类压路机</w:t>
                  </w:r>
                </w:p>
              </w:tc>
              <w:tc>
                <w:tcPr>
                  <w:tcW w:w="748" w:type="pct"/>
                  <w:tcBorders>
                    <w:tl2br w:val="nil"/>
                    <w:tr2bl w:val="nil"/>
                  </w:tcBorders>
                  <w:vAlign w:val="center"/>
                </w:tcPr>
                <w:p w14:paraId="0AFCF8DD">
                  <w:pPr>
                    <w:pStyle w:val="30"/>
                  </w:pPr>
                  <w:r>
                    <w:t>80~90</w:t>
                  </w:r>
                </w:p>
              </w:tc>
              <w:tc>
                <w:tcPr>
                  <w:tcW w:w="765" w:type="pct"/>
                  <w:tcBorders>
                    <w:tl2br w:val="nil"/>
                    <w:tr2bl w:val="nil"/>
                  </w:tcBorders>
                  <w:vAlign w:val="center"/>
                </w:tcPr>
                <w:p w14:paraId="25E3E292">
                  <w:pPr>
                    <w:pStyle w:val="30"/>
                  </w:pPr>
                  <w:r>
                    <w:t>76~86</w:t>
                  </w:r>
                </w:p>
              </w:tc>
              <w:tc>
                <w:tcPr>
                  <w:tcW w:w="1022" w:type="pct"/>
                  <w:tcBorders>
                    <w:tl2br w:val="nil"/>
                    <w:tr2bl w:val="nil"/>
                  </w:tcBorders>
                  <w:vAlign w:val="center"/>
                </w:tcPr>
                <w:p w14:paraId="3277BBEE">
                  <w:pPr>
                    <w:pStyle w:val="30"/>
                  </w:pPr>
                  <w:r>
                    <w:t>空压机</w:t>
                  </w:r>
                </w:p>
              </w:tc>
              <w:tc>
                <w:tcPr>
                  <w:tcW w:w="769" w:type="pct"/>
                  <w:tcBorders>
                    <w:tl2br w:val="nil"/>
                    <w:tr2bl w:val="nil"/>
                  </w:tcBorders>
                  <w:vAlign w:val="center"/>
                </w:tcPr>
                <w:p w14:paraId="3671587A">
                  <w:pPr>
                    <w:pStyle w:val="30"/>
                  </w:pPr>
                  <w:r>
                    <w:t>88~92</w:t>
                  </w:r>
                </w:p>
              </w:tc>
              <w:tc>
                <w:tcPr>
                  <w:tcW w:w="776" w:type="pct"/>
                  <w:tcBorders>
                    <w:tl2br w:val="nil"/>
                    <w:tr2bl w:val="nil"/>
                  </w:tcBorders>
                  <w:vAlign w:val="center"/>
                </w:tcPr>
                <w:p w14:paraId="355C10F2">
                  <w:pPr>
                    <w:pStyle w:val="30"/>
                  </w:pPr>
                  <w:r>
                    <w:t>83~88</w:t>
                  </w:r>
                </w:p>
              </w:tc>
            </w:tr>
            <w:tr w14:paraId="0DA86714">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916" w:type="pct"/>
                  <w:tcBorders>
                    <w:tl2br w:val="nil"/>
                    <w:tr2bl w:val="nil"/>
                  </w:tcBorders>
                  <w:vAlign w:val="center"/>
                </w:tcPr>
                <w:p w14:paraId="10377B84">
                  <w:pPr>
                    <w:pStyle w:val="30"/>
                  </w:pPr>
                  <w:r>
                    <w:t>重型运输车</w:t>
                  </w:r>
                </w:p>
              </w:tc>
              <w:tc>
                <w:tcPr>
                  <w:tcW w:w="748" w:type="pct"/>
                  <w:tcBorders>
                    <w:tl2br w:val="nil"/>
                    <w:tr2bl w:val="nil"/>
                  </w:tcBorders>
                  <w:vAlign w:val="center"/>
                </w:tcPr>
                <w:p w14:paraId="3B8A3D76">
                  <w:pPr>
                    <w:pStyle w:val="30"/>
                  </w:pPr>
                  <w:r>
                    <w:t>82~90</w:t>
                  </w:r>
                </w:p>
              </w:tc>
              <w:tc>
                <w:tcPr>
                  <w:tcW w:w="765" w:type="pct"/>
                  <w:tcBorders>
                    <w:tl2br w:val="nil"/>
                    <w:tr2bl w:val="nil"/>
                  </w:tcBorders>
                  <w:vAlign w:val="center"/>
                </w:tcPr>
                <w:p w14:paraId="4164AEC9">
                  <w:pPr>
                    <w:pStyle w:val="30"/>
                  </w:pPr>
                  <w:r>
                    <w:t>78~86</w:t>
                  </w:r>
                </w:p>
              </w:tc>
              <w:tc>
                <w:tcPr>
                  <w:tcW w:w="1022" w:type="pct"/>
                  <w:tcBorders>
                    <w:tl2br w:val="nil"/>
                    <w:tr2bl w:val="nil"/>
                  </w:tcBorders>
                  <w:shd w:val="clear" w:color="auto" w:fill="auto"/>
                  <w:vAlign w:val="center"/>
                </w:tcPr>
                <w:p w14:paraId="4E922378">
                  <w:pPr>
                    <w:pStyle w:val="30"/>
                  </w:pPr>
                  <w:r>
                    <w:t>电锤</w:t>
                  </w:r>
                </w:p>
              </w:tc>
              <w:tc>
                <w:tcPr>
                  <w:tcW w:w="769" w:type="pct"/>
                  <w:tcBorders>
                    <w:tl2br w:val="nil"/>
                    <w:tr2bl w:val="nil"/>
                  </w:tcBorders>
                  <w:shd w:val="clear" w:color="auto" w:fill="auto"/>
                  <w:vAlign w:val="center"/>
                </w:tcPr>
                <w:p w14:paraId="57679340">
                  <w:pPr>
                    <w:pStyle w:val="30"/>
                  </w:pPr>
                  <w:r>
                    <w:t>100~105</w:t>
                  </w:r>
                </w:p>
              </w:tc>
              <w:tc>
                <w:tcPr>
                  <w:tcW w:w="776" w:type="pct"/>
                  <w:tcBorders>
                    <w:tl2br w:val="nil"/>
                    <w:tr2bl w:val="nil"/>
                  </w:tcBorders>
                  <w:shd w:val="clear" w:color="auto" w:fill="auto"/>
                  <w:vAlign w:val="center"/>
                </w:tcPr>
                <w:p w14:paraId="3B88E43A">
                  <w:pPr>
                    <w:pStyle w:val="30"/>
                  </w:pPr>
                  <w:r>
                    <w:t>95~99</w:t>
                  </w:r>
                </w:p>
              </w:tc>
            </w:tr>
            <w:tr w14:paraId="293689A4">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916" w:type="pct"/>
                  <w:tcBorders>
                    <w:tl2br w:val="nil"/>
                    <w:tr2bl w:val="nil"/>
                  </w:tcBorders>
                  <w:vAlign w:val="center"/>
                </w:tcPr>
                <w:p w14:paraId="10873439">
                  <w:pPr>
                    <w:pStyle w:val="30"/>
                  </w:pPr>
                  <w:r>
                    <w:t>木工电锯</w:t>
                  </w:r>
                </w:p>
              </w:tc>
              <w:tc>
                <w:tcPr>
                  <w:tcW w:w="748" w:type="pct"/>
                  <w:tcBorders>
                    <w:tl2br w:val="nil"/>
                    <w:tr2bl w:val="nil"/>
                  </w:tcBorders>
                  <w:vAlign w:val="center"/>
                </w:tcPr>
                <w:p w14:paraId="2DEB2CE6">
                  <w:pPr>
                    <w:pStyle w:val="30"/>
                  </w:pPr>
                  <w:r>
                    <w:t>93~99</w:t>
                  </w:r>
                </w:p>
              </w:tc>
              <w:tc>
                <w:tcPr>
                  <w:tcW w:w="765" w:type="pct"/>
                  <w:tcBorders>
                    <w:tl2br w:val="nil"/>
                    <w:tr2bl w:val="nil"/>
                  </w:tcBorders>
                  <w:vAlign w:val="center"/>
                </w:tcPr>
                <w:p w14:paraId="32264441">
                  <w:pPr>
                    <w:pStyle w:val="30"/>
                  </w:pPr>
                  <w:r>
                    <w:t>90~95</w:t>
                  </w:r>
                </w:p>
              </w:tc>
              <w:tc>
                <w:tcPr>
                  <w:tcW w:w="1022" w:type="pct"/>
                  <w:tcBorders>
                    <w:tl2br w:val="nil"/>
                    <w:tr2bl w:val="nil"/>
                  </w:tcBorders>
                  <w:vAlign w:val="center"/>
                </w:tcPr>
                <w:p w14:paraId="01153D25">
                  <w:pPr>
                    <w:pStyle w:val="30"/>
                  </w:pPr>
                </w:p>
              </w:tc>
              <w:tc>
                <w:tcPr>
                  <w:tcW w:w="769" w:type="pct"/>
                  <w:tcBorders>
                    <w:tl2br w:val="nil"/>
                    <w:tr2bl w:val="nil"/>
                  </w:tcBorders>
                  <w:vAlign w:val="center"/>
                </w:tcPr>
                <w:p w14:paraId="26D76B84">
                  <w:pPr>
                    <w:pStyle w:val="30"/>
                  </w:pPr>
                </w:p>
              </w:tc>
              <w:tc>
                <w:tcPr>
                  <w:tcW w:w="776" w:type="pct"/>
                  <w:tcBorders>
                    <w:tl2br w:val="nil"/>
                    <w:tr2bl w:val="nil"/>
                  </w:tcBorders>
                  <w:vAlign w:val="center"/>
                </w:tcPr>
                <w:p w14:paraId="31446DD6">
                  <w:pPr>
                    <w:pStyle w:val="30"/>
                  </w:pPr>
                </w:p>
              </w:tc>
            </w:tr>
          </w:tbl>
          <w:p w14:paraId="2C4B2113">
            <w:pPr>
              <w:ind w:firstLine="480"/>
            </w:pPr>
          </w:p>
          <w:p w14:paraId="5940927B">
            <w:pPr>
              <w:ind w:firstLine="480"/>
            </w:pPr>
            <w:r>
              <w:t>②建筑施工噪声</w:t>
            </w:r>
          </w:p>
          <w:p w14:paraId="1D406033">
            <w:pPr>
              <w:ind w:firstLine="480"/>
            </w:pPr>
            <w:r>
              <w:t>铁路工程施工中需拆除征地范围内既有建筑，同时修筑新的铁路建筑，在拆除和新建过程中均会产生施工噪声。</w:t>
            </w:r>
          </w:p>
          <w:p w14:paraId="49B748B6">
            <w:pPr>
              <w:pStyle w:val="33"/>
            </w:pPr>
            <w:r>
              <w:t>表4-2 建筑施工噪声源强</w:t>
            </w:r>
          </w:p>
          <w:tbl>
            <w:tblPr>
              <w:tblStyle w:val="55"/>
              <w:tblW w:w="4998" w:type="pct"/>
              <w:jc w:val="center"/>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Layout w:type="fixed"/>
              <w:tblCellMar>
                <w:top w:w="0" w:type="dxa"/>
                <w:left w:w="0" w:type="dxa"/>
                <w:bottom w:w="0" w:type="dxa"/>
                <w:right w:w="0" w:type="dxa"/>
              </w:tblCellMar>
            </w:tblPr>
            <w:tblGrid>
              <w:gridCol w:w="1918"/>
              <w:gridCol w:w="1851"/>
              <w:gridCol w:w="1859"/>
              <w:gridCol w:w="1630"/>
            </w:tblGrid>
            <w:tr w14:paraId="0BDDD238">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321" w:type="pct"/>
                  <w:tcBorders>
                    <w:tl2br w:val="nil"/>
                    <w:tr2bl w:val="nil"/>
                  </w:tcBorders>
                  <w:vAlign w:val="center"/>
                </w:tcPr>
                <w:p w14:paraId="176D5333">
                  <w:pPr>
                    <w:pStyle w:val="30"/>
                  </w:pPr>
                  <w:r>
                    <w:t>施工声源类别</w:t>
                  </w:r>
                </w:p>
              </w:tc>
              <w:tc>
                <w:tcPr>
                  <w:tcW w:w="1275" w:type="pct"/>
                  <w:tcBorders>
                    <w:tl2br w:val="nil"/>
                    <w:tr2bl w:val="nil"/>
                  </w:tcBorders>
                  <w:vAlign w:val="center"/>
                </w:tcPr>
                <w:p w14:paraId="581D8047">
                  <w:pPr>
                    <w:pStyle w:val="30"/>
                  </w:pPr>
                  <w:r>
                    <w:t>测点距离(m)</w:t>
                  </w:r>
                </w:p>
              </w:tc>
              <w:tc>
                <w:tcPr>
                  <w:tcW w:w="1280" w:type="pct"/>
                  <w:tcBorders>
                    <w:tl2br w:val="nil"/>
                    <w:tr2bl w:val="nil"/>
                  </w:tcBorders>
                  <w:vAlign w:val="center"/>
                </w:tcPr>
                <w:p w14:paraId="7ECEF8D5">
                  <w:pPr>
                    <w:pStyle w:val="30"/>
                  </w:pPr>
                  <w:r>
                    <w:t>源强(dB(A))</w:t>
                  </w:r>
                </w:p>
              </w:tc>
              <w:tc>
                <w:tcPr>
                  <w:tcW w:w="1123" w:type="pct"/>
                  <w:tcBorders>
                    <w:tl2br w:val="nil"/>
                    <w:tr2bl w:val="nil"/>
                  </w:tcBorders>
                  <w:vAlign w:val="center"/>
                </w:tcPr>
                <w:p w14:paraId="652D09CC">
                  <w:pPr>
                    <w:pStyle w:val="30"/>
                  </w:pPr>
                  <w:r>
                    <w:t>频谱特性</w:t>
                  </w:r>
                </w:p>
              </w:tc>
            </w:tr>
            <w:tr w14:paraId="3111446E">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321" w:type="pct"/>
                  <w:tcBorders>
                    <w:tl2br w:val="nil"/>
                    <w:tr2bl w:val="nil"/>
                  </w:tcBorders>
                  <w:vAlign w:val="center"/>
                </w:tcPr>
                <w:p w14:paraId="57D67287">
                  <w:pPr>
                    <w:pStyle w:val="30"/>
                  </w:pPr>
                  <w:r>
                    <w:t>装运渣土</w:t>
                  </w:r>
                </w:p>
              </w:tc>
              <w:tc>
                <w:tcPr>
                  <w:tcW w:w="1275" w:type="pct"/>
                  <w:tcBorders>
                    <w:tl2br w:val="nil"/>
                    <w:tr2bl w:val="nil"/>
                  </w:tcBorders>
                  <w:vAlign w:val="center"/>
                </w:tcPr>
                <w:p w14:paraId="58F48A1F">
                  <w:pPr>
                    <w:pStyle w:val="30"/>
                  </w:pPr>
                  <w:r>
                    <w:t>10</w:t>
                  </w:r>
                </w:p>
              </w:tc>
              <w:tc>
                <w:tcPr>
                  <w:tcW w:w="1280" w:type="pct"/>
                  <w:tcBorders>
                    <w:tl2br w:val="nil"/>
                    <w:tr2bl w:val="nil"/>
                  </w:tcBorders>
                  <w:vAlign w:val="center"/>
                </w:tcPr>
                <w:p w14:paraId="3863A260">
                  <w:pPr>
                    <w:pStyle w:val="30"/>
                  </w:pPr>
                  <w:r>
                    <w:t>92.4~97.6</w:t>
                  </w:r>
                </w:p>
              </w:tc>
              <w:tc>
                <w:tcPr>
                  <w:tcW w:w="1123" w:type="pct"/>
                  <w:tcBorders>
                    <w:tl2br w:val="nil"/>
                    <w:tr2bl w:val="nil"/>
                  </w:tcBorders>
                  <w:vAlign w:val="center"/>
                </w:tcPr>
                <w:p w14:paraId="615911EB">
                  <w:pPr>
                    <w:pStyle w:val="30"/>
                  </w:pPr>
                  <w:r>
                    <w:t>中频</w:t>
                  </w:r>
                </w:p>
              </w:tc>
            </w:tr>
            <w:tr w14:paraId="6BDDE63B">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321" w:type="pct"/>
                  <w:tcBorders>
                    <w:tl2br w:val="nil"/>
                    <w:tr2bl w:val="nil"/>
                  </w:tcBorders>
                  <w:vAlign w:val="center"/>
                </w:tcPr>
                <w:p w14:paraId="7E7B048D">
                  <w:pPr>
                    <w:pStyle w:val="30"/>
                  </w:pPr>
                  <w:r>
                    <w:t>击打钎子</w:t>
                  </w:r>
                </w:p>
              </w:tc>
              <w:tc>
                <w:tcPr>
                  <w:tcW w:w="1275" w:type="pct"/>
                  <w:tcBorders>
                    <w:tl2br w:val="nil"/>
                    <w:tr2bl w:val="nil"/>
                  </w:tcBorders>
                  <w:vAlign w:val="center"/>
                </w:tcPr>
                <w:p w14:paraId="506A9832">
                  <w:pPr>
                    <w:pStyle w:val="30"/>
                  </w:pPr>
                  <w:r>
                    <w:t>7</w:t>
                  </w:r>
                </w:p>
              </w:tc>
              <w:tc>
                <w:tcPr>
                  <w:tcW w:w="1280" w:type="pct"/>
                  <w:tcBorders>
                    <w:tl2br w:val="nil"/>
                    <w:tr2bl w:val="nil"/>
                  </w:tcBorders>
                  <w:vAlign w:val="center"/>
                </w:tcPr>
                <w:p w14:paraId="245DA37D">
                  <w:pPr>
                    <w:pStyle w:val="30"/>
                  </w:pPr>
                  <w:r>
                    <w:t>75.1~84.5</w:t>
                  </w:r>
                </w:p>
              </w:tc>
              <w:tc>
                <w:tcPr>
                  <w:tcW w:w="1123" w:type="pct"/>
                  <w:tcBorders>
                    <w:tl2br w:val="nil"/>
                    <w:tr2bl w:val="nil"/>
                  </w:tcBorders>
                  <w:vAlign w:val="center"/>
                </w:tcPr>
                <w:p w14:paraId="3755A669">
                  <w:pPr>
                    <w:pStyle w:val="30"/>
                  </w:pPr>
                  <w:r>
                    <w:t>中频</w:t>
                  </w:r>
                </w:p>
              </w:tc>
            </w:tr>
            <w:tr w14:paraId="1A78EC7F">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321" w:type="pct"/>
                  <w:tcBorders>
                    <w:tl2br w:val="nil"/>
                    <w:tr2bl w:val="nil"/>
                  </w:tcBorders>
                  <w:vAlign w:val="center"/>
                </w:tcPr>
                <w:p w14:paraId="3AD64857">
                  <w:pPr>
                    <w:pStyle w:val="30"/>
                  </w:pPr>
                  <w:r>
                    <w:t>电砂轮</w:t>
                  </w:r>
                </w:p>
              </w:tc>
              <w:tc>
                <w:tcPr>
                  <w:tcW w:w="1275" w:type="pct"/>
                  <w:tcBorders>
                    <w:tl2br w:val="nil"/>
                    <w:tr2bl w:val="nil"/>
                  </w:tcBorders>
                  <w:vAlign w:val="center"/>
                </w:tcPr>
                <w:p w14:paraId="49A20274">
                  <w:pPr>
                    <w:pStyle w:val="30"/>
                  </w:pPr>
                  <w:r>
                    <w:t>1</w:t>
                  </w:r>
                </w:p>
              </w:tc>
              <w:tc>
                <w:tcPr>
                  <w:tcW w:w="1280" w:type="pct"/>
                  <w:tcBorders>
                    <w:tl2br w:val="nil"/>
                    <w:tr2bl w:val="nil"/>
                  </w:tcBorders>
                  <w:vAlign w:val="center"/>
                </w:tcPr>
                <w:p w14:paraId="6744F59A">
                  <w:pPr>
                    <w:pStyle w:val="30"/>
                  </w:pPr>
                  <w:r>
                    <w:t>93.5~96.5</w:t>
                  </w:r>
                </w:p>
              </w:tc>
              <w:tc>
                <w:tcPr>
                  <w:tcW w:w="1123" w:type="pct"/>
                  <w:tcBorders>
                    <w:tl2br w:val="nil"/>
                    <w:tr2bl w:val="nil"/>
                  </w:tcBorders>
                  <w:vAlign w:val="center"/>
                </w:tcPr>
                <w:p w14:paraId="5B8F1080">
                  <w:pPr>
                    <w:pStyle w:val="30"/>
                  </w:pPr>
                  <w:r>
                    <w:t>中高频</w:t>
                  </w:r>
                </w:p>
              </w:tc>
            </w:tr>
            <w:tr w14:paraId="53B26F61">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321" w:type="pct"/>
                  <w:tcBorders>
                    <w:tl2br w:val="nil"/>
                    <w:tr2bl w:val="nil"/>
                  </w:tcBorders>
                  <w:vAlign w:val="center"/>
                </w:tcPr>
                <w:p w14:paraId="2C15907D">
                  <w:pPr>
                    <w:pStyle w:val="30"/>
                  </w:pPr>
                  <w:r>
                    <w:t>电锯</w:t>
                  </w:r>
                </w:p>
              </w:tc>
              <w:tc>
                <w:tcPr>
                  <w:tcW w:w="1275" w:type="pct"/>
                  <w:tcBorders>
                    <w:tl2br w:val="nil"/>
                    <w:tr2bl w:val="nil"/>
                  </w:tcBorders>
                  <w:vAlign w:val="center"/>
                </w:tcPr>
                <w:p w14:paraId="5254E8C5">
                  <w:pPr>
                    <w:pStyle w:val="30"/>
                  </w:pPr>
                  <w:r>
                    <w:t>1</w:t>
                  </w:r>
                </w:p>
              </w:tc>
              <w:tc>
                <w:tcPr>
                  <w:tcW w:w="1280" w:type="pct"/>
                  <w:tcBorders>
                    <w:tl2br w:val="nil"/>
                    <w:tr2bl w:val="nil"/>
                  </w:tcBorders>
                  <w:vAlign w:val="center"/>
                </w:tcPr>
                <w:p w14:paraId="1E72B3D9">
                  <w:pPr>
                    <w:pStyle w:val="30"/>
                  </w:pPr>
                  <w:r>
                    <w:t>89.9~106.3</w:t>
                  </w:r>
                </w:p>
              </w:tc>
              <w:tc>
                <w:tcPr>
                  <w:tcW w:w="1123" w:type="pct"/>
                  <w:tcBorders>
                    <w:tl2br w:val="nil"/>
                    <w:tr2bl w:val="nil"/>
                  </w:tcBorders>
                  <w:vAlign w:val="center"/>
                </w:tcPr>
                <w:p w14:paraId="316A3CFC">
                  <w:pPr>
                    <w:pStyle w:val="30"/>
                  </w:pPr>
                  <w:r>
                    <w:t>高频</w:t>
                  </w:r>
                </w:p>
              </w:tc>
            </w:tr>
            <w:tr w14:paraId="31718C10">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321" w:type="pct"/>
                  <w:tcBorders>
                    <w:tl2br w:val="nil"/>
                    <w:tr2bl w:val="nil"/>
                  </w:tcBorders>
                  <w:vAlign w:val="center"/>
                </w:tcPr>
                <w:p w14:paraId="7F67C249">
                  <w:pPr>
                    <w:pStyle w:val="30"/>
                  </w:pPr>
                  <w:r>
                    <w:t>电钻</w:t>
                  </w:r>
                </w:p>
              </w:tc>
              <w:tc>
                <w:tcPr>
                  <w:tcW w:w="1275" w:type="pct"/>
                  <w:tcBorders>
                    <w:tl2br w:val="nil"/>
                    <w:tr2bl w:val="nil"/>
                  </w:tcBorders>
                  <w:vAlign w:val="center"/>
                </w:tcPr>
                <w:p w14:paraId="4A9579DB">
                  <w:pPr>
                    <w:pStyle w:val="30"/>
                  </w:pPr>
                  <w:r>
                    <w:t>1</w:t>
                  </w:r>
                </w:p>
              </w:tc>
              <w:tc>
                <w:tcPr>
                  <w:tcW w:w="1280" w:type="pct"/>
                  <w:tcBorders>
                    <w:tl2br w:val="nil"/>
                    <w:tr2bl w:val="nil"/>
                  </w:tcBorders>
                  <w:vAlign w:val="center"/>
                </w:tcPr>
                <w:p w14:paraId="6370B2D4">
                  <w:pPr>
                    <w:pStyle w:val="30"/>
                  </w:pPr>
                  <w:r>
                    <w:t>91.5~99.7</w:t>
                  </w:r>
                </w:p>
              </w:tc>
              <w:tc>
                <w:tcPr>
                  <w:tcW w:w="1123" w:type="pct"/>
                  <w:tcBorders>
                    <w:tl2br w:val="nil"/>
                    <w:tr2bl w:val="nil"/>
                  </w:tcBorders>
                  <w:vAlign w:val="center"/>
                </w:tcPr>
                <w:p w14:paraId="75895AE9">
                  <w:pPr>
                    <w:pStyle w:val="30"/>
                  </w:pPr>
                  <w:r>
                    <w:t>中高频</w:t>
                  </w:r>
                </w:p>
              </w:tc>
            </w:tr>
            <w:tr w14:paraId="50EAA602">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321" w:type="pct"/>
                  <w:tcBorders>
                    <w:tl2br w:val="nil"/>
                    <w:tr2bl w:val="nil"/>
                  </w:tcBorders>
                  <w:vAlign w:val="center"/>
                </w:tcPr>
                <w:p w14:paraId="6C171F8C">
                  <w:pPr>
                    <w:pStyle w:val="30"/>
                  </w:pPr>
                  <w:r>
                    <w:t>水磨石机</w:t>
                  </w:r>
                </w:p>
              </w:tc>
              <w:tc>
                <w:tcPr>
                  <w:tcW w:w="1275" w:type="pct"/>
                  <w:tcBorders>
                    <w:tl2br w:val="nil"/>
                    <w:tr2bl w:val="nil"/>
                  </w:tcBorders>
                  <w:vAlign w:val="center"/>
                </w:tcPr>
                <w:p w14:paraId="4E22209D">
                  <w:pPr>
                    <w:pStyle w:val="30"/>
                  </w:pPr>
                  <w:r>
                    <w:t>7</w:t>
                  </w:r>
                </w:p>
              </w:tc>
              <w:tc>
                <w:tcPr>
                  <w:tcW w:w="1280" w:type="pct"/>
                  <w:tcBorders>
                    <w:tl2br w:val="nil"/>
                    <w:tr2bl w:val="nil"/>
                  </w:tcBorders>
                  <w:vAlign w:val="center"/>
                </w:tcPr>
                <w:p w14:paraId="0E4A1076">
                  <w:pPr>
                    <w:pStyle w:val="30"/>
                  </w:pPr>
                  <w:r>
                    <w:t>91.4~98.5</w:t>
                  </w:r>
                </w:p>
              </w:tc>
              <w:tc>
                <w:tcPr>
                  <w:tcW w:w="1123" w:type="pct"/>
                  <w:tcBorders>
                    <w:tl2br w:val="nil"/>
                    <w:tr2bl w:val="nil"/>
                  </w:tcBorders>
                  <w:vAlign w:val="center"/>
                </w:tcPr>
                <w:p w14:paraId="4A664826">
                  <w:pPr>
                    <w:pStyle w:val="30"/>
                  </w:pPr>
                  <w:r>
                    <w:t>中高频</w:t>
                  </w:r>
                </w:p>
              </w:tc>
            </w:tr>
            <w:tr w14:paraId="29099F88">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321" w:type="pct"/>
                  <w:tcBorders>
                    <w:tl2br w:val="nil"/>
                    <w:tr2bl w:val="nil"/>
                  </w:tcBorders>
                  <w:vAlign w:val="center"/>
                </w:tcPr>
                <w:p w14:paraId="54EF6A26">
                  <w:pPr>
                    <w:pStyle w:val="30"/>
                  </w:pPr>
                  <w:r>
                    <w:t>钢模板作业</w:t>
                  </w:r>
                </w:p>
              </w:tc>
              <w:tc>
                <w:tcPr>
                  <w:tcW w:w="1275" w:type="pct"/>
                  <w:tcBorders>
                    <w:tl2br w:val="nil"/>
                    <w:tr2bl w:val="nil"/>
                  </w:tcBorders>
                  <w:vAlign w:val="center"/>
                </w:tcPr>
                <w:p w14:paraId="7FC82252">
                  <w:pPr>
                    <w:pStyle w:val="30"/>
                  </w:pPr>
                  <w:r>
                    <w:t>10</w:t>
                  </w:r>
                </w:p>
              </w:tc>
              <w:tc>
                <w:tcPr>
                  <w:tcW w:w="1280" w:type="pct"/>
                  <w:tcBorders>
                    <w:tl2br w:val="nil"/>
                    <w:tr2bl w:val="nil"/>
                  </w:tcBorders>
                  <w:vAlign w:val="center"/>
                </w:tcPr>
                <w:p w14:paraId="3BD9A0EB">
                  <w:pPr>
                    <w:pStyle w:val="30"/>
                  </w:pPr>
                  <w:r>
                    <w:t>94.1~108.5</w:t>
                  </w:r>
                </w:p>
              </w:tc>
              <w:tc>
                <w:tcPr>
                  <w:tcW w:w="1123" w:type="pct"/>
                  <w:tcBorders>
                    <w:tl2br w:val="nil"/>
                    <w:tr2bl w:val="nil"/>
                  </w:tcBorders>
                  <w:vAlign w:val="center"/>
                </w:tcPr>
                <w:p w14:paraId="26FF3E66">
                  <w:pPr>
                    <w:pStyle w:val="30"/>
                  </w:pPr>
                  <w:r>
                    <w:t>高频</w:t>
                  </w:r>
                </w:p>
              </w:tc>
            </w:tr>
            <w:tr w14:paraId="0A0CD1B5">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321" w:type="pct"/>
                  <w:tcBorders>
                    <w:tl2br w:val="nil"/>
                    <w:tr2bl w:val="nil"/>
                  </w:tcBorders>
                  <w:vAlign w:val="center"/>
                </w:tcPr>
                <w:p w14:paraId="7139DB07">
                  <w:pPr>
                    <w:pStyle w:val="30"/>
                  </w:pPr>
                  <w:r>
                    <w:t>钢件作业</w:t>
                  </w:r>
                </w:p>
              </w:tc>
              <w:tc>
                <w:tcPr>
                  <w:tcW w:w="1275" w:type="pct"/>
                  <w:tcBorders>
                    <w:tl2br w:val="nil"/>
                    <w:tr2bl w:val="nil"/>
                  </w:tcBorders>
                  <w:vAlign w:val="center"/>
                </w:tcPr>
                <w:p w14:paraId="53948557">
                  <w:pPr>
                    <w:pStyle w:val="30"/>
                  </w:pPr>
                  <w:r>
                    <w:t>10</w:t>
                  </w:r>
                </w:p>
              </w:tc>
              <w:tc>
                <w:tcPr>
                  <w:tcW w:w="1280" w:type="pct"/>
                  <w:tcBorders>
                    <w:tl2br w:val="nil"/>
                    <w:tr2bl w:val="nil"/>
                  </w:tcBorders>
                  <w:vAlign w:val="center"/>
                </w:tcPr>
                <w:p w14:paraId="03CC46BB">
                  <w:pPr>
                    <w:pStyle w:val="30"/>
                  </w:pPr>
                  <w:r>
                    <w:t>91.3~128.9</w:t>
                  </w:r>
                </w:p>
              </w:tc>
              <w:tc>
                <w:tcPr>
                  <w:tcW w:w="1123" w:type="pct"/>
                  <w:tcBorders>
                    <w:tl2br w:val="nil"/>
                    <w:tr2bl w:val="nil"/>
                  </w:tcBorders>
                  <w:vAlign w:val="center"/>
                </w:tcPr>
                <w:p w14:paraId="4EC22B88">
                  <w:pPr>
                    <w:pStyle w:val="30"/>
                  </w:pPr>
                  <w:r>
                    <w:t>高频</w:t>
                  </w:r>
                </w:p>
              </w:tc>
            </w:tr>
          </w:tbl>
          <w:p w14:paraId="28D5C34E">
            <w:pPr>
              <w:ind w:firstLine="480"/>
            </w:pPr>
          </w:p>
          <w:p w14:paraId="720E2375">
            <w:pPr>
              <w:ind w:firstLine="480"/>
              <w:rPr>
                <w:rFonts w:hint="default"/>
                <w:color w:val="auto"/>
                <w:lang w:val="en-US"/>
              </w:rPr>
            </w:pPr>
            <w:r>
              <w:rPr>
                <w:rFonts w:hint="eastAsia"/>
                <w:color w:val="auto"/>
                <w:lang w:val="en-US" w:eastAsia="zh-CN"/>
              </w:rPr>
              <w:t>施工期噪声主要产生于铁路建设施工，施工机械作业，如基础打桩、设备安装等及运输工具的交通噪声。施工中使用的机械如挖土机、推土机、压路机、吊车、运土汽车等各种施工机械设备运行中产生的噪声值。这类施工机械绝大部分是移动性声源，但移动性声源随区域范围不同及影响有所差异。随着施工结束，施工期噪声也随之消失。</w:t>
            </w:r>
          </w:p>
          <w:p w14:paraId="2BB243CE">
            <w:pPr>
              <w:ind w:firstLine="480"/>
              <w:rPr>
                <w:color w:val="auto"/>
              </w:rPr>
            </w:pPr>
            <w:r>
              <w:rPr>
                <w:color w:val="auto"/>
              </w:rPr>
              <w:t>（2）振动环境</w:t>
            </w:r>
          </w:p>
          <w:p w14:paraId="70DFFFB6">
            <w:pPr>
              <w:ind w:firstLine="480"/>
              <w:rPr>
                <w:color w:val="auto"/>
              </w:rPr>
            </w:pPr>
            <w:r>
              <w:rPr>
                <w:color w:val="auto"/>
              </w:rPr>
              <w:t>本项目施工期振动主要来源于各种施工机械、重型运输车辆和桩基施工产生的振动。</w:t>
            </w:r>
          </w:p>
          <w:p w14:paraId="5C61ED11">
            <w:pPr>
              <w:pStyle w:val="33"/>
            </w:pPr>
            <w:r>
              <w:t>表4-3 主要施工机械设备振动源强及影响特性表  单位:dB</w:t>
            </w:r>
          </w:p>
          <w:tbl>
            <w:tblPr>
              <w:tblStyle w:val="55"/>
              <w:tblW w:w="4998" w:type="pct"/>
              <w:jc w:val="center"/>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Layout w:type="fixed"/>
              <w:tblCellMar>
                <w:top w:w="0" w:type="dxa"/>
                <w:left w:w="0" w:type="dxa"/>
                <w:bottom w:w="0" w:type="dxa"/>
                <w:right w:w="0" w:type="dxa"/>
              </w:tblCellMar>
            </w:tblPr>
            <w:tblGrid>
              <w:gridCol w:w="1596"/>
              <w:gridCol w:w="1446"/>
              <w:gridCol w:w="1385"/>
              <w:gridCol w:w="1435"/>
              <w:gridCol w:w="1396"/>
            </w:tblGrid>
            <w:tr w14:paraId="21033BE3">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099" w:type="pct"/>
                  <w:tcBorders>
                    <w:tl2br w:val="nil"/>
                    <w:tr2bl w:val="nil"/>
                  </w:tcBorders>
                  <w:vAlign w:val="center"/>
                </w:tcPr>
                <w:p w14:paraId="33D07A12">
                  <w:pPr>
                    <w:pStyle w:val="30"/>
                  </w:pPr>
                  <w:r>
                    <w:t>设备</w:t>
                  </w:r>
                </w:p>
              </w:tc>
              <w:tc>
                <w:tcPr>
                  <w:tcW w:w="996" w:type="pct"/>
                  <w:tcBorders>
                    <w:tl2br w:val="nil"/>
                    <w:tr2bl w:val="nil"/>
                  </w:tcBorders>
                  <w:vAlign w:val="center"/>
                </w:tcPr>
                <w:p w14:paraId="5FE7D6A9">
                  <w:pPr>
                    <w:pStyle w:val="30"/>
                  </w:pPr>
                  <w:r>
                    <w:t>5m</w:t>
                  </w:r>
                </w:p>
              </w:tc>
              <w:tc>
                <w:tcPr>
                  <w:tcW w:w="953" w:type="pct"/>
                  <w:tcBorders>
                    <w:tl2br w:val="nil"/>
                    <w:tr2bl w:val="nil"/>
                  </w:tcBorders>
                  <w:vAlign w:val="center"/>
                </w:tcPr>
                <w:p w14:paraId="5C22EE3B">
                  <w:pPr>
                    <w:pStyle w:val="30"/>
                  </w:pPr>
                  <w:r>
                    <w:t>10m</w:t>
                  </w:r>
                </w:p>
              </w:tc>
              <w:tc>
                <w:tcPr>
                  <w:tcW w:w="988" w:type="pct"/>
                  <w:tcBorders>
                    <w:tl2br w:val="nil"/>
                    <w:tr2bl w:val="nil"/>
                  </w:tcBorders>
                  <w:vAlign w:val="center"/>
                </w:tcPr>
                <w:p w14:paraId="431A294C">
                  <w:pPr>
                    <w:pStyle w:val="30"/>
                  </w:pPr>
                  <w:r>
                    <w:t>20m</w:t>
                  </w:r>
                </w:p>
              </w:tc>
              <w:tc>
                <w:tcPr>
                  <w:tcW w:w="961" w:type="pct"/>
                  <w:tcBorders>
                    <w:tl2br w:val="nil"/>
                    <w:tr2bl w:val="nil"/>
                  </w:tcBorders>
                  <w:vAlign w:val="center"/>
                </w:tcPr>
                <w:p w14:paraId="5DAF169C">
                  <w:pPr>
                    <w:pStyle w:val="30"/>
                  </w:pPr>
                  <w:r>
                    <w:t>30m</w:t>
                  </w:r>
                </w:p>
              </w:tc>
            </w:tr>
            <w:tr w14:paraId="65C2C3FD">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099" w:type="pct"/>
                  <w:tcBorders>
                    <w:tl2br w:val="nil"/>
                    <w:tr2bl w:val="nil"/>
                  </w:tcBorders>
                  <w:vAlign w:val="center"/>
                </w:tcPr>
                <w:p w14:paraId="141D2572">
                  <w:pPr>
                    <w:pStyle w:val="30"/>
                  </w:pPr>
                  <w:r>
                    <w:t>风稿</w:t>
                  </w:r>
                </w:p>
              </w:tc>
              <w:tc>
                <w:tcPr>
                  <w:tcW w:w="996" w:type="pct"/>
                  <w:tcBorders>
                    <w:tl2br w:val="nil"/>
                    <w:tr2bl w:val="nil"/>
                  </w:tcBorders>
                  <w:vAlign w:val="center"/>
                </w:tcPr>
                <w:p w14:paraId="3D323FCF">
                  <w:pPr>
                    <w:pStyle w:val="30"/>
                  </w:pPr>
                  <w:r>
                    <w:t>88~92</w:t>
                  </w:r>
                </w:p>
              </w:tc>
              <w:tc>
                <w:tcPr>
                  <w:tcW w:w="953" w:type="pct"/>
                  <w:tcBorders>
                    <w:tl2br w:val="nil"/>
                    <w:tr2bl w:val="nil"/>
                  </w:tcBorders>
                  <w:vAlign w:val="center"/>
                </w:tcPr>
                <w:p w14:paraId="4BC6C748">
                  <w:pPr>
                    <w:pStyle w:val="30"/>
                  </w:pPr>
                  <w:r>
                    <w:t>83~85</w:t>
                  </w:r>
                </w:p>
              </w:tc>
              <w:tc>
                <w:tcPr>
                  <w:tcW w:w="988" w:type="pct"/>
                  <w:tcBorders>
                    <w:tl2br w:val="nil"/>
                    <w:tr2bl w:val="nil"/>
                  </w:tcBorders>
                  <w:vAlign w:val="center"/>
                </w:tcPr>
                <w:p w14:paraId="23D80241">
                  <w:pPr>
                    <w:pStyle w:val="30"/>
                  </w:pPr>
                  <w:r>
                    <w:t>78</w:t>
                  </w:r>
                </w:p>
              </w:tc>
              <w:tc>
                <w:tcPr>
                  <w:tcW w:w="961" w:type="pct"/>
                  <w:tcBorders>
                    <w:tl2br w:val="nil"/>
                    <w:tr2bl w:val="nil"/>
                  </w:tcBorders>
                  <w:vAlign w:val="center"/>
                </w:tcPr>
                <w:p w14:paraId="30DB3D13">
                  <w:pPr>
                    <w:pStyle w:val="30"/>
                  </w:pPr>
                  <w:r>
                    <w:t>73~75</w:t>
                  </w:r>
                </w:p>
              </w:tc>
            </w:tr>
            <w:tr w14:paraId="176EAC95">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099" w:type="pct"/>
                  <w:tcBorders>
                    <w:tl2br w:val="nil"/>
                    <w:tr2bl w:val="nil"/>
                  </w:tcBorders>
                  <w:vAlign w:val="center"/>
                </w:tcPr>
                <w:p w14:paraId="7BE5A2B0">
                  <w:pPr>
                    <w:pStyle w:val="30"/>
                  </w:pPr>
                  <w:r>
                    <w:t>挖掘机</w:t>
                  </w:r>
                </w:p>
              </w:tc>
              <w:tc>
                <w:tcPr>
                  <w:tcW w:w="996" w:type="pct"/>
                  <w:tcBorders>
                    <w:tl2br w:val="nil"/>
                    <w:tr2bl w:val="nil"/>
                  </w:tcBorders>
                  <w:vAlign w:val="center"/>
                </w:tcPr>
                <w:p w14:paraId="339F3BB7">
                  <w:pPr>
                    <w:pStyle w:val="30"/>
                  </w:pPr>
                  <w:r>
                    <w:t>82~84</w:t>
                  </w:r>
                </w:p>
              </w:tc>
              <w:tc>
                <w:tcPr>
                  <w:tcW w:w="953" w:type="pct"/>
                  <w:tcBorders>
                    <w:tl2br w:val="nil"/>
                    <w:tr2bl w:val="nil"/>
                  </w:tcBorders>
                  <w:vAlign w:val="center"/>
                </w:tcPr>
                <w:p w14:paraId="7EC2A608">
                  <w:pPr>
                    <w:pStyle w:val="30"/>
                  </w:pPr>
                  <w:r>
                    <w:t>78~80</w:t>
                  </w:r>
                </w:p>
              </w:tc>
              <w:tc>
                <w:tcPr>
                  <w:tcW w:w="988" w:type="pct"/>
                  <w:tcBorders>
                    <w:tl2br w:val="nil"/>
                    <w:tr2bl w:val="nil"/>
                  </w:tcBorders>
                  <w:vAlign w:val="center"/>
                </w:tcPr>
                <w:p w14:paraId="0C6876D9">
                  <w:pPr>
                    <w:pStyle w:val="30"/>
                  </w:pPr>
                  <w:r>
                    <w:t>74~76</w:t>
                  </w:r>
                </w:p>
              </w:tc>
              <w:tc>
                <w:tcPr>
                  <w:tcW w:w="961" w:type="pct"/>
                  <w:tcBorders>
                    <w:tl2br w:val="nil"/>
                    <w:tr2bl w:val="nil"/>
                  </w:tcBorders>
                  <w:vAlign w:val="center"/>
                </w:tcPr>
                <w:p w14:paraId="1EA412B7">
                  <w:pPr>
                    <w:pStyle w:val="30"/>
                  </w:pPr>
                  <w:r>
                    <w:t>69~71</w:t>
                  </w:r>
                </w:p>
              </w:tc>
            </w:tr>
            <w:tr w14:paraId="3BD7F694">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099" w:type="pct"/>
                  <w:tcBorders>
                    <w:tl2br w:val="nil"/>
                    <w:tr2bl w:val="nil"/>
                  </w:tcBorders>
                  <w:vAlign w:val="center"/>
                </w:tcPr>
                <w:p w14:paraId="0BDF8927">
                  <w:pPr>
                    <w:pStyle w:val="30"/>
                  </w:pPr>
                  <w:r>
                    <w:t>推土机</w:t>
                  </w:r>
                </w:p>
              </w:tc>
              <w:tc>
                <w:tcPr>
                  <w:tcW w:w="996" w:type="pct"/>
                  <w:tcBorders>
                    <w:tl2br w:val="nil"/>
                    <w:tr2bl w:val="nil"/>
                  </w:tcBorders>
                  <w:vAlign w:val="center"/>
                </w:tcPr>
                <w:p w14:paraId="199D596A">
                  <w:pPr>
                    <w:pStyle w:val="30"/>
                  </w:pPr>
                  <w:r>
                    <w:t>83</w:t>
                  </w:r>
                </w:p>
              </w:tc>
              <w:tc>
                <w:tcPr>
                  <w:tcW w:w="953" w:type="pct"/>
                  <w:tcBorders>
                    <w:tl2br w:val="nil"/>
                    <w:tr2bl w:val="nil"/>
                  </w:tcBorders>
                  <w:vAlign w:val="center"/>
                </w:tcPr>
                <w:p w14:paraId="447BEC7B">
                  <w:pPr>
                    <w:pStyle w:val="30"/>
                  </w:pPr>
                  <w:r>
                    <w:t>79</w:t>
                  </w:r>
                </w:p>
              </w:tc>
              <w:tc>
                <w:tcPr>
                  <w:tcW w:w="988" w:type="pct"/>
                  <w:tcBorders>
                    <w:tl2br w:val="nil"/>
                    <w:tr2bl w:val="nil"/>
                  </w:tcBorders>
                  <w:vAlign w:val="center"/>
                </w:tcPr>
                <w:p w14:paraId="612C14A1">
                  <w:pPr>
                    <w:pStyle w:val="30"/>
                  </w:pPr>
                  <w:r>
                    <w:t>74</w:t>
                  </w:r>
                </w:p>
              </w:tc>
              <w:tc>
                <w:tcPr>
                  <w:tcW w:w="961" w:type="pct"/>
                  <w:tcBorders>
                    <w:tl2br w:val="nil"/>
                    <w:tr2bl w:val="nil"/>
                  </w:tcBorders>
                  <w:vAlign w:val="center"/>
                </w:tcPr>
                <w:p w14:paraId="73205E8B">
                  <w:pPr>
                    <w:pStyle w:val="30"/>
                  </w:pPr>
                  <w:r>
                    <w:t>69</w:t>
                  </w:r>
                </w:p>
              </w:tc>
            </w:tr>
            <w:tr w14:paraId="7125AB4E">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099" w:type="pct"/>
                  <w:tcBorders>
                    <w:tl2br w:val="nil"/>
                    <w:tr2bl w:val="nil"/>
                  </w:tcBorders>
                  <w:vAlign w:val="center"/>
                </w:tcPr>
                <w:p w14:paraId="671B5DCF">
                  <w:pPr>
                    <w:pStyle w:val="30"/>
                  </w:pPr>
                  <w:r>
                    <w:t>压路机</w:t>
                  </w:r>
                </w:p>
              </w:tc>
              <w:tc>
                <w:tcPr>
                  <w:tcW w:w="996" w:type="pct"/>
                  <w:tcBorders>
                    <w:tl2br w:val="nil"/>
                    <w:tr2bl w:val="nil"/>
                  </w:tcBorders>
                  <w:vAlign w:val="center"/>
                </w:tcPr>
                <w:p w14:paraId="1FEACA6F">
                  <w:pPr>
                    <w:pStyle w:val="30"/>
                  </w:pPr>
                  <w:r>
                    <w:t>86</w:t>
                  </w:r>
                </w:p>
              </w:tc>
              <w:tc>
                <w:tcPr>
                  <w:tcW w:w="953" w:type="pct"/>
                  <w:tcBorders>
                    <w:tl2br w:val="nil"/>
                    <w:tr2bl w:val="nil"/>
                  </w:tcBorders>
                  <w:vAlign w:val="center"/>
                </w:tcPr>
                <w:p w14:paraId="0D64BDF3">
                  <w:pPr>
                    <w:pStyle w:val="30"/>
                  </w:pPr>
                  <w:r>
                    <w:t>82</w:t>
                  </w:r>
                </w:p>
              </w:tc>
              <w:tc>
                <w:tcPr>
                  <w:tcW w:w="988" w:type="pct"/>
                  <w:tcBorders>
                    <w:tl2br w:val="nil"/>
                    <w:tr2bl w:val="nil"/>
                  </w:tcBorders>
                  <w:vAlign w:val="center"/>
                </w:tcPr>
                <w:p w14:paraId="6CD7BA8A">
                  <w:pPr>
                    <w:pStyle w:val="30"/>
                  </w:pPr>
                  <w:r>
                    <w:t>77</w:t>
                  </w:r>
                </w:p>
              </w:tc>
              <w:tc>
                <w:tcPr>
                  <w:tcW w:w="961" w:type="pct"/>
                  <w:tcBorders>
                    <w:tl2br w:val="nil"/>
                    <w:tr2bl w:val="nil"/>
                  </w:tcBorders>
                  <w:vAlign w:val="center"/>
                </w:tcPr>
                <w:p w14:paraId="2B1C20DE">
                  <w:pPr>
                    <w:pStyle w:val="30"/>
                  </w:pPr>
                  <w:r>
                    <w:t>71</w:t>
                  </w:r>
                </w:p>
              </w:tc>
            </w:tr>
            <w:tr w14:paraId="6EBAB9A6">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099" w:type="pct"/>
                  <w:tcBorders>
                    <w:tl2br w:val="nil"/>
                    <w:tr2bl w:val="nil"/>
                  </w:tcBorders>
                  <w:vAlign w:val="center"/>
                </w:tcPr>
                <w:p w14:paraId="4D29B430">
                  <w:pPr>
                    <w:pStyle w:val="30"/>
                  </w:pPr>
                  <w:r>
                    <w:t>空压机</w:t>
                  </w:r>
                </w:p>
              </w:tc>
              <w:tc>
                <w:tcPr>
                  <w:tcW w:w="996" w:type="pct"/>
                  <w:tcBorders>
                    <w:tl2br w:val="nil"/>
                    <w:tr2bl w:val="nil"/>
                  </w:tcBorders>
                  <w:vAlign w:val="center"/>
                </w:tcPr>
                <w:p w14:paraId="53F28228">
                  <w:pPr>
                    <w:pStyle w:val="30"/>
                  </w:pPr>
                  <w:r>
                    <w:t>84~85</w:t>
                  </w:r>
                </w:p>
              </w:tc>
              <w:tc>
                <w:tcPr>
                  <w:tcW w:w="953" w:type="pct"/>
                  <w:tcBorders>
                    <w:tl2br w:val="nil"/>
                    <w:tr2bl w:val="nil"/>
                  </w:tcBorders>
                  <w:vAlign w:val="center"/>
                </w:tcPr>
                <w:p w14:paraId="197827E1">
                  <w:pPr>
                    <w:pStyle w:val="30"/>
                  </w:pPr>
                  <w:r>
                    <w:t>81</w:t>
                  </w:r>
                </w:p>
              </w:tc>
              <w:tc>
                <w:tcPr>
                  <w:tcW w:w="988" w:type="pct"/>
                  <w:tcBorders>
                    <w:tl2br w:val="nil"/>
                    <w:tr2bl w:val="nil"/>
                  </w:tcBorders>
                  <w:vAlign w:val="center"/>
                </w:tcPr>
                <w:p w14:paraId="319E9311">
                  <w:pPr>
                    <w:pStyle w:val="30"/>
                  </w:pPr>
                  <w:r>
                    <w:t>74~78</w:t>
                  </w:r>
                </w:p>
              </w:tc>
              <w:tc>
                <w:tcPr>
                  <w:tcW w:w="961" w:type="pct"/>
                  <w:tcBorders>
                    <w:tl2br w:val="nil"/>
                    <w:tr2bl w:val="nil"/>
                  </w:tcBorders>
                  <w:vAlign w:val="center"/>
                </w:tcPr>
                <w:p w14:paraId="2B7CD316">
                  <w:pPr>
                    <w:pStyle w:val="30"/>
                  </w:pPr>
                  <w:r>
                    <w:t>70~76</w:t>
                  </w:r>
                </w:p>
              </w:tc>
            </w:tr>
            <w:tr w14:paraId="61AB801D">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099" w:type="pct"/>
                  <w:tcBorders>
                    <w:tl2br w:val="nil"/>
                    <w:tr2bl w:val="nil"/>
                  </w:tcBorders>
                  <w:vAlign w:val="center"/>
                </w:tcPr>
                <w:p w14:paraId="0C70FA29">
                  <w:pPr>
                    <w:pStyle w:val="30"/>
                  </w:pPr>
                  <w:r>
                    <w:t>振动打桩锤</w:t>
                  </w:r>
                </w:p>
              </w:tc>
              <w:tc>
                <w:tcPr>
                  <w:tcW w:w="996" w:type="pct"/>
                  <w:tcBorders>
                    <w:tl2br w:val="nil"/>
                    <w:tr2bl w:val="nil"/>
                  </w:tcBorders>
                  <w:vAlign w:val="center"/>
                </w:tcPr>
                <w:p w14:paraId="6539BD40">
                  <w:pPr>
                    <w:pStyle w:val="30"/>
                  </w:pPr>
                  <w:r>
                    <w:t>100</w:t>
                  </w:r>
                </w:p>
              </w:tc>
              <w:tc>
                <w:tcPr>
                  <w:tcW w:w="953" w:type="pct"/>
                  <w:tcBorders>
                    <w:tl2br w:val="nil"/>
                    <w:tr2bl w:val="nil"/>
                  </w:tcBorders>
                  <w:vAlign w:val="center"/>
                </w:tcPr>
                <w:p w14:paraId="731E2F97">
                  <w:pPr>
                    <w:pStyle w:val="30"/>
                  </w:pPr>
                  <w:r>
                    <w:t>93</w:t>
                  </w:r>
                </w:p>
              </w:tc>
              <w:tc>
                <w:tcPr>
                  <w:tcW w:w="988" w:type="pct"/>
                  <w:tcBorders>
                    <w:tl2br w:val="nil"/>
                    <w:tr2bl w:val="nil"/>
                  </w:tcBorders>
                  <w:vAlign w:val="center"/>
                </w:tcPr>
                <w:p w14:paraId="6814B0E9">
                  <w:pPr>
                    <w:pStyle w:val="30"/>
                  </w:pPr>
                  <w:r>
                    <w:t>86</w:t>
                  </w:r>
                </w:p>
              </w:tc>
              <w:tc>
                <w:tcPr>
                  <w:tcW w:w="961" w:type="pct"/>
                  <w:tcBorders>
                    <w:tl2br w:val="nil"/>
                    <w:tr2bl w:val="nil"/>
                  </w:tcBorders>
                  <w:vAlign w:val="center"/>
                </w:tcPr>
                <w:p w14:paraId="7CD3BAA0">
                  <w:pPr>
                    <w:pStyle w:val="30"/>
                  </w:pPr>
                  <w:r>
                    <w:t>83</w:t>
                  </w:r>
                </w:p>
              </w:tc>
            </w:tr>
            <w:tr w14:paraId="1105A346">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099" w:type="pct"/>
                  <w:tcBorders>
                    <w:tl2br w:val="nil"/>
                    <w:tr2bl w:val="nil"/>
                  </w:tcBorders>
                  <w:vAlign w:val="center"/>
                </w:tcPr>
                <w:p w14:paraId="0B5EB945">
                  <w:pPr>
                    <w:pStyle w:val="30"/>
                  </w:pPr>
                  <w:r>
                    <w:t>重型运输车</w:t>
                  </w:r>
                </w:p>
              </w:tc>
              <w:tc>
                <w:tcPr>
                  <w:tcW w:w="996" w:type="pct"/>
                  <w:tcBorders>
                    <w:tl2br w:val="nil"/>
                    <w:tr2bl w:val="nil"/>
                  </w:tcBorders>
                  <w:vAlign w:val="center"/>
                </w:tcPr>
                <w:p w14:paraId="4BF652A6">
                  <w:pPr>
                    <w:pStyle w:val="30"/>
                  </w:pPr>
                  <w:r>
                    <w:t>80~82</w:t>
                  </w:r>
                </w:p>
              </w:tc>
              <w:tc>
                <w:tcPr>
                  <w:tcW w:w="953" w:type="pct"/>
                  <w:tcBorders>
                    <w:tl2br w:val="nil"/>
                    <w:tr2bl w:val="nil"/>
                  </w:tcBorders>
                  <w:vAlign w:val="center"/>
                </w:tcPr>
                <w:p w14:paraId="43CD8831">
                  <w:pPr>
                    <w:pStyle w:val="30"/>
                  </w:pPr>
                  <w:r>
                    <w:t>74~76</w:t>
                  </w:r>
                </w:p>
              </w:tc>
              <w:tc>
                <w:tcPr>
                  <w:tcW w:w="988" w:type="pct"/>
                  <w:tcBorders>
                    <w:tl2br w:val="nil"/>
                    <w:tr2bl w:val="nil"/>
                  </w:tcBorders>
                  <w:vAlign w:val="center"/>
                </w:tcPr>
                <w:p w14:paraId="3EEE8A21">
                  <w:pPr>
                    <w:pStyle w:val="30"/>
                  </w:pPr>
                  <w:r>
                    <w:t>69~71</w:t>
                  </w:r>
                </w:p>
              </w:tc>
              <w:tc>
                <w:tcPr>
                  <w:tcW w:w="961" w:type="pct"/>
                  <w:tcBorders>
                    <w:tl2br w:val="nil"/>
                    <w:tr2bl w:val="nil"/>
                  </w:tcBorders>
                  <w:vAlign w:val="center"/>
                </w:tcPr>
                <w:p w14:paraId="6035F505">
                  <w:pPr>
                    <w:pStyle w:val="30"/>
                  </w:pPr>
                  <w:r>
                    <w:t>64~66</w:t>
                  </w:r>
                </w:p>
              </w:tc>
            </w:tr>
            <w:tr w14:paraId="66A1F46A">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jc w:val="center"/>
              </w:trPr>
              <w:tc>
                <w:tcPr>
                  <w:tcW w:w="1099" w:type="pct"/>
                  <w:tcBorders>
                    <w:tl2br w:val="nil"/>
                    <w:tr2bl w:val="nil"/>
                  </w:tcBorders>
                  <w:vAlign w:val="center"/>
                </w:tcPr>
                <w:p w14:paraId="205581D5">
                  <w:pPr>
                    <w:pStyle w:val="30"/>
                  </w:pPr>
                  <w:r>
                    <w:t>柴油打桩机</w:t>
                  </w:r>
                </w:p>
              </w:tc>
              <w:tc>
                <w:tcPr>
                  <w:tcW w:w="996" w:type="pct"/>
                  <w:tcBorders>
                    <w:tl2br w:val="nil"/>
                    <w:tr2bl w:val="nil"/>
                  </w:tcBorders>
                  <w:vAlign w:val="center"/>
                </w:tcPr>
                <w:p w14:paraId="0B629436">
                  <w:pPr>
                    <w:pStyle w:val="30"/>
                  </w:pPr>
                  <w:r>
                    <w:t>104~106</w:t>
                  </w:r>
                </w:p>
              </w:tc>
              <w:tc>
                <w:tcPr>
                  <w:tcW w:w="953" w:type="pct"/>
                  <w:tcBorders>
                    <w:tl2br w:val="nil"/>
                    <w:tr2bl w:val="nil"/>
                  </w:tcBorders>
                  <w:vAlign w:val="center"/>
                </w:tcPr>
                <w:p w14:paraId="5FDC8833">
                  <w:pPr>
                    <w:pStyle w:val="30"/>
                  </w:pPr>
                  <w:r>
                    <w:t>98~99</w:t>
                  </w:r>
                </w:p>
              </w:tc>
              <w:tc>
                <w:tcPr>
                  <w:tcW w:w="988" w:type="pct"/>
                  <w:tcBorders>
                    <w:tl2br w:val="nil"/>
                    <w:tr2bl w:val="nil"/>
                  </w:tcBorders>
                  <w:vAlign w:val="center"/>
                </w:tcPr>
                <w:p w14:paraId="2A61E94A">
                  <w:pPr>
                    <w:pStyle w:val="30"/>
                  </w:pPr>
                  <w:r>
                    <w:t>88~92</w:t>
                  </w:r>
                </w:p>
              </w:tc>
              <w:tc>
                <w:tcPr>
                  <w:tcW w:w="961" w:type="pct"/>
                  <w:tcBorders>
                    <w:tl2br w:val="nil"/>
                    <w:tr2bl w:val="nil"/>
                  </w:tcBorders>
                  <w:vAlign w:val="center"/>
                </w:tcPr>
                <w:p w14:paraId="093F90C8">
                  <w:pPr>
                    <w:pStyle w:val="30"/>
                  </w:pPr>
                  <w:r>
                    <w:t>83~88</w:t>
                  </w:r>
                </w:p>
              </w:tc>
            </w:tr>
          </w:tbl>
          <w:p w14:paraId="6E2A6357">
            <w:pPr>
              <w:ind w:firstLine="480"/>
            </w:pPr>
          </w:p>
          <w:p w14:paraId="72BB6E89">
            <w:pPr>
              <w:ind w:firstLine="480"/>
              <w:rPr>
                <w:color w:val="auto"/>
              </w:rPr>
            </w:pPr>
            <w:r>
              <w:rPr>
                <w:rFonts w:hint="eastAsia"/>
                <w:color w:val="auto"/>
                <w:lang w:val="en-US" w:eastAsia="zh-CN"/>
              </w:rPr>
              <w:t>施工期的振动污染源，主要来源于施工机械设备的作业振动，如大型挖掘（土）机、打桩机、振动型夯实机械等，施工机械产生的振动随着距离的增大而减小，除强振动机械外，其他机械设备产生的振动一般在离振源</w:t>
            </w:r>
            <w:r>
              <w:rPr>
                <w:rFonts w:hint="default"/>
                <w:color w:val="auto"/>
                <w:lang w:val="en-US" w:eastAsia="zh-CN"/>
              </w:rPr>
              <w:t>30m</w:t>
            </w:r>
            <w:r>
              <w:rPr>
                <w:rFonts w:hint="eastAsia"/>
                <w:color w:val="auto"/>
                <w:lang w:val="en-US" w:eastAsia="zh-CN"/>
              </w:rPr>
              <w:t>处低于</w:t>
            </w:r>
            <w:r>
              <w:rPr>
                <w:rFonts w:hint="default"/>
                <w:color w:val="auto"/>
                <w:lang w:val="en-US" w:eastAsia="zh-CN"/>
              </w:rPr>
              <w:t>80dB</w:t>
            </w:r>
            <w:r>
              <w:rPr>
                <w:rFonts w:hint="eastAsia"/>
                <w:color w:val="auto"/>
                <w:lang w:val="en-US" w:eastAsia="zh-CN"/>
              </w:rPr>
              <w:t>，即普通施工机械振动的影响范围不大，且沿线人烟稀少，其影响也仅是暂时的，随着施工活动的结束，施工振动也随之消失。另外，通过施工现场的合理布局、科学管理，做好宣传工作和文明施工，合理安排施工作业时间，可以有效地控制施工振动对环境的影响。</w:t>
            </w:r>
          </w:p>
          <w:p w14:paraId="6B3202D4">
            <w:pPr>
              <w:ind w:firstLine="480"/>
              <w:rPr>
                <w:color w:val="auto"/>
              </w:rPr>
            </w:pPr>
            <w:r>
              <w:rPr>
                <w:color w:val="auto"/>
              </w:rPr>
              <w:t>3、环境空气影响分析</w:t>
            </w:r>
          </w:p>
          <w:p w14:paraId="78A37387">
            <w:pPr>
              <w:ind w:firstLine="480"/>
              <w:rPr>
                <w:color w:val="auto"/>
              </w:rPr>
            </w:pPr>
            <w:r>
              <w:rPr>
                <w:color w:val="auto"/>
              </w:rPr>
              <w:t>施工大气污染源主要为施工扬尘以及施工机械燃油尾气。</w:t>
            </w:r>
          </w:p>
          <w:p w14:paraId="3193ED44">
            <w:pPr>
              <w:ind w:firstLine="480"/>
              <w:rPr>
                <w:color w:val="auto"/>
              </w:rPr>
            </w:pPr>
            <w:r>
              <w:rPr>
                <w:color w:val="auto"/>
              </w:rPr>
              <w:t>（1）施工扬尘</w:t>
            </w:r>
          </w:p>
          <w:p w14:paraId="130220D9">
            <w:pPr>
              <w:ind w:firstLine="480"/>
              <w:rPr>
                <w:color w:val="auto"/>
              </w:rPr>
            </w:pPr>
            <w:r>
              <w:rPr>
                <w:color w:val="auto"/>
              </w:rPr>
              <w:t>①道路扬尘</w:t>
            </w:r>
          </w:p>
          <w:p w14:paraId="53B2E1D3">
            <w:pPr>
              <w:ind w:firstLine="480"/>
              <w:rPr>
                <w:color w:val="auto"/>
              </w:rPr>
            </w:pPr>
            <w:r>
              <w:rPr>
                <w:color w:val="auto"/>
              </w:rPr>
              <w:t>工程在建设施工过程中，各种燃油动力机械和运输车辆排放的废气，汽车运输过程的扬尘，都会给周围环境空气带来污染。污染大气的主要因子是NOx、CO、SO</w:t>
            </w:r>
            <w:r>
              <w:rPr>
                <w:color w:val="auto"/>
                <w:vertAlign w:val="subscript"/>
              </w:rPr>
              <w:t>2</w:t>
            </w:r>
            <w:r>
              <w:rPr>
                <w:color w:val="auto"/>
              </w:rPr>
              <w:t>和扬尘，尤其扬尘污染最为严重。</w:t>
            </w:r>
          </w:p>
          <w:p w14:paraId="108E2FF3">
            <w:pPr>
              <w:ind w:firstLine="480"/>
              <w:rPr>
                <w:color w:val="auto"/>
              </w:rPr>
            </w:pPr>
            <w:r>
              <w:rPr>
                <w:color w:val="auto"/>
              </w:rPr>
              <w:t>本项目土建工程较小，主要影响为车辆运输产生的扬尘。</w:t>
            </w:r>
          </w:p>
          <w:p w14:paraId="39D23E04">
            <w:pPr>
              <w:ind w:firstLine="480"/>
              <w:rPr>
                <w:color w:val="auto"/>
              </w:rPr>
            </w:pPr>
            <w:r>
              <w:rPr>
                <w:color w:val="auto"/>
              </w:rPr>
              <w:t>据有关文献资料介绍，车辆行驶产生的扬尘占总扬尘的60%上。据了解，该项目建设过程中的运输车辆以使用10吨的卡车较多，车辆行驶产生的扬尘，在完全干燥情况下的经验计算公式为：</w:t>
            </w:r>
          </w:p>
          <w:p w14:paraId="51A1F6E5">
            <w:pPr>
              <w:ind w:firstLine="0" w:firstLineChars="0"/>
              <w:jc w:val="center"/>
              <w:rPr>
                <w:color w:val="auto"/>
              </w:rPr>
            </w:pPr>
            <w:r>
              <w:rPr>
                <w:b/>
                <w:bCs/>
                <w:color w:val="auto"/>
              </w:rPr>
              <w:object>
                <v:shape id="_x0000_i1025" o:spt="75" type="#_x0000_t75" style="height:24.4pt;width:193.45pt;" o:ole="t" filled="f" o:preferrelative="t" stroked="f" coordsize="21600,21600">
                  <v:path/>
                  <v:fill on="f" focussize="0,0"/>
                  <v:stroke on="f" joinstyle="miter"/>
                  <v:imagedata r:id="rId20" o:title=""/>
                  <o:lock v:ext="edit" aspectratio="t"/>
                  <w10:wrap type="none"/>
                  <w10:anchorlock/>
                </v:shape>
                <o:OLEObject Type="Embed" ProgID="Equation.3" ShapeID="_x0000_i1025" DrawAspect="Content" ObjectID="_1468075725" r:id="rId19">
                  <o:LockedField>false</o:LockedField>
                </o:OLEObject>
              </w:object>
            </w:r>
          </w:p>
          <w:p w14:paraId="4D89880E">
            <w:pPr>
              <w:ind w:firstLine="480"/>
              <w:rPr>
                <w:color w:val="auto"/>
              </w:rPr>
            </w:pPr>
            <w:r>
              <w:rPr>
                <w:color w:val="auto"/>
              </w:rPr>
              <w:t>式中：Q－汽车行驶的扬尘，kg/km·辆；</w:t>
            </w:r>
          </w:p>
          <w:p w14:paraId="30356B43">
            <w:pPr>
              <w:ind w:firstLine="480"/>
              <w:rPr>
                <w:color w:val="auto"/>
              </w:rPr>
            </w:pPr>
            <w:r>
              <w:rPr>
                <w:color w:val="auto"/>
              </w:rPr>
              <w:t>V－汽车速度，km/hr；</w:t>
            </w:r>
          </w:p>
          <w:p w14:paraId="0C60AB94">
            <w:pPr>
              <w:ind w:firstLine="480"/>
              <w:rPr>
                <w:color w:val="auto"/>
              </w:rPr>
            </w:pPr>
            <w:r>
              <w:rPr>
                <w:color w:val="auto"/>
              </w:rPr>
              <w:t>W－汽车载重量，吨；</w:t>
            </w:r>
          </w:p>
          <w:p w14:paraId="73A3161E">
            <w:pPr>
              <w:ind w:firstLine="480"/>
              <w:rPr>
                <w:color w:val="auto"/>
              </w:rPr>
            </w:pPr>
            <w:r>
              <w:rPr>
                <w:color w:val="auto"/>
              </w:rPr>
              <w:t>P－道路表面粉尘量，kg/m</w:t>
            </w:r>
            <w:r>
              <w:rPr>
                <w:color w:val="auto"/>
                <w:vertAlign w:val="superscript"/>
              </w:rPr>
              <w:t>2</w:t>
            </w:r>
            <w:r>
              <w:rPr>
                <w:color w:val="auto"/>
              </w:rPr>
              <w:t>。</w:t>
            </w:r>
          </w:p>
          <w:p w14:paraId="5294766E">
            <w:pPr>
              <w:ind w:firstLine="480"/>
              <w:rPr>
                <w:color w:val="auto"/>
              </w:rPr>
            </w:pPr>
            <w:r>
              <w:rPr>
                <w:color w:val="auto"/>
              </w:rPr>
              <w:t>表4-4为一辆10吨卡车，通过一段长度为1km的路面时，不同路面清洁程度，不同行驶速度情况下的扬尘量。由此可见，在同样路面清洁程度条件下，车速越快，扬尘量越大；而在同样车速情况下，路面越脏，则扬尘量越大。因此，可以通过采取限速行驶及保持路面的清洁等措施后，减小汽车扬尘对环境的影响。</w:t>
            </w:r>
          </w:p>
          <w:p w14:paraId="24904BC7">
            <w:pPr>
              <w:pStyle w:val="33"/>
              <w:rPr>
                <w:color w:val="auto"/>
              </w:rPr>
            </w:pPr>
            <w:r>
              <w:rPr>
                <w:color w:val="auto"/>
              </w:rPr>
              <w:t>表4-4 不同车速和地面清洁程度的汽车扬尘统计表   单位：kg/辆·km</w:t>
            </w:r>
          </w:p>
          <w:tbl>
            <w:tblPr>
              <w:tblStyle w:val="25"/>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1032"/>
              <w:gridCol w:w="1032"/>
              <w:gridCol w:w="1032"/>
              <w:gridCol w:w="1032"/>
              <w:gridCol w:w="1034"/>
              <w:gridCol w:w="1029"/>
            </w:tblGrid>
            <w:tr w14:paraId="0BD8A52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tcBorders>
                    <w:tl2br w:val="nil"/>
                    <w:tr2bl w:val="nil"/>
                  </w:tcBorders>
                  <w:vAlign w:val="center"/>
                </w:tcPr>
                <w:p w14:paraId="4EB7E7C2">
                  <w:pPr>
                    <w:pStyle w:val="30"/>
                    <w:rPr>
                      <w:color w:val="auto"/>
                    </w:rPr>
                  </w:pPr>
                  <w:r>
                    <w:rPr>
                      <w:color w:val="auto"/>
                    </w:rPr>
                    <w:t>P</w:t>
                  </w:r>
                  <w:r>
                    <w:rPr>
                      <w:rFonts w:hint="eastAsia"/>
                      <w:color w:val="auto"/>
                    </w:rPr>
                    <w:t>：</w:t>
                  </w:r>
                  <w:r>
                    <w:rPr>
                      <w:color w:val="auto"/>
                    </w:rPr>
                    <w:t>车速</w:t>
                  </w:r>
                </w:p>
              </w:tc>
              <w:tc>
                <w:tcPr>
                  <w:tcW w:w="711" w:type="pct"/>
                  <w:tcBorders>
                    <w:tl2br w:val="nil"/>
                    <w:tr2bl w:val="nil"/>
                  </w:tcBorders>
                  <w:vAlign w:val="center"/>
                </w:tcPr>
                <w:p w14:paraId="0042EED9">
                  <w:pPr>
                    <w:pStyle w:val="30"/>
                    <w:rPr>
                      <w:color w:val="auto"/>
                    </w:rPr>
                  </w:pPr>
                  <w:r>
                    <w:rPr>
                      <w:color w:val="auto"/>
                    </w:rPr>
                    <w:t>0.1</w:t>
                  </w:r>
                </w:p>
                <w:p w14:paraId="22D1A77E">
                  <w:pPr>
                    <w:pStyle w:val="30"/>
                    <w:rPr>
                      <w:color w:val="auto"/>
                    </w:rPr>
                  </w:pPr>
                  <w:r>
                    <w:rPr>
                      <w:color w:val="auto"/>
                    </w:rPr>
                    <w:t>(kg/m</w:t>
                  </w:r>
                  <w:r>
                    <w:rPr>
                      <w:color w:val="auto"/>
                      <w:vertAlign w:val="superscript"/>
                    </w:rPr>
                    <w:t>2</w:t>
                  </w:r>
                  <w:r>
                    <w:rPr>
                      <w:color w:val="auto"/>
                    </w:rPr>
                    <w:t>)</w:t>
                  </w:r>
                </w:p>
              </w:tc>
              <w:tc>
                <w:tcPr>
                  <w:tcW w:w="711" w:type="pct"/>
                  <w:tcBorders>
                    <w:tl2br w:val="nil"/>
                    <w:tr2bl w:val="nil"/>
                  </w:tcBorders>
                  <w:vAlign w:val="center"/>
                </w:tcPr>
                <w:p w14:paraId="60134A24">
                  <w:pPr>
                    <w:pStyle w:val="30"/>
                    <w:rPr>
                      <w:color w:val="auto"/>
                    </w:rPr>
                  </w:pPr>
                  <w:r>
                    <w:rPr>
                      <w:color w:val="auto"/>
                    </w:rPr>
                    <w:t>0.2</w:t>
                  </w:r>
                </w:p>
                <w:p w14:paraId="5F10263C">
                  <w:pPr>
                    <w:pStyle w:val="30"/>
                    <w:rPr>
                      <w:color w:val="auto"/>
                    </w:rPr>
                  </w:pPr>
                  <w:r>
                    <w:rPr>
                      <w:color w:val="auto"/>
                    </w:rPr>
                    <w:t>(kg/m</w:t>
                  </w:r>
                  <w:r>
                    <w:rPr>
                      <w:color w:val="auto"/>
                      <w:vertAlign w:val="superscript"/>
                    </w:rPr>
                    <w:t>2</w:t>
                  </w:r>
                  <w:r>
                    <w:rPr>
                      <w:color w:val="auto"/>
                    </w:rPr>
                    <w:t>)</w:t>
                  </w:r>
                </w:p>
              </w:tc>
              <w:tc>
                <w:tcPr>
                  <w:tcW w:w="711" w:type="pct"/>
                  <w:tcBorders>
                    <w:tl2br w:val="nil"/>
                    <w:tr2bl w:val="nil"/>
                  </w:tcBorders>
                  <w:vAlign w:val="center"/>
                </w:tcPr>
                <w:p w14:paraId="0997BFDD">
                  <w:pPr>
                    <w:pStyle w:val="30"/>
                    <w:rPr>
                      <w:color w:val="auto"/>
                    </w:rPr>
                  </w:pPr>
                  <w:r>
                    <w:rPr>
                      <w:color w:val="auto"/>
                    </w:rPr>
                    <w:t>0.3</w:t>
                  </w:r>
                </w:p>
                <w:p w14:paraId="1DA842A0">
                  <w:pPr>
                    <w:pStyle w:val="30"/>
                    <w:rPr>
                      <w:color w:val="auto"/>
                    </w:rPr>
                  </w:pPr>
                  <w:r>
                    <w:rPr>
                      <w:color w:val="auto"/>
                    </w:rPr>
                    <w:t>(kg/m</w:t>
                  </w:r>
                  <w:r>
                    <w:rPr>
                      <w:color w:val="auto"/>
                      <w:vertAlign w:val="superscript"/>
                    </w:rPr>
                    <w:t>2</w:t>
                  </w:r>
                  <w:r>
                    <w:rPr>
                      <w:color w:val="auto"/>
                    </w:rPr>
                    <w:t>)</w:t>
                  </w:r>
                </w:p>
              </w:tc>
              <w:tc>
                <w:tcPr>
                  <w:tcW w:w="711" w:type="pct"/>
                  <w:tcBorders>
                    <w:tl2br w:val="nil"/>
                    <w:tr2bl w:val="nil"/>
                  </w:tcBorders>
                  <w:vAlign w:val="center"/>
                </w:tcPr>
                <w:p w14:paraId="5B10B696">
                  <w:pPr>
                    <w:pStyle w:val="30"/>
                    <w:rPr>
                      <w:color w:val="auto"/>
                    </w:rPr>
                  </w:pPr>
                  <w:r>
                    <w:rPr>
                      <w:color w:val="auto"/>
                    </w:rPr>
                    <w:t>0.4</w:t>
                  </w:r>
                </w:p>
                <w:p w14:paraId="2B3976C1">
                  <w:pPr>
                    <w:pStyle w:val="30"/>
                    <w:rPr>
                      <w:color w:val="auto"/>
                    </w:rPr>
                  </w:pPr>
                  <w:r>
                    <w:rPr>
                      <w:color w:val="auto"/>
                    </w:rPr>
                    <w:t>(kg/m</w:t>
                  </w:r>
                  <w:r>
                    <w:rPr>
                      <w:color w:val="auto"/>
                      <w:vertAlign w:val="superscript"/>
                    </w:rPr>
                    <w:t>2</w:t>
                  </w:r>
                  <w:r>
                    <w:rPr>
                      <w:color w:val="auto"/>
                    </w:rPr>
                    <w:t>)</w:t>
                  </w:r>
                </w:p>
              </w:tc>
              <w:tc>
                <w:tcPr>
                  <w:tcW w:w="712" w:type="pct"/>
                  <w:tcBorders>
                    <w:tl2br w:val="nil"/>
                    <w:tr2bl w:val="nil"/>
                  </w:tcBorders>
                  <w:vAlign w:val="center"/>
                </w:tcPr>
                <w:p w14:paraId="568D90EB">
                  <w:pPr>
                    <w:pStyle w:val="30"/>
                    <w:rPr>
                      <w:color w:val="auto"/>
                    </w:rPr>
                  </w:pPr>
                  <w:r>
                    <w:rPr>
                      <w:color w:val="auto"/>
                    </w:rPr>
                    <w:t>0.5</w:t>
                  </w:r>
                </w:p>
                <w:p w14:paraId="0FFD7A2A">
                  <w:pPr>
                    <w:pStyle w:val="30"/>
                    <w:rPr>
                      <w:color w:val="auto"/>
                    </w:rPr>
                  </w:pPr>
                  <w:r>
                    <w:rPr>
                      <w:color w:val="auto"/>
                    </w:rPr>
                    <w:t>(kg/m</w:t>
                  </w:r>
                  <w:r>
                    <w:rPr>
                      <w:color w:val="auto"/>
                      <w:vertAlign w:val="superscript"/>
                    </w:rPr>
                    <w:t>2</w:t>
                  </w:r>
                  <w:r>
                    <w:rPr>
                      <w:color w:val="auto"/>
                    </w:rPr>
                    <w:t>)</w:t>
                  </w:r>
                </w:p>
              </w:tc>
              <w:tc>
                <w:tcPr>
                  <w:tcW w:w="709" w:type="pct"/>
                  <w:tcBorders>
                    <w:tl2br w:val="nil"/>
                    <w:tr2bl w:val="nil"/>
                  </w:tcBorders>
                  <w:vAlign w:val="center"/>
                </w:tcPr>
                <w:p w14:paraId="0A445B3A">
                  <w:pPr>
                    <w:pStyle w:val="30"/>
                    <w:rPr>
                      <w:color w:val="auto"/>
                    </w:rPr>
                  </w:pPr>
                  <w:r>
                    <w:rPr>
                      <w:color w:val="auto"/>
                    </w:rPr>
                    <w:t>1</w:t>
                  </w:r>
                </w:p>
                <w:p w14:paraId="7B6C7BDC">
                  <w:pPr>
                    <w:pStyle w:val="30"/>
                    <w:rPr>
                      <w:color w:val="auto"/>
                    </w:rPr>
                  </w:pPr>
                  <w:r>
                    <w:rPr>
                      <w:color w:val="auto"/>
                    </w:rPr>
                    <w:t>(kg/m</w:t>
                  </w:r>
                  <w:r>
                    <w:rPr>
                      <w:color w:val="auto"/>
                      <w:vertAlign w:val="superscript"/>
                    </w:rPr>
                    <w:t>2</w:t>
                  </w:r>
                  <w:r>
                    <w:rPr>
                      <w:color w:val="auto"/>
                    </w:rPr>
                    <w:t>)</w:t>
                  </w:r>
                </w:p>
              </w:tc>
            </w:tr>
            <w:tr w14:paraId="7A0F35C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tcBorders>
                    <w:tl2br w:val="nil"/>
                    <w:tr2bl w:val="nil"/>
                  </w:tcBorders>
                  <w:vAlign w:val="center"/>
                </w:tcPr>
                <w:p w14:paraId="11458BBD">
                  <w:pPr>
                    <w:pStyle w:val="30"/>
                    <w:rPr>
                      <w:color w:val="auto"/>
                    </w:rPr>
                  </w:pPr>
                  <w:r>
                    <w:rPr>
                      <w:color w:val="auto"/>
                    </w:rPr>
                    <w:t>5(km/hr)</w:t>
                  </w:r>
                </w:p>
              </w:tc>
              <w:tc>
                <w:tcPr>
                  <w:tcW w:w="711" w:type="pct"/>
                  <w:tcBorders>
                    <w:tl2br w:val="nil"/>
                    <w:tr2bl w:val="nil"/>
                  </w:tcBorders>
                  <w:vAlign w:val="center"/>
                </w:tcPr>
                <w:p w14:paraId="340E83B7">
                  <w:pPr>
                    <w:pStyle w:val="30"/>
                    <w:rPr>
                      <w:color w:val="auto"/>
                    </w:rPr>
                  </w:pPr>
                  <w:r>
                    <w:rPr>
                      <w:color w:val="auto"/>
                    </w:rPr>
                    <w:t>0.051056</w:t>
                  </w:r>
                </w:p>
              </w:tc>
              <w:tc>
                <w:tcPr>
                  <w:tcW w:w="711" w:type="pct"/>
                  <w:tcBorders>
                    <w:tl2br w:val="nil"/>
                    <w:tr2bl w:val="nil"/>
                  </w:tcBorders>
                  <w:vAlign w:val="center"/>
                </w:tcPr>
                <w:p w14:paraId="2BDFC3D8">
                  <w:pPr>
                    <w:pStyle w:val="30"/>
                    <w:rPr>
                      <w:color w:val="auto"/>
                    </w:rPr>
                  </w:pPr>
                  <w:r>
                    <w:rPr>
                      <w:color w:val="auto"/>
                    </w:rPr>
                    <w:t>0.085865</w:t>
                  </w:r>
                </w:p>
              </w:tc>
              <w:tc>
                <w:tcPr>
                  <w:tcW w:w="711" w:type="pct"/>
                  <w:tcBorders>
                    <w:tl2br w:val="nil"/>
                    <w:tr2bl w:val="nil"/>
                  </w:tcBorders>
                  <w:vAlign w:val="center"/>
                </w:tcPr>
                <w:p w14:paraId="4269106F">
                  <w:pPr>
                    <w:pStyle w:val="30"/>
                    <w:rPr>
                      <w:color w:val="auto"/>
                    </w:rPr>
                  </w:pPr>
                  <w:r>
                    <w:rPr>
                      <w:color w:val="auto"/>
                    </w:rPr>
                    <w:t>0.116382</w:t>
                  </w:r>
                </w:p>
              </w:tc>
              <w:tc>
                <w:tcPr>
                  <w:tcW w:w="711" w:type="pct"/>
                  <w:tcBorders>
                    <w:tl2br w:val="nil"/>
                    <w:tr2bl w:val="nil"/>
                  </w:tcBorders>
                  <w:vAlign w:val="center"/>
                </w:tcPr>
                <w:p w14:paraId="53A8396E">
                  <w:pPr>
                    <w:pStyle w:val="30"/>
                    <w:rPr>
                      <w:color w:val="auto"/>
                    </w:rPr>
                  </w:pPr>
                  <w:r>
                    <w:rPr>
                      <w:color w:val="auto"/>
                    </w:rPr>
                    <w:t>0.144408</w:t>
                  </w:r>
                </w:p>
              </w:tc>
              <w:tc>
                <w:tcPr>
                  <w:tcW w:w="712" w:type="pct"/>
                  <w:tcBorders>
                    <w:tl2br w:val="nil"/>
                    <w:tr2bl w:val="nil"/>
                  </w:tcBorders>
                  <w:vAlign w:val="center"/>
                </w:tcPr>
                <w:p w14:paraId="77B01942">
                  <w:pPr>
                    <w:pStyle w:val="30"/>
                    <w:rPr>
                      <w:color w:val="auto"/>
                    </w:rPr>
                  </w:pPr>
                  <w:r>
                    <w:rPr>
                      <w:color w:val="auto"/>
                    </w:rPr>
                    <w:t>0.170715</w:t>
                  </w:r>
                </w:p>
              </w:tc>
              <w:tc>
                <w:tcPr>
                  <w:tcW w:w="709" w:type="pct"/>
                  <w:tcBorders>
                    <w:tl2br w:val="nil"/>
                    <w:tr2bl w:val="nil"/>
                  </w:tcBorders>
                  <w:vAlign w:val="center"/>
                </w:tcPr>
                <w:p w14:paraId="39C5F32F">
                  <w:pPr>
                    <w:pStyle w:val="30"/>
                    <w:rPr>
                      <w:color w:val="auto"/>
                    </w:rPr>
                  </w:pPr>
                  <w:r>
                    <w:rPr>
                      <w:color w:val="auto"/>
                    </w:rPr>
                    <w:t>0.287108</w:t>
                  </w:r>
                </w:p>
              </w:tc>
            </w:tr>
            <w:tr w14:paraId="2259206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tcBorders>
                    <w:tl2br w:val="nil"/>
                    <w:tr2bl w:val="nil"/>
                  </w:tcBorders>
                  <w:vAlign w:val="center"/>
                </w:tcPr>
                <w:p w14:paraId="348FF09C">
                  <w:pPr>
                    <w:pStyle w:val="30"/>
                    <w:rPr>
                      <w:color w:val="auto"/>
                    </w:rPr>
                  </w:pPr>
                  <w:r>
                    <w:rPr>
                      <w:color w:val="auto"/>
                    </w:rPr>
                    <w:t>10(km/hr)</w:t>
                  </w:r>
                </w:p>
              </w:tc>
              <w:tc>
                <w:tcPr>
                  <w:tcW w:w="711" w:type="pct"/>
                  <w:tcBorders>
                    <w:tl2br w:val="nil"/>
                    <w:tr2bl w:val="nil"/>
                  </w:tcBorders>
                  <w:vAlign w:val="center"/>
                </w:tcPr>
                <w:p w14:paraId="110E6352">
                  <w:pPr>
                    <w:pStyle w:val="30"/>
                    <w:rPr>
                      <w:color w:val="auto"/>
                    </w:rPr>
                  </w:pPr>
                  <w:r>
                    <w:rPr>
                      <w:color w:val="auto"/>
                    </w:rPr>
                    <w:t>0.102112</w:t>
                  </w:r>
                </w:p>
              </w:tc>
              <w:tc>
                <w:tcPr>
                  <w:tcW w:w="711" w:type="pct"/>
                  <w:tcBorders>
                    <w:tl2br w:val="nil"/>
                    <w:tr2bl w:val="nil"/>
                  </w:tcBorders>
                  <w:vAlign w:val="center"/>
                </w:tcPr>
                <w:p w14:paraId="700501AD">
                  <w:pPr>
                    <w:pStyle w:val="30"/>
                    <w:rPr>
                      <w:color w:val="auto"/>
                    </w:rPr>
                  </w:pPr>
                  <w:r>
                    <w:rPr>
                      <w:color w:val="auto"/>
                    </w:rPr>
                    <w:t>0.171731</w:t>
                  </w:r>
                </w:p>
              </w:tc>
              <w:tc>
                <w:tcPr>
                  <w:tcW w:w="711" w:type="pct"/>
                  <w:tcBorders>
                    <w:tl2br w:val="nil"/>
                    <w:tr2bl w:val="nil"/>
                  </w:tcBorders>
                  <w:vAlign w:val="center"/>
                </w:tcPr>
                <w:p w14:paraId="0B1E2F3B">
                  <w:pPr>
                    <w:pStyle w:val="30"/>
                    <w:rPr>
                      <w:color w:val="auto"/>
                    </w:rPr>
                  </w:pPr>
                  <w:r>
                    <w:rPr>
                      <w:color w:val="auto"/>
                    </w:rPr>
                    <w:t>0.232764</w:t>
                  </w:r>
                </w:p>
              </w:tc>
              <w:tc>
                <w:tcPr>
                  <w:tcW w:w="711" w:type="pct"/>
                  <w:tcBorders>
                    <w:tl2br w:val="nil"/>
                    <w:tr2bl w:val="nil"/>
                  </w:tcBorders>
                  <w:vAlign w:val="center"/>
                </w:tcPr>
                <w:p w14:paraId="200694C5">
                  <w:pPr>
                    <w:pStyle w:val="30"/>
                    <w:rPr>
                      <w:color w:val="auto"/>
                    </w:rPr>
                  </w:pPr>
                  <w:r>
                    <w:rPr>
                      <w:color w:val="auto"/>
                    </w:rPr>
                    <w:t>0.288815</w:t>
                  </w:r>
                </w:p>
              </w:tc>
              <w:tc>
                <w:tcPr>
                  <w:tcW w:w="712" w:type="pct"/>
                  <w:tcBorders>
                    <w:tl2br w:val="nil"/>
                    <w:tr2bl w:val="nil"/>
                  </w:tcBorders>
                  <w:vAlign w:val="center"/>
                </w:tcPr>
                <w:p w14:paraId="37861518">
                  <w:pPr>
                    <w:pStyle w:val="30"/>
                    <w:rPr>
                      <w:color w:val="auto"/>
                    </w:rPr>
                  </w:pPr>
                  <w:r>
                    <w:rPr>
                      <w:color w:val="auto"/>
                    </w:rPr>
                    <w:t>0.341431</w:t>
                  </w:r>
                </w:p>
              </w:tc>
              <w:tc>
                <w:tcPr>
                  <w:tcW w:w="709" w:type="pct"/>
                  <w:tcBorders>
                    <w:tl2br w:val="nil"/>
                    <w:tr2bl w:val="nil"/>
                  </w:tcBorders>
                  <w:vAlign w:val="center"/>
                </w:tcPr>
                <w:p w14:paraId="2DE41728">
                  <w:pPr>
                    <w:pStyle w:val="30"/>
                    <w:rPr>
                      <w:color w:val="auto"/>
                    </w:rPr>
                  </w:pPr>
                  <w:r>
                    <w:rPr>
                      <w:color w:val="auto"/>
                    </w:rPr>
                    <w:t>0.574216</w:t>
                  </w:r>
                </w:p>
              </w:tc>
            </w:tr>
            <w:tr w14:paraId="14B4205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tcBorders>
                    <w:tl2br w:val="nil"/>
                    <w:tr2bl w:val="nil"/>
                  </w:tcBorders>
                  <w:vAlign w:val="center"/>
                </w:tcPr>
                <w:p w14:paraId="503D55E7">
                  <w:pPr>
                    <w:pStyle w:val="30"/>
                    <w:rPr>
                      <w:color w:val="auto"/>
                    </w:rPr>
                  </w:pPr>
                  <w:r>
                    <w:rPr>
                      <w:color w:val="auto"/>
                    </w:rPr>
                    <w:t>15(km/hr)</w:t>
                  </w:r>
                </w:p>
              </w:tc>
              <w:tc>
                <w:tcPr>
                  <w:tcW w:w="711" w:type="pct"/>
                  <w:tcBorders>
                    <w:tl2br w:val="nil"/>
                    <w:tr2bl w:val="nil"/>
                  </w:tcBorders>
                  <w:vAlign w:val="center"/>
                </w:tcPr>
                <w:p w14:paraId="5C155F20">
                  <w:pPr>
                    <w:pStyle w:val="30"/>
                    <w:rPr>
                      <w:color w:val="auto"/>
                    </w:rPr>
                  </w:pPr>
                  <w:r>
                    <w:rPr>
                      <w:color w:val="auto"/>
                    </w:rPr>
                    <w:t>0.153167</w:t>
                  </w:r>
                </w:p>
              </w:tc>
              <w:tc>
                <w:tcPr>
                  <w:tcW w:w="711" w:type="pct"/>
                  <w:tcBorders>
                    <w:tl2br w:val="nil"/>
                    <w:tr2bl w:val="nil"/>
                  </w:tcBorders>
                  <w:vAlign w:val="center"/>
                </w:tcPr>
                <w:p w14:paraId="3AEF3128">
                  <w:pPr>
                    <w:pStyle w:val="30"/>
                    <w:rPr>
                      <w:color w:val="auto"/>
                    </w:rPr>
                  </w:pPr>
                  <w:r>
                    <w:rPr>
                      <w:color w:val="auto"/>
                    </w:rPr>
                    <w:t>0.257596</w:t>
                  </w:r>
                </w:p>
              </w:tc>
              <w:tc>
                <w:tcPr>
                  <w:tcW w:w="711" w:type="pct"/>
                  <w:tcBorders>
                    <w:tl2br w:val="nil"/>
                    <w:tr2bl w:val="nil"/>
                  </w:tcBorders>
                  <w:vAlign w:val="center"/>
                </w:tcPr>
                <w:p w14:paraId="053D9FE8">
                  <w:pPr>
                    <w:pStyle w:val="30"/>
                    <w:rPr>
                      <w:color w:val="auto"/>
                    </w:rPr>
                  </w:pPr>
                  <w:r>
                    <w:rPr>
                      <w:color w:val="auto"/>
                    </w:rPr>
                    <w:t>0.349146</w:t>
                  </w:r>
                </w:p>
              </w:tc>
              <w:tc>
                <w:tcPr>
                  <w:tcW w:w="711" w:type="pct"/>
                  <w:tcBorders>
                    <w:tl2br w:val="nil"/>
                    <w:tr2bl w:val="nil"/>
                  </w:tcBorders>
                  <w:vAlign w:val="center"/>
                </w:tcPr>
                <w:p w14:paraId="282C28A0">
                  <w:pPr>
                    <w:pStyle w:val="30"/>
                    <w:rPr>
                      <w:color w:val="auto"/>
                    </w:rPr>
                  </w:pPr>
                  <w:r>
                    <w:rPr>
                      <w:color w:val="auto"/>
                    </w:rPr>
                    <w:t>0.433223</w:t>
                  </w:r>
                </w:p>
              </w:tc>
              <w:tc>
                <w:tcPr>
                  <w:tcW w:w="712" w:type="pct"/>
                  <w:tcBorders>
                    <w:tl2br w:val="nil"/>
                    <w:tr2bl w:val="nil"/>
                  </w:tcBorders>
                  <w:vAlign w:val="center"/>
                </w:tcPr>
                <w:p w14:paraId="411F5572">
                  <w:pPr>
                    <w:pStyle w:val="30"/>
                    <w:rPr>
                      <w:color w:val="auto"/>
                    </w:rPr>
                  </w:pPr>
                  <w:r>
                    <w:rPr>
                      <w:color w:val="auto"/>
                    </w:rPr>
                    <w:t>0.512146</w:t>
                  </w:r>
                </w:p>
              </w:tc>
              <w:tc>
                <w:tcPr>
                  <w:tcW w:w="709" w:type="pct"/>
                  <w:tcBorders>
                    <w:tl2br w:val="nil"/>
                    <w:tr2bl w:val="nil"/>
                  </w:tcBorders>
                  <w:vAlign w:val="center"/>
                </w:tcPr>
                <w:p w14:paraId="6A1DCFA7">
                  <w:pPr>
                    <w:pStyle w:val="30"/>
                    <w:rPr>
                      <w:color w:val="auto"/>
                    </w:rPr>
                  </w:pPr>
                  <w:r>
                    <w:rPr>
                      <w:color w:val="auto"/>
                    </w:rPr>
                    <w:t>0.861323</w:t>
                  </w:r>
                </w:p>
              </w:tc>
            </w:tr>
            <w:tr w14:paraId="300038B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3" w:type="pct"/>
                  <w:tcBorders>
                    <w:tl2br w:val="nil"/>
                    <w:tr2bl w:val="nil"/>
                  </w:tcBorders>
                  <w:vAlign w:val="center"/>
                </w:tcPr>
                <w:p w14:paraId="5D48BDC8">
                  <w:pPr>
                    <w:pStyle w:val="30"/>
                    <w:rPr>
                      <w:color w:val="auto"/>
                    </w:rPr>
                  </w:pPr>
                  <w:r>
                    <w:rPr>
                      <w:color w:val="auto"/>
                    </w:rPr>
                    <w:t>25(km/hr)</w:t>
                  </w:r>
                </w:p>
              </w:tc>
              <w:tc>
                <w:tcPr>
                  <w:tcW w:w="711" w:type="pct"/>
                  <w:tcBorders>
                    <w:tl2br w:val="nil"/>
                    <w:tr2bl w:val="nil"/>
                  </w:tcBorders>
                  <w:vAlign w:val="center"/>
                </w:tcPr>
                <w:p w14:paraId="4AA5933F">
                  <w:pPr>
                    <w:pStyle w:val="30"/>
                    <w:rPr>
                      <w:color w:val="auto"/>
                    </w:rPr>
                  </w:pPr>
                  <w:r>
                    <w:rPr>
                      <w:color w:val="auto"/>
                    </w:rPr>
                    <w:t>0.255279</w:t>
                  </w:r>
                </w:p>
              </w:tc>
              <w:tc>
                <w:tcPr>
                  <w:tcW w:w="711" w:type="pct"/>
                  <w:tcBorders>
                    <w:tl2br w:val="nil"/>
                    <w:tr2bl w:val="nil"/>
                  </w:tcBorders>
                  <w:vAlign w:val="center"/>
                </w:tcPr>
                <w:p w14:paraId="4D0EBFD0">
                  <w:pPr>
                    <w:pStyle w:val="30"/>
                    <w:rPr>
                      <w:color w:val="auto"/>
                    </w:rPr>
                  </w:pPr>
                  <w:r>
                    <w:rPr>
                      <w:color w:val="auto"/>
                    </w:rPr>
                    <w:t>0.429326</w:t>
                  </w:r>
                </w:p>
              </w:tc>
              <w:tc>
                <w:tcPr>
                  <w:tcW w:w="711" w:type="pct"/>
                  <w:tcBorders>
                    <w:tl2br w:val="nil"/>
                    <w:tr2bl w:val="nil"/>
                  </w:tcBorders>
                  <w:vAlign w:val="center"/>
                </w:tcPr>
                <w:p w14:paraId="49E165EE">
                  <w:pPr>
                    <w:pStyle w:val="30"/>
                    <w:rPr>
                      <w:color w:val="auto"/>
                    </w:rPr>
                  </w:pPr>
                  <w:r>
                    <w:rPr>
                      <w:color w:val="auto"/>
                    </w:rPr>
                    <w:t>0.58191</w:t>
                  </w:r>
                </w:p>
              </w:tc>
              <w:tc>
                <w:tcPr>
                  <w:tcW w:w="711" w:type="pct"/>
                  <w:tcBorders>
                    <w:tl2br w:val="nil"/>
                    <w:tr2bl w:val="nil"/>
                  </w:tcBorders>
                  <w:vAlign w:val="center"/>
                </w:tcPr>
                <w:p w14:paraId="67102D5B">
                  <w:pPr>
                    <w:pStyle w:val="30"/>
                    <w:rPr>
                      <w:color w:val="auto"/>
                    </w:rPr>
                  </w:pPr>
                  <w:r>
                    <w:rPr>
                      <w:color w:val="auto"/>
                    </w:rPr>
                    <w:t>0.722038</w:t>
                  </w:r>
                </w:p>
              </w:tc>
              <w:tc>
                <w:tcPr>
                  <w:tcW w:w="712" w:type="pct"/>
                  <w:tcBorders>
                    <w:tl2br w:val="nil"/>
                    <w:tr2bl w:val="nil"/>
                  </w:tcBorders>
                  <w:vAlign w:val="center"/>
                </w:tcPr>
                <w:p w14:paraId="72A8EA5A">
                  <w:pPr>
                    <w:pStyle w:val="30"/>
                    <w:rPr>
                      <w:color w:val="auto"/>
                    </w:rPr>
                  </w:pPr>
                  <w:r>
                    <w:rPr>
                      <w:color w:val="auto"/>
                    </w:rPr>
                    <w:t>0.853577</w:t>
                  </w:r>
                </w:p>
              </w:tc>
              <w:tc>
                <w:tcPr>
                  <w:tcW w:w="709" w:type="pct"/>
                  <w:tcBorders>
                    <w:tl2br w:val="nil"/>
                    <w:tr2bl w:val="nil"/>
                  </w:tcBorders>
                  <w:vAlign w:val="center"/>
                </w:tcPr>
                <w:p w14:paraId="553366EB">
                  <w:pPr>
                    <w:pStyle w:val="30"/>
                    <w:rPr>
                      <w:color w:val="auto"/>
                    </w:rPr>
                  </w:pPr>
                  <w:r>
                    <w:rPr>
                      <w:color w:val="auto"/>
                    </w:rPr>
                    <w:t>1.435539</w:t>
                  </w:r>
                </w:p>
              </w:tc>
            </w:tr>
          </w:tbl>
          <w:p w14:paraId="138B8052">
            <w:pPr>
              <w:ind w:firstLine="480"/>
              <w:rPr>
                <w:color w:val="auto"/>
              </w:rPr>
            </w:pPr>
          </w:p>
          <w:p w14:paraId="69C68F18">
            <w:pPr>
              <w:ind w:firstLine="480"/>
              <w:rPr>
                <w:rFonts w:hint="default" w:eastAsia="宋体"/>
                <w:color w:val="auto"/>
                <w:lang w:val="en-US" w:eastAsia="zh-CN"/>
              </w:rPr>
            </w:pPr>
            <w:r>
              <w:rPr>
                <w:rFonts w:hint="eastAsia"/>
                <w:color w:val="auto"/>
                <w:lang w:val="en-US" w:eastAsia="zh-CN"/>
              </w:rPr>
              <w:t>施工扬尘的产生量与气候条件和施工方法有关，因施工尘土的含水量较低，颗粒较小，在风速度大于3m/s时，施工过程会有扬尘产生。这部分扬尘大部分在施工场地附近沉降。根据类比分析，施工工地扬尘的污染影响范围和程度随着距离的不同而有所差异，在施工场地及其下风向0~50m为污染带，100~200m为轻污染带，200m以外对空气影响甚微。因此，施工扬尘影响范围主要在施工点周围50m内。据项目可研报告，施工场地交通系统利用现有交通道路，实现施工现场与场外人员、材料、设备的转运。因此，建设单位和施工单位应重视施工现场的防尘措施，施工场地、道路运输及主要的出入口应经常洒水，运输车辆需加盖篷布、密闭运输，严禁抛洒滴漏，运输车辆驶离施工区前，必须将车辆的槽帮和车轮用高压水枪设备冲洗干净。尽量缩小施工扬尘的影响范围，以减轻扬尘对环境的污染。</w:t>
            </w:r>
          </w:p>
          <w:p w14:paraId="016C8C99">
            <w:pPr>
              <w:ind w:firstLine="480"/>
            </w:pPr>
            <w:r>
              <w:t>②主体工程施工扬尘</w:t>
            </w:r>
          </w:p>
          <w:p w14:paraId="3C5A8D3E">
            <w:pPr>
              <w:ind w:firstLine="480"/>
            </w:pPr>
            <w:r>
              <w:t>起尘风速与粒径和含水率有关，因此减小露天堆场和保证一定的含水率及减少裸露地面是减少风力起尘的有效手段。粉尘在空气中的扩散稀散与风速等气象条件有关，也与粉尘的沉降速度有关。不同粒径的沉降速度见下表。</w:t>
            </w:r>
          </w:p>
          <w:p w14:paraId="78E95E2F">
            <w:pPr>
              <w:pStyle w:val="33"/>
            </w:pPr>
            <w:r>
              <w:t>表4-5 不同粒径尘粒的沉降速度表</w:t>
            </w:r>
          </w:p>
          <w:tbl>
            <w:tblPr>
              <w:tblStyle w:val="55"/>
              <w:tblW w:w="4999" w:type="pct"/>
              <w:jc w:val="center"/>
              <w:tblBorders>
                <w:top w:val="single" w:color="231F20" w:sz="8" w:space="0"/>
                <w:left w:val="none" w:color="auto" w:sz="0" w:space="0"/>
                <w:bottom w:val="single" w:color="231F20" w:sz="8" w:space="0"/>
                <w:right w:val="none" w:color="auto" w:sz="0" w:space="0"/>
                <w:insideH w:val="single" w:color="231F20" w:sz="4" w:space="0"/>
                <w:insideV w:val="single" w:color="231F20" w:sz="4" w:space="0"/>
              </w:tblBorders>
              <w:tblLayout w:type="fixed"/>
              <w:tblCellMar>
                <w:top w:w="0" w:type="dxa"/>
                <w:left w:w="0" w:type="dxa"/>
                <w:bottom w:w="0" w:type="dxa"/>
                <w:right w:w="0" w:type="dxa"/>
              </w:tblCellMar>
            </w:tblPr>
            <w:tblGrid>
              <w:gridCol w:w="1701"/>
              <w:gridCol w:w="792"/>
              <w:gridCol w:w="795"/>
              <w:gridCol w:w="792"/>
              <w:gridCol w:w="820"/>
              <w:gridCol w:w="769"/>
              <w:gridCol w:w="792"/>
              <w:gridCol w:w="798"/>
            </w:tblGrid>
            <w:tr w14:paraId="35559D3B">
              <w:tblPrEx>
                <w:tblBorders>
                  <w:top w:val="single" w:color="231F20" w:sz="8" w:space="0"/>
                  <w:left w:val="none" w:color="auto" w:sz="0" w:space="0"/>
                  <w:bottom w:val="single" w:color="231F20" w:sz="8"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404" w:hRule="atLeast"/>
                <w:jc w:val="center"/>
              </w:trPr>
              <w:tc>
                <w:tcPr>
                  <w:tcW w:w="1171" w:type="pct"/>
                  <w:tcBorders>
                    <w:tl2br w:val="nil"/>
                    <w:tr2bl w:val="nil"/>
                  </w:tcBorders>
                  <w:vAlign w:val="center"/>
                </w:tcPr>
                <w:p w14:paraId="2BCF3480">
                  <w:pPr>
                    <w:pStyle w:val="30"/>
                  </w:pPr>
                  <w:r>
                    <w:t>粉尘粒径(μm)</w:t>
                  </w:r>
                </w:p>
              </w:tc>
              <w:tc>
                <w:tcPr>
                  <w:tcW w:w="545" w:type="pct"/>
                  <w:tcBorders>
                    <w:tl2br w:val="nil"/>
                    <w:tr2bl w:val="nil"/>
                  </w:tcBorders>
                  <w:vAlign w:val="center"/>
                </w:tcPr>
                <w:p w14:paraId="471DDD0E">
                  <w:pPr>
                    <w:pStyle w:val="30"/>
                  </w:pPr>
                  <w:r>
                    <w:t>10</w:t>
                  </w:r>
                </w:p>
              </w:tc>
              <w:tc>
                <w:tcPr>
                  <w:tcW w:w="547" w:type="pct"/>
                  <w:tcBorders>
                    <w:tl2br w:val="nil"/>
                    <w:tr2bl w:val="nil"/>
                  </w:tcBorders>
                  <w:vAlign w:val="center"/>
                </w:tcPr>
                <w:p w14:paraId="5FB631A8">
                  <w:pPr>
                    <w:pStyle w:val="30"/>
                  </w:pPr>
                  <w:r>
                    <w:t>20</w:t>
                  </w:r>
                </w:p>
              </w:tc>
              <w:tc>
                <w:tcPr>
                  <w:tcW w:w="545" w:type="pct"/>
                  <w:tcBorders>
                    <w:tl2br w:val="nil"/>
                    <w:tr2bl w:val="nil"/>
                  </w:tcBorders>
                  <w:vAlign w:val="center"/>
                </w:tcPr>
                <w:p w14:paraId="6B9BF67C">
                  <w:pPr>
                    <w:pStyle w:val="30"/>
                  </w:pPr>
                  <w:r>
                    <w:t>30</w:t>
                  </w:r>
                </w:p>
              </w:tc>
              <w:tc>
                <w:tcPr>
                  <w:tcW w:w="564" w:type="pct"/>
                  <w:tcBorders>
                    <w:tl2br w:val="nil"/>
                    <w:tr2bl w:val="nil"/>
                  </w:tcBorders>
                  <w:vAlign w:val="center"/>
                </w:tcPr>
                <w:p w14:paraId="594BE7EF">
                  <w:pPr>
                    <w:pStyle w:val="30"/>
                  </w:pPr>
                  <w:r>
                    <w:t>40</w:t>
                  </w:r>
                </w:p>
              </w:tc>
              <w:tc>
                <w:tcPr>
                  <w:tcW w:w="529" w:type="pct"/>
                  <w:tcBorders>
                    <w:tl2br w:val="nil"/>
                    <w:tr2bl w:val="nil"/>
                  </w:tcBorders>
                  <w:vAlign w:val="center"/>
                </w:tcPr>
                <w:p w14:paraId="500DA373">
                  <w:pPr>
                    <w:pStyle w:val="30"/>
                  </w:pPr>
                  <w:r>
                    <w:t>50</w:t>
                  </w:r>
                </w:p>
              </w:tc>
              <w:tc>
                <w:tcPr>
                  <w:tcW w:w="545" w:type="pct"/>
                  <w:tcBorders>
                    <w:tl2br w:val="nil"/>
                    <w:tr2bl w:val="nil"/>
                  </w:tcBorders>
                  <w:vAlign w:val="center"/>
                </w:tcPr>
                <w:p w14:paraId="364454A2">
                  <w:pPr>
                    <w:pStyle w:val="30"/>
                  </w:pPr>
                  <w:r>
                    <w:t>60</w:t>
                  </w:r>
                </w:p>
              </w:tc>
              <w:tc>
                <w:tcPr>
                  <w:tcW w:w="549" w:type="pct"/>
                  <w:tcBorders>
                    <w:tl2br w:val="nil"/>
                    <w:tr2bl w:val="nil"/>
                  </w:tcBorders>
                  <w:vAlign w:val="center"/>
                </w:tcPr>
                <w:p w14:paraId="766FAD3B">
                  <w:pPr>
                    <w:pStyle w:val="30"/>
                  </w:pPr>
                  <w:r>
                    <w:t>70</w:t>
                  </w:r>
                </w:p>
              </w:tc>
            </w:tr>
            <w:tr w14:paraId="2EB77D23">
              <w:tblPrEx>
                <w:tblBorders>
                  <w:top w:val="single" w:color="231F20" w:sz="8" w:space="0"/>
                  <w:left w:val="none" w:color="auto" w:sz="0" w:space="0"/>
                  <w:bottom w:val="single" w:color="231F20" w:sz="8"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401" w:hRule="atLeast"/>
                <w:jc w:val="center"/>
              </w:trPr>
              <w:tc>
                <w:tcPr>
                  <w:tcW w:w="1171" w:type="pct"/>
                  <w:tcBorders>
                    <w:tl2br w:val="nil"/>
                    <w:tr2bl w:val="nil"/>
                  </w:tcBorders>
                  <w:vAlign w:val="center"/>
                </w:tcPr>
                <w:p w14:paraId="307DB062">
                  <w:pPr>
                    <w:pStyle w:val="30"/>
                  </w:pPr>
                  <w:r>
                    <w:t>沉降速度(m/s)</w:t>
                  </w:r>
                </w:p>
              </w:tc>
              <w:tc>
                <w:tcPr>
                  <w:tcW w:w="545" w:type="pct"/>
                  <w:tcBorders>
                    <w:tl2br w:val="nil"/>
                    <w:tr2bl w:val="nil"/>
                  </w:tcBorders>
                  <w:vAlign w:val="center"/>
                </w:tcPr>
                <w:p w14:paraId="60E4722C">
                  <w:pPr>
                    <w:pStyle w:val="30"/>
                  </w:pPr>
                  <w:r>
                    <w:t>0.003</w:t>
                  </w:r>
                </w:p>
              </w:tc>
              <w:tc>
                <w:tcPr>
                  <w:tcW w:w="547" w:type="pct"/>
                  <w:tcBorders>
                    <w:tl2br w:val="nil"/>
                    <w:tr2bl w:val="nil"/>
                  </w:tcBorders>
                  <w:vAlign w:val="center"/>
                </w:tcPr>
                <w:p w14:paraId="36FCE245">
                  <w:pPr>
                    <w:pStyle w:val="30"/>
                  </w:pPr>
                  <w:r>
                    <w:t>0.012</w:t>
                  </w:r>
                </w:p>
              </w:tc>
              <w:tc>
                <w:tcPr>
                  <w:tcW w:w="545" w:type="pct"/>
                  <w:tcBorders>
                    <w:tl2br w:val="nil"/>
                    <w:tr2bl w:val="nil"/>
                  </w:tcBorders>
                  <w:vAlign w:val="center"/>
                </w:tcPr>
                <w:p w14:paraId="1E813434">
                  <w:pPr>
                    <w:pStyle w:val="30"/>
                  </w:pPr>
                  <w:r>
                    <w:t>0.027</w:t>
                  </w:r>
                </w:p>
              </w:tc>
              <w:tc>
                <w:tcPr>
                  <w:tcW w:w="564" w:type="pct"/>
                  <w:tcBorders>
                    <w:tl2br w:val="nil"/>
                    <w:tr2bl w:val="nil"/>
                  </w:tcBorders>
                  <w:vAlign w:val="center"/>
                </w:tcPr>
                <w:p w14:paraId="5DBC7F23">
                  <w:pPr>
                    <w:pStyle w:val="30"/>
                  </w:pPr>
                  <w:r>
                    <w:t>0.048</w:t>
                  </w:r>
                </w:p>
              </w:tc>
              <w:tc>
                <w:tcPr>
                  <w:tcW w:w="529" w:type="pct"/>
                  <w:tcBorders>
                    <w:tl2br w:val="nil"/>
                    <w:tr2bl w:val="nil"/>
                  </w:tcBorders>
                  <w:vAlign w:val="center"/>
                </w:tcPr>
                <w:p w14:paraId="23665029">
                  <w:pPr>
                    <w:pStyle w:val="30"/>
                  </w:pPr>
                  <w:r>
                    <w:t>0.075</w:t>
                  </w:r>
                </w:p>
              </w:tc>
              <w:tc>
                <w:tcPr>
                  <w:tcW w:w="545" w:type="pct"/>
                  <w:tcBorders>
                    <w:tl2br w:val="nil"/>
                    <w:tr2bl w:val="nil"/>
                  </w:tcBorders>
                  <w:vAlign w:val="center"/>
                </w:tcPr>
                <w:p w14:paraId="271E04B2">
                  <w:pPr>
                    <w:pStyle w:val="30"/>
                  </w:pPr>
                  <w:r>
                    <w:t>0.108</w:t>
                  </w:r>
                </w:p>
              </w:tc>
              <w:tc>
                <w:tcPr>
                  <w:tcW w:w="549" w:type="pct"/>
                  <w:tcBorders>
                    <w:tl2br w:val="nil"/>
                    <w:tr2bl w:val="nil"/>
                  </w:tcBorders>
                  <w:vAlign w:val="center"/>
                </w:tcPr>
                <w:p w14:paraId="45A6E54C">
                  <w:pPr>
                    <w:pStyle w:val="30"/>
                  </w:pPr>
                  <w:r>
                    <w:t>0.147</w:t>
                  </w:r>
                </w:p>
              </w:tc>
            </w:tr>
            <w:tr w14:paraId="07A5573D">
              <w:tblPrEx>
                <w:tblBorders>
                  <w:top w:val="single" w:color="231F20" w:sz="8" w:space="0"/>
                  <w:left w:val="none" w:color="auto" w:sz="0" w:space="0"/>
                  <w:bottom w:val="single" w:color="231F20" w:sz="8"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401" w:hRule="atLeast"/>
                <w:jc w:val="center"/>
              </w:trPr>
              <w:tc>
                <w:tcPr>
                  <w:tcW w:w="1171" w:type="pct"/>
                  <w:tcBorders>
                    <w:tl2br w:val="nil"/>
                    <w:tr2bl w:val="nil"/>
                  </w:tcBorders>
                  <w:vAlign w:val="center"/>
                </w:tcPr>
                <w:p w14:paraId="50486A1A">
                  <w:pPr>
                    <w:pStyle w:val="30"/>
                  </w:pPr>
                  <w:r>
                    <w:t>粉尘粒径(μm)</w:t>
                  </w:r>
                </w:p>
              </w:tc>
              <w:tc>
                <w:tcPr>
                  <w:tcW w:w="545" w:type="pct"/>
                  <w:tcBorders>
                    <w:tl2br w:val="nil"/>
                    <w:tr2bl w:val="nil"/>
                  </w:tcBorders>
                  <w:vAlign w:val="center"/>
                </w:tcPr>
                <w:p w14:paraId="051B3EBE">
                  <w:pPr>
                    <w:pStyle w:val="30"/>
                  </w:pPr>
                  <w:r>
                    <w:t>80</w:t>
                  </w:r>
                </w:p>
              </w:tc>
              <w:tc>
                <w:tcPr>
                  <w:tcW w:w="547" w:type="pct"/>
                  <w:tcBorders>
                    <w:tl2br w:val="nil"/>
                    <w:tr2bl w:val="nil"/>
                  </w:tcBorders>
                  <w:vAlign w:val="center"/>
                </w:tcPr>
                <w:p w14:paraId="0142A398">
                  <w:pPr>
                    <w:pStyle w:val="30"/>
                  </w:pPr>
                  <w:r>
                    <w:t>90</w:t>
                  </w:r>
                </w:p>
              </w:tc>
              <w:tc>
                <w:tcPr>
                  <w:tcW w:w="545" w:type="pct"/>
                  <w:tcBorders>
                    <w:tl2br w:val="nil"/>
                    <w:tr2bl w:val="nil"/>
                  </w:tcBorders>
                  <w:vAlign w:val="center"/>
                </w:tcPr>
                <w:p w14:paraId="748AA3E8">
                  <w:pPr>
                    <w:pStyle w:val="30"/>
                  </w:pPr>
                  <w:r>
                    <w:t>100</w:t>
                  </w:r>
                </w:p>
              </w:tc>
              <w:tc>
                <w:tcPr>
                  <w:tcW w:w="564" w:type="pct"/>
                  <w:tcBorders>
                    <w:tl2br w:val="nil"/>
                    <w:tr2bl w:val="nil"/>
                  </w:tcBorders>
                  <w:vAlign w:val="center"/>
                </w:tcPr>
                <w:p w14:paraId="05BEE323">
                  <w:pPr>
                    <w:pStyle w:val="30"/>
                  </w:pPr>
                  <w:r>
                    <w:t>150</w:t>
                  </w:r>
                </w:p>
              </w:tc>
              <w:tc>
                <w:tcPr>
                  <w:tcW w:w="529" w:type="pct"/>
                  <w:tcBorders>
                    <w:tl2br w:val="nil"/>
                    <w:tr2bl w:val="nil"/>
                  </w:tcBorders>
                  <w:vAlign w:val="center"/>
                </w:tcPr>
                <w:p w14:paraId="071C6B4B">
                  <w:pPr>
                    <w:pStyle w:val="30"/>
                  </w:pPr>
                  <w:r>
                    <w:t>200</w:t>
                  </w:r>
                </w:p>
              </w:tc>
              <w:tc>
                <w:tcPr>
                  <w:tcW w:w="545" w:type="pct"/>
                  <w:tcBorders>
                    <w:tl2br w:val="nil"/>
                    <w:tr2bl w:val="nil"/>
                  </w:tcBorders>
                  <w:vAlign w:val="center"/>
                </w:tcPr>
                <w:p w14:paraId="684CCAD9">
                  <w:pPr>
                    <w:pStyle w:val="30"/>
                  </w:pPr>
                  <w:r>
                    <w:t>250</w:t>
                  </w:r>
                </w:p>
              </w:tc>
              <w:tc>
                <w:tcPr>
                  <w:tcW w:w="549" w:type="pct"/>
                  <w:tcBorders>
                    <w:tl2br w:val="nil"/>
                    <w:tr2bl w:val="nil"/>
                  </w:tcBorders>
                  <w:vAlign w:val="center"/>
                </w:tcPr>
                <w:p w14:paraId="650EE648">
                  <w:pPr>
                    <w:pStyle w:val="30"/>
                  </w:pPr>
                  <w:r>
                    <w:t>350</w:t>
                  </w:r>
                </w:p>
              </w:tc>
            </w:tr>
            <w:tr w14:paraId="7F8D9EC6">
              <w:tblPrEx>
                <w:tblBorders>
                  <w:top w:val="single" w:color="231F20" w:sz="8" w:space="0"/>
                  <w:left w:val="none" w:color="auto" w:sz="0" w:space="0"/>
                  <w:bottom w:val="single" w:color="231F20" w:sz="8"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404" w:hRule="atLeast"/>
                <w:jc w:val="center"/>
              </w:trPr>
              <w:tc>
                <w:tcPr>
                  <w:tcW w:w="1171" w:type="pct"/>
                  <w:tcBorders>
                    <w:tl2br w:val="nil"/>
                    <w:tr2bl w:val="nil"/>
                  </w:tcBorders>
                  <w:vAlign w:val="center"/>
                </w:tcPr>
                <w:p w14:paraId="6D107508">
                  <w:pPr>
                    <w:pStyle w:val="30"/>
                  </w:pPr>
                  <w:r>
                    <w:t>沉降速度(m/s)</w:t>
                  </w:r>
                </w:p>
              </w:tc>
              <w:tc>
                <w:tcPr>
                  <w:tcW w:w="545" w:type="pct"/>
                  <w:tcBorders>
                    <w:tl2br w:val="nil"/>
                    <w:tr2bl w:val="nil"/>
                  </w:tcBorders>
                  <w:vAlign w:val="center"/>
                </w:tcPr>
                <w:p w14:paraId="2B66A4C0">
                  <w:pPr>
                    <w:pStyle w:val="30"/>
                  </w:pPr>
                  <w:r>
                    <w:t>0.158</w:t>
                  </w:r>
                </w:p>
              </w:tc>
              <w:tc>
                <w:tcPr>
                  <w:tcW w:w="547" w:type="pct"/>
                  <w:tcBorders>
                    <w:tl2br w:val="nil"/>
                    <w:tr2bl w:val="nil"/>
                  </w:tcBorders>
                  <w:vAlign w:val="center"/>
                </w:tcPr>
                <w:p w14:paraId="1BCB2282">
                  <w:pPr>
                    <w:pStyle w:val="30"/>
                  </w:pPr>
                  <w:r>
                    <w:t>0.170</w:t>
                  </w:r>
                </w:p>
              </w:tc>
              <w:tc>
                <w:tcPr>
                  <w:tcW w:w="545" w:type="pct"/>
                  <w:tcBorders>
                    <w:tl2br w:val="nil"/>
                    <w:tr2bl w:val="nil"/>
                  </w:tcBorders>
                  <w:vAlign w:val="center"/>
                </w:tcPr>
                <w:p w14:paraId="5AF79703">
                  <w:pPr>
                    <w:pStyle w:val="30"/>
                  </w:pPr>
                  <w:r>
                    <w:t>0.182</w:t>
                  </w:r>
                </w:p>
              </w:tc>
              <w:tc>
                <w:tcPr>
                  <w:tcW w:w="564" w:type="pct"/>
                  <w:tcBorders>
                    <w:tl2br w:val="nil"/>
                    <w:tr2bl w:val="nil"/>
                  </w:tcBorders>
                  <w:vAlign w:val="center"/>
                </w:tcPr>
                <w:p w14:paraId="67693A5C">
                  <w:pPr>
                    <w:pStyle w:val="30"/>
                  </w:pPr>
                  <w:r>
                    <w:t>0.239</w:t>
                  </w:r>
                </w:p>
              </w:tc>
              <w:tc>
                <w:tcPr>
                  <w:tcW w:w="529" w:type="pct"/>
                  <w:tcBorders>
                    <w:tl2br w:val="nil"/>
                    <w:tr2bl w:val="nil"/>
                  </w:tcBorders>
                  <w:vAlign w:val="center"/>
                </w:tcPr>
                <w:p w14:paraId="4AF0C751">
                  <w:pPr>
                    <w:pStyle w:val="30"/>
                  </w:pPr>
                  <w:r>
                    <w:t>0.804</w:t>
                  </w:r>
                </w:p>
              </w:tc>
              <w:tc>
                <w:tcPr>
                  <w:tcW w:w="545" w:type="pct"/>
                  <w:tcBorders>
                    <w:tl2br w:val="nil"/>
                    <w:tr2bl w:val="nil"/>
                  </w:tcBorders>
                  <w:vAlign w:val="center"/>
                </w:tcPr>
                <w:p w14:paraId="121B5DD9">
                  <w:pPr>
                    <w:pStyle w:val="30"/>
                  </w:pPr>
                  <w:r>
                    <w:t>1.005</w:t>
                  </w:r>
                </w:p>
              </w:tc>
              <w:tc>
                <w:tcPr>
                  <w:tcW w:w="549" w:type="pct"/>
                  <w:tcBorders>
                    <w:tl2br w:val="nil"/>
                    <w:tr2bl w:val="nil"/>
                  </w:tcBorders>
                  <w:vAlign w:val="center"/>
                </w:tcPr>
                <w:p w14:paraId="3EEC0521">
                  <w:pPr>
                    <w:pStyle w:val="30"/>
                  </w:pPr>
                  <w:r>
                    <w:t>1.829</w:t>
                  </w:r>
                </w:p>
              </w:tc>
            </w:tr>
          </w:tbl>
          <w:p w14:paraId="7710FF52">
            <w:pPr>
              <w:ind w:firstLine="480"/>
            </w:pPr>
          </w:p>
          <w:p w14:paraId="621FF47C">
            <w:pPr>
              <w:ind w:firstLine="480"/>
            </w:pPr>
            <w:r>
              <w:t>从上表可知，粉尘的沉降速度随着粒径的增大而迅速增大，当粒径大于250μm时，主要影响范围在扬尘产生点下风向近距离范围内，而对外环境影响较大的是一些粒径微小的粉尘。类比其它铁路项目的监测资料，在采取铺设密目网等措施防护的情况下，施工场界外下风向扬尘浓度最大点扬尘浓度为0.101~0.133mg/m</w:t>
            </w:r>
            <w:r>
              <w:rPr>
                <w:vertAlign w:val="superscript"/>
              </w:rPr>
              <w:t>3</w:t>
            </w:r>
            <w:r>
              <w:t>。</w:t>
            </w:r>
          </w:p>
          <w:p w14:paraId="7EF31116">
            <w:pPr>
              <w:ind w:firstLine="480"/>
            </w:pPr>
            <w:r>
              <w:t>（2）施工机械尾气</w:t>
            </w:r>
          </w:p>
          <w:p w14:paraId="4DE3633D">
            <w:pPr>
              <w:ind w:firstLine="480"/>
            </w:pPr>
            <w:r>
              <w:t>机动车尾气污染源主要有施工机械、运输车辆等，其源强大小主要取决于施工机械维护保养、施工车辆的数量及使用密度。机动车尾气属无组织排放，主要污染物是NO</w:t>
            </w:r>
            <w:r>
              <w:rPr>
                <w:vertAlign w:val="subscript"/>
              </w:rPr>
              <w:t>2</w:t>
            </w:r>
            <w:r>
              <w:t>、CO、NMHC。平均车速15km/h时耗油量为40L/100km。一般情况下，由于施工车辆的流动性、阶段性和间断性的特点，施工场地平均单位时间排放的尾气污染物总量并不大。</w:t>
            </w:r>
          </w:p>
          <w:p w14:paraId="27630AE1">
            <w:pPr>
              <w:ind w:firstLine="480"/>
              <w:rPr>
                <w:color w:val="auto"/>
              </w:rPr>
            </w:pPr>
            <w:r>
              <w:rPr>
                <w:color w:val="auto"/>
              </w:rPr>
              <w:t>4、水环境影响分析</w:t>
            </w:r>
          </w:p>
          <w:p w14:paraId="1DA52CE9">
            <w:pPr>
              <w:ind w:firstLine="480"/>
              <w:rPr>
                <w:color w:val="auto"/>
              </w:rPr>
            </w:pPr>
            <w:r>
              <w:rPr>
                <w:color w:val="auto"/>
              </w:rPr>
              <w:t>本项目施工产生的施工废水主要为施工人员生活污水、桥梁等工程施工废水、车辆冲洗废水等。</w:t>
            </w:r>
          </w:p>
          <w:p w14:paraId="64B8B1F2">
            <w:pPr>
              <w:ind w:firstLine="480"/>
              <w:rPr>
                <w:color w:val="auto"/>
              </w:rPr>
            </w:pPr>
            <w:r>
              <w:rPr>
                <w:color w:val="auto"/>
              </w:rPr>
              <w:t>（1）施工人员生活污水</w:t>
            </w:r>
          </w:p>
          <w:p w14:paraId="1C8F7FCF">
            <w:pPr>
              <w:ind w:firstLine="480"/>
              <w:rPr>
                <w:color w:val="auto"/>
              </w:rPr>
            </w:pPr>
            <w:r>
              <w:rPr>
                <w:color w:val="auto"/>
              </w:rPr>
              <w:t>施工人员生活污水主要污染物为SS、COD等。由于施工人员居住、生活简单，生活污水排放量较小，类比其它铁路工程，一般施工营地施工人员约</w:t>
            </w:r>
            <w:r>
              <w:rPr>
                <w:rFonts w:hint="eastAsia"/>
                <w:color w:val="auto"/>
              </w:rPr>
              <w:t>45</w:t>
            </w:r>
            <w:r>
              <w:rPr>
                <w:color w:val="auto"/>
              </w:rPr>
              <w:t>人，以施工人员生活用水量</w:t>
            </w:r>
            <w:r>
              <w:rPr>
                <w:rFonts w:hint="eastAsia"/>
                <w:color w:val="auto"/>
              </w:rPr>
              <w:t>80</w:t>
            </w:r>
            <w:r>
              <w:rPr>
                <w:color w:val="auto"/>
              </w:rPr>
              <w:t>L/d人。</w:t>
            </w:r>
            <w:r>
              <w:rPr>
                <w:rFonts w:hint="eastAsia"/>
                <w:color w:val="auto"/>
              </w:rPr>
              <w:t>则用水量3.6t/d，排水量按80%计，产生废水量为2.88t/d，生活污水依托附近村庄排入防渗旱厕，对周围地表水环境可以被接受。</w:t>
            </w:r>
          </w:p>
          <w:p w14:paraId="4826FB72">
            <w:pPr>
              <w:ind w:firstLine="480"/>
              <w:rPr>
                <w:color w:val="auto"/>
              </w:rPr>
            </w:pPr>
            <w:r>
              <w:rPr>
                <w:color w:val="auto"/>
              </w:rPr>
              <w:t>（2）其它废水</w:t>
            </w:r>
          </w:p>
          <w:p w14:paraId="1A8916B0">
            <w:pPr>
              <w:ind w:firstLine="480"/>
              <w:rPr>
                <w:color w:val="auto"/>
              </w:rPr>
            </w:pPr>
            <w:r>
              <w:rPr>
                <w:color w:val="auto"/>
              </w:rPr>
              <w:t>车辆冲洗废水，主要污染物为SS等；含油生产废水主要来自于施工机械维修，主要污染物为石油类等。</w:t>
            </w:r>
            <w:r>
              <w:rPr>
                <w:rFonts w:hint="eastAsia"/>
                <w:color w:val="auto"/>
              </w:rPr>
              <w:t>生产废水通过隔油沉淀处理后洒水降尘。</w:t>
            </w:r>
          </w:p>
          <w:p w14:paraId="1838225A">
            <w:pPr>
              <w:ind w:firstLine="480"/>
              <w:rPr>
                <w:color w:val="0000FF"/>
              </w:rPr>
            </w:pPr>
            <w:r>
              <w:rPr>
                <w:rFonts w:hint="eastAsia"/>
                <w:color w:val="auto"/>
              </w:rPr>
              <w:t>本项目周边无地表水分布，不存在水力联系，因此，本项目施工过程采取以上废水处理措施后对当地水环境质量影响较小。</w:t>
            </w:r>
          </w:p>
          <w:p w14:paraId="3C8A83F4">
            <w:pPr>
              <w:ind w:firstLine="480"/>
            </w:pPr>
            <w:r>
              <w:t>5、固体废物影响分析</w:t>
            </w:r>
          </w:p>
          <w:p w14:paraId="28F4F664">
            <w:pPr>
              <w:ind w:firstLine="480"/>
            </w:pPr>
            <w:r>
              <w:t>本项目施工固体废弃物主要为建筑废料、施工人员的生活</w:t>
            </w:r>
            <w:r>
              <w:rPr>
                <w:rFonts w:hint="eastAsia"/>
              </w:rPr>
              <w:t>垃圾。</w:t>
            </w:r>
          </w:p>
          <w:p w14:paraId="589D307F">
            <w:pPr>
              <w:ind w:firstLine="480"/>
            </w:pPr>
            <w:r>
              <w:t>（1）建筑废料</w:t>
            </w:r>
          </w:p>
          <w:p w14:paraId="215A4DA2">
            <w:pPr>
              <w:ind w:firstLine="480"/>
              <w:rPr>
                <w:rFonts w:hint="default"/>
                <w:color w:val="auto"/>
                <w:lang w:val="en-US"/>
              </w:rPr>
            </w:pPr>
            <w:r>
              <w:rPr>
                <w:rFonts w:hint="eastAsia"/>
                <w:color w:val="auto"/>
                <w:lang w:val="en-US" w:eastAsia="zh-CN"/>
              </w:rPr>
              <w:t>施工期产生的建筑废弃材料和工程弃土，建筑废弃材料主要为施工产生的碎砖石、废混凝土，项目建筑垃圾经收集后堆放于指定地点，可再生利用的回收利用，部分不能回收利用的建筑垃圾去往填埋场。</w:t>
            </w:r>
          </w:p>
          <w:p w14:paraId="2060FCFF">
            <w:pPr>
              <w:ind w:firstLine="480"/>
              <w:rPr>
                <w:color w:val="auto"/>
              </w:rPr>
            </w:pPr>
            <w:r>
              <w:rPr>
                <w:color w:val="auto"/>
              </w:rPr>
              <w:t>（2）施工人员生活垃圾</w:t>
            </w:r>
          </w:p>
          <w:p w14:paraId="43D67E81">
            <w:pPr>
              <w:ind w:firstLine="480"/>
            </w:pPr>
            <w:r>
              <w:rPr>
                <w:color w:val="auto"/>
              </w:rPr>
              <w:t>施工人员生活垃圾是由施工作业人员在日常生活中</w:t>
            </w:r>
            <w:r>
              <w:t>所产生的废弃物。类比调查其他铁路施工期施工人员生活垃圾产生情况，施工人员生活垃圾产生量为0.3kg/人·天，一般施工营地施工人员约</w:t>
            </w:r>
            <w:r>
              <w:rPr>
                <w:rFonts w:hint="eastAsia"/>
              </w:rPr>
              <w:t>45</w:t>
            </w:r>
            <w:r>
              <w:t>人，则施工营地生活垃圾排放量通常为</w:t>
            </w:r>
            <w:r>
              <w:rPr>
                <w:rFonts w:hint="eastAsia"/>
              </w:rPr>
              <w:t>13.5</w:t>
            </w:r>
            <w:r>
              <w:t>kg/d。</w:t>
            </w:r>
          </w:p>
          <w:p w14:paraId="16BFF9BA">
            <w:pPr>
              <w:ind w:firstLine="480"/>
            </w:pPr>
            <w:r>
              <w:t>施工期施工人员生活垃圾有机质丰富，如不妥善处理，及时清除，容易滋生各种病虫害，影响市容、环境卫生、危及人群（市民和施工人员）的身体健康。</w:t>
            </w:r>
          </w:p>
          <w:p w14:paraId="5DDC0665">
            <w:pPr>
              <w:ind w:firstLine="480"/>
              <w:rPr>
                <w:bCs/>
              </w:rPr>
            </w:pPr>
            <w:r>
              <w:t>总体来看，本项目施工期固体废物的处置率可达100%，对环境影响很小。</w:t>
            </w:r>
          </w:p>
        </w:tc>
      </w:tr>
      <w:tr w14:paraId="4F93E6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653" w:type="pct"/>
            <w:tcMar>
              <w:left w:w="28" w:type="dxa"/>
              <w:right w:w="28" w:type="dxa"/>
            </w:tcMar>
            <w:vAlign w:val="center"/>
          </w:tcPr>
          <w:p w14:paraId="3C6EA0B4">
            <w:pPr>
              <w:pStyle w:val="21"/>
              <w:adjustRightInd w:val="0"/>
              <w:snapToGrid w:val="0"/>
              <w:spacing w:before="0" w:beforeAutospacing="0" w:after="0" w:afterAutospacing="0"/>
              <w:ind w:firstLine="0" w:firstLineChars="0"/>
              <w:jc w:val="center"/>
              <w:rPr>
                <w:rFonts w:ascii="Times New Roman" w:hAnsi="Times New Roman"/>
                <w:bCs/>
                <w:kern w:val="2"/>
              </w:rPr>
            </w:pPr>
            <w:r>
              <w:rPr>
                <w:rFonts w:ascii="Times New Roman" w:hAnsi="Times New Roman"/>
                <w:bCs/>
                <w:spacing w:val="10"/>
                <w:kern w:val="2"/>
              </w:rPr>
              <w:t>运营期生态环境影响分析</w:t>
            </w:r>
          </w:p>
        </w:tc>
        <w:tc>
          <w:tcPr>
            <w:tcW w:w="4346" w:type="pct"/>
          </w:tcPr>
          <w:p w14:paraId="7B17DF5F">
            <w:pPr>
              <w:ind w:firstLine="482"/>
              <w:rPr>
                <w:b/>
                <w:bCs/>
                <w:color w:val="auto"/>
              </w:rPr>
            </w:pPr>
            <w:r>
              <w:rPr>
                <w:rFonts w:hint="eastAsia"/>
                <w:b/>
                <w:bCs/>
                <w:color w:val="auto"/>
              </w:rPr>
              <w:t>一、大气环境影响分析</w:t>
            </w:r>
          </w:p>
          <w:p w14:paraId="5DE13260">
            <w:pPr>
              <w:ind w:firstLine="480"/>
              <w:rPr>
                <w:color w:val="auto"/>
              </w:rPr>
            </w:pPr>
            <w:r>
              <w:rPr>
                <w:rFonts w:hint="eastAsia"/>
                <w:color w:val="auto"/>
              </w:rPr>
              <w:t>项目大气污染源主要货物卸车、堆场、道路等产生的粉尘及内燃机烟气。</w:t>
            </w:r>
          </w:p>
          <w:p w14:paraId="23567840">
            <w:pPr>
              <w:ind w:firstLine="480"/>
              <w:rPr>
                <w:color w:val="auto"/>
              </w:rPr>
            </w:pPr>
            <w:r>
              <w:rPr>
                <w:rFonts w:hint="eastAsia"/>
                <w:color w:val="auto"/>
              </w:rPr>
              <w:t>（1）内燃机烟气</w:t>
            </w:r>
          </w:p>
          <w:p w14:paraId="474FEDE4">
            <w:pPr>
              <w:ind w:firstLine="480"/>
              <w:rPr>
                <w:color w:val="auto"/>
              </w:rPr>
            </w:pPr>
            <w:r>
              <w:rPr>
                <w:rFonts w:hint="eastAsia"/>
                <w:color w:val="auto"/>
              </w:rPr>
              <w:t>项目实施后，列车采用内燃机车牵引，内燃机车燃油为柴油，将排放一定的烟尘、SO</w:t>
            </w:r>
            <w:r>
              <w:rPr>
                <w:rFonts w:hint="eastAsia"/>
                <w:color w:val="auto"/>
                <w:vertAlign w:val="subscript"/>
              </w:rPr>
              <w:t>2</w:t>
            </w:r>
            <w:r>
              <w:rPr>
                <w:rFonts w:hint="eastAsia"/>
                <w:color w:val="auto"/>
              </w:rPr>
              <w:t>、NOx等。</w:t>
            </w:r>
          </w:p>
          <w:p w14:paraId="606617F9">
            <w:pPr>
              <w:ind w:firstLine="480"/>
              <w:rPr>
                <w:color w:val="auto"/>
              </w:rPr>
            </w:pPr>
            <w:r>
              <w:rPr>
                <w:rFonts w:hint="eastAsia"/>
                <w:color w:val="auto"/>
              </w:rPr>
              <w:t>本项目采用内燃机车污染物排放量系数法进行计算，计算公式如下：</w:t>
            </w:r>
          </w:p>
          <w:p w14:paraId="47B2849F">
            <w:pPr>
              <w:ind w:firstLine="0" w:firstLineChars="0"/>
              <w:jc w:val="center"/>
              <w:rPr>
                <w:color w:val="auto"/>
              </w:rPr>
            </w:pPr>
            <w:r>
              <w:rPr>
                <w:rFonts w:hint="eastAsia"/>
                <w:i/>
                <w:iCs/>
                <w:color w:val="auto"/>
              </w:rPr>
              <w:t>Wi=</w:t>
            </w:r>
            <w:r>
              <w:rPr>
                <w:i/>
                <w:iCs/>
                <w:color w:val="auto"/>
              </w:rPr>
              <w:t>Ʃ</w:t>
            </w:r>
            <w:r>
              <w:rPr>
                <w:rFonts w:hint="eastAsia"/>
                <w:i/>
                <w:iCs/>
                <w:color w:val="auto"/>
              </w:rPr>
              <w:t>G×E×L×N</w:t>
            </w:r>
            <w:r>
              <w:rPr>
                <w:rFonts w:hint="eastAsia"/>
                <w:color w:val="auto"/>
              </w:rPr>
              <w:t>×10</w:t>
            </w:r>
            <w:r>
              <w:rPr>
                <w:rFonts w:hint="eastAsia"/>
                <w:color w:val="auto"/>
                <w:vertAlign w:val="superscript"/>
              </w:rPr>
              <w:t>-3</w:t>
            </w:r>
          </w:p>
          <w:p w14:paraId="2696A772">
            <w:pPr>
              <w:ind w:firstLine="0" w:firstLineChars="0"/>
              <w:jc w:val="center"/>
              <w:rPr>
                <w:color w:val="auto"/>
                <w:vertAlign w:val="superscript"/>
              </w:rPr>
            </w:pPr>
            <w:r>
              <w:rPr>
                <w:rFonts w:hint="eastAsia"/>
                <w:i/>
                <w:iCs/>
                <w:color w:val="auto"/>
              </w:rPr>
              <w:t>Qi=Ki×Wi</w:t>
            </w:r>
            <w:r>
              <w:rPr>
                <w:rFonts w:hint="eastAsia"/>
                <w:color w:val="auto"/>
              </w:rPr>
              <w:t>×300×10</w:t>
            </w:r>
            <w:r>
              <w:rPr>
                <w:rFonts w:hint="eastAsia"/>
                <w:color w:val="auto"/>
                <w:vertAlign w:val="superscript"/>
              </w:rPr>
              <w:t>-3</w:t>
            </w:r>
          </w:p>
          <w:p w14:paraId="7CA29887">
            <w:pPr>
              <w:ind w:firstLine="480"/>
              <w:rPr>
                <w:color w:val="auto"/>
              </w:rPr>
            </w:pPr>
            <w:r>
              <w:rPr>
                <w:rFonts w:hint="eastAsia"/>
                <w:color w:val="auto"/>
              </w:rPr>
              <w:t>式中：Qi—第i种污染物排放量（t/a）；</w:t>
            </w:r>
          </w:p>
          <w:p w14:paraId="04C26443">
            <w:pPr>
              <w:ind w:firstLine="480"/>
              <w:rPr>
                <w:color w:val="auto"/>
              </w:rPr>
            </w:pPr>
            <w:r>
              <w:rPr>
                <w:rFonts w:hint="eastAsia"/>
                <w:color w:val="auto"/>
              </w:rPr>
              <w:t>G—内燃机车牵引定数（t），2500t；</w:t>
            </w:r>
          </w:p>
          <w:p w14:paraId="308D2380">
            <w:pPr>
              <w:ind w:firstLine="480"/>
              <w:rPr>
                <w:color w:val="auto"/>
              </w:rPr>
            </w:pPr>
            <w:r>
              <w:rPr>
                <w:rFonts w:hint="eastAsia"/>
                <w:color w:val="auto"/>
              </w:rPr>
              <w:t>L—机车走行距离（km），本项目有效长为301m，313m；</w:t>
            </w:r>
          </w:p>
          <w:p w14:paraId="3197B214">
            <w:pPr>
              <w:ind w:firstLine="480"/>
              <w:rPr>
                <w:color w:val="auto"/>
              </w:rPr>
            </w:pPr>
            <w:r>
              <w:rPr>
                <w:rFonts w:hint="eastAsia"/>
                <w:color w:val="auto"/>
              </w:rPr>
              <w:t>N—内燃机车列数（列/d），1对/日；</w:t>
            </w:r>
          </w:p>
          <w:p w14:paraId="2397752C">
            <w:pPr>
              <w:ind w:firstLine="480"/>
              <w:rPr>
                <w:color w:val="auto"/>
              </w:rPr>
            </w:pPr>
            <w:r>
              <w:rPr>
                <w:rFonts w:hint="eastAsia"/>
                <w:color w:val="auto"/>
              </w:rPr>
              <w:t>E—单列内燃机车单位能耗（kg/104t.km），30kg/104t.km；</w:t>
            </w:r>
          </w:p>
          <w:p w14:paraId="0476CC8A">
            <w:pPr>
              <w:ind w:firstLine="480"/>
              <w:rPr>
                <w:color w:val="auto"/>
              </w:rPr>
            </w:pPr>
            <w:r>
              <w:rPr>
                <w:rFonts w:hint="eastAsia"/>
                <w:color w:val="auto"/>
              </w:rPr>
              <w:t>Wi—内燃调机车燃料消耗量（t/d）；</w:t>
            </w:r>
          </w:p>
          <w:p w14:paraId="5C917C69">
            <w:pPr>
              <w:ind w:firstLine="480"/>
              <w:rPr>
                <w:color w:val="auto"/>
              </w:rPr>
            </w:pPr>
            <w:r>
              <w:rPr>
                <w:rFonts w:hint="eastAsia"/>
                <w:color w:val="auto"/>
              </w:rPr>
              <w:t>Ki—内燃机车第i种污染物排放系数（g/kg）。</w:t>
            </w:r>
          </w:p>
          <w:p w14:paraId="545E9D69">
            <w:pPr>
              <w:pStyle w:val="33"/>
              <w:rPr>
                <w:color w:val="auto"/>
              </w:rPr>
            </w:pPr>
            <w:r>
              <w:rPr>
                <w:rFonts w:hint="eastAsia"/>
                <w:color w:val="auto"/>
              </w:rPr>
              <w:t>表4-6 内燃机车污染物排放系数单位：kg/t</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3"/>
              <w:gridCol w:w="1816"/>
              <w:gridCol w:w="1816"/>
              <w:gridCol w:w="1816"/>
            </w:tblGrid>
            <w:tr w14:paraId="4CD9E9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tcBorders>
                    <w:tl2br w:val="nil"/>
                    <w:tr2bl w:val="nil"/>
                  </w:tcBorders>
                  <w:vAlign w:val="center"/>
                </w:tcPr>
                <w:p w14:paraId="4CC9BA1B">
                  <w:pPr>
                    <w:pStyle w:val="30"/>
                    <w:rPr>
                      <w:color w:val="auto"/>
                    </w:rPr>
                  </w:pPr>
                  <w:r>
                    <w:rPr>
                      <w:rFonts w:hint="eastAsia"/>
                      <w:color w:val="auto"/>
                    </w:rPr>
                    <w:t>项目</w:t>
                  </w:r>
                </w:p>
              </w:tc>
              <w:tc>
                <w:tcPr>
                  <w:tcW w:w="1250" w:type="pct"/>
                  <w:tcBorders>
                    <w:tl2br w:val="nil"/>
                    <w:tr2bl w:val="nil"/>
                  </w:tcBorders>
                  <w:vAlign w:val="center"/>
                </w:tcPr>
                <w:p w14:paraId="71F58C66">
                  <w:pPr>
                    <w:pStyle w:val="30"/>
                    <w:rPr>
                      <w:color w:val="auto"/>
                    </w:rPr>
                  </w:pPr>
                  <w:r>
                    <w:rPr>
                      <w:rFonts w:hint="eastAsia"/>
                      <w:color w:val="auto"/>
                    </w:rPr>
                    <w:t>烟尘（颗粒物）</w:t>
                  </w:r>
                </w:p>
              </w:tc>
              <w:tc>
                <w:tcPr>
                  <w:tcW w:w="1250" w:type="pct"/>
                  <w:tcBorders>
                    <w:tl2br w:val="nil"/>
                    <w:tr2bl w:val="nil"/>
                  </w:tcBorders>
                  <w:vAlign w:val="center"/>
                </w:tcPr>
                <w:p w14:paraId="74182927">
                  <w:pPr>
                    <w:pStyle w:val="30"/>
                    <w:rPr>
                      <w:color w:val="auto"/>
                    </w:rPr>
                  </w:pPr>
                  <w:r>
                    <w:rPr>
                      <w:rFonts w:hint="eastAsia"/>
                      <w:color w:val="auto"/>
                    </w:rPr>
                    <w:t>SO</w:t>
                  </w:r>
                  <w:r>
                    <w:rPr>
                      <w:rFonts w:hint="eastAsia"/>
                      <w:color w:val="auto"/>
                      <w:vertAlign w:val="subscript"/>
                    </w:rPr>
                    <w:t>2</w:t>
                  </w:r>
                </w:p>
              </w:tc>
              <w:tc>
                <w:tcPr>
                  <w:tcW w:w="1250" w:type="pct"/>
                  <w:tcBorders>
                    <w:tl2br w:val="nil"/>
                    <w:tr2bl w:val="nil"/>
                  </w:tcBorders>
                  <w:vAlign w:val="center"/>
                </w:tcPr>
                <w:p w14:paraId="5DEF9FFF">
                  <w:pPr>
                    <w:pStyle w:val="30"/>
                    <w:rPr>
                      <w:color w:val="auto"/>
                    </w:rPr>
                  </w:pPr>
                  <w:r>
                    <w:rPr>
                      <w:rFonts w:hint="eastAsia"/>
                      <w:color w:val="auto"/>
                    </w:rPr>
                    <w:t>NOx</w:t>
                  </w:r>
                </w:p>
              </w:tc>
            </w:tr>
            <w:tr w14:paraId="0914B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tcBorders>
                    <w:tl2br w:val="nil"/>
                    <w:tr2bl w:val="nil"/>
                  </w:tcBorders>
                  <w:vAlign w:val="center"/>
                </w:tcPr>
                <w:p w14:paraId="5EF11A31">
                  <w:pPr>
                    <w:pStyle w:val="30"/>
                    <w:rPr>
                      <w:color w:val="auto"/>
                    </w:rPr>
                  </w:pPr>
                  <w:r>
                    <w:rPr>
                      <w:rFonts w:hint="eastAsia"/>
                      <w:color w:val="auto"/>
                    </w:rPr>
                    <w:t>内燃机车</w:t>
                  </w:r>
                </w:p>
              </w:tc>
              <w:tc>
                <w:tcPr>
                  <w:tcW w:w="1250" w:type="pct"/>
                  <w:tcBorders>
                    <w:tl2br w:val="nil"/>
                    <w:tr2bl w:val="nil"/>
                  </w:tcBorders>
                  <w:vAlign w:val="center"/>
                </w:tcPr>
                <w:p w14:paraId="6286C0DC">
                  <w:pPr>
                    <w:pStyle w:val="30"/>
                    <w:rPr>
                      <w:color w:val="auto"/>
                    </w:rPr>
                  </w:pPr>
                  <w:r>
                    <w:rPr>
                      <w:rFonts w:hint="eastAsia"/>
                      <w:color w:val="auto"/>
                    </w:rPr>
                    <w:t>15.2</w:t>
                  </w:r>
                </w:p>
              </w:tc>
              <w:tc>
                <w:tcPr>
                  <w:tcW w:w="1250" w:type="pct"/>
                  <w:tcBorders>
                    <w:tl2br w:val="nil"/>
                    <w:tr2bl w:val="nil"/>
                  </w:tcBorders>
                  <w:vAlign w:val="center"/>
                </w:tcPr>
                <w:p w14:paraId="66A1A9D0">
                  <w:pPr>
                    <w:pStyle w:val="30"/>
                    <w:rPr>
                      <w:color w:val="auto"/>
                    </w:rPr>
                  </w:pPr>
                  <w:r>
                    <w:rPr>
                      <w:rFonts w:hint="eastAsia"/>
                      <w:color w:val="auto"/>
                    </w:rPr>
                    <w:t>3.2</w:t>
                  </w:r>
                </w:p>
              </w:tc>
              <w:tc>
                <w:tcPr>
                  <w:tcW w:w="1250" w:type="pct"/>
                  <w:tcBorders>
                    <w:tl2br w:val="nil"/>
                    <w:tr2bl w:val="nil"/>
                  </w:tcBorders>
                  <w:vAlign w:val="center"/>
                </w:tcPr>
                <w:p w14:paraId="62FC6DFF">
                  <w:pPr>
                    <w:pStyle w:val="30"/>
                    <w:rPr>
                      <w:color w:val="auto"/>
                    </w:rPr>
                  </w:pPr>
                  <w:r>
                    <w:rPr>
                      <w:rFonts w:hint="eastAsia"/>
                      <w:color w:val="auto"/>
                    </w:rPr>
                    <w:t>19</w:t>
                  </w:r>
                </w:p>
              </w:tc>
            </w:tr>
          </w:tbl>
          <w:p w14:paraId="7B9EFD7E">
            <w:pPr>
              <w:ind w:firstLine="480"/>
              <w:rPr>
                <w:color w:val="auto"/>
              </w:rPr>
            </w:pPr>
            <w:r>
              <w:rPr>
                <w:rFonts w:hint="eastAsia"/>
                <w:color w:val="auto"/>
              </w:rPr>
              <w:t>经过计算，内燃机车污染物排放量分别为烟尘：0.021t/a、SO</w:t>
            </w:r>
            <w:r>
              <w:rPr>
                <w:rFonts w:hint="eastAsia"/>
                <w:color w:val="auto"/>
                <w:vertAlign w:val="subscript"/>
              </w:rPr>
              <w:t>2</w:t>
            </w:r>
            <w:r>
              <w:rPr>
                <w:rFonts w:hint="eastAsia"/>
                <w:color w:val="auto"/>
              </w:rPr>
              <w:t>：0.005t/a、NOx：0.03t/a。本项目列车流量为1次/日，本项目内燃机车运行线路长约2km（按500L柴油/10km计算），平均每天设计流量为1对</w:t>
            </w:r>
            <w:r>
              <w:rPr>
                <w:rFonts w:hint="eastAsia"/>
                <w:color w:val="auto"/>
                <w:lang w:val="en-US" w:eastAsia="zh-CN"/>
              </w:rPr>
              <w:t>/</w:t>
            </w:r>
            <w:r>
              <w:rPr>
                <w:rFonts w:hint="eastAsia"/>
                <w:color w:val="auto"/>
              </w:rPr>
              <w:t>日，全年运行365天，因此本项目运营期燃料消耗量为62050kg/a。行使期间污染物排放量较小，排放废气为线性流动污染，行驶路线且两侧区域开阔，空气扩散条件好，有利于污染物扩散，对周边环境空气质量影响较小。</w:t>
            </w:r>
          </w:p>
          <w:p w14:paraId="1D6FD159">
            <w:pPr>
              <w:ind w:firstLine="480"/>
              <w:rPr>
                <w:color w:val="auto"/>
              </w:rPr>
            </w:pPr>
            <w:r>
              <w:rPr>
                <w:color w:val="auto"/>
              </w:rPr>
              <w:t>由工程分析可知，本工程铁路专用线采用牵引方式为内燃机，机车运行过程中所排放的颗粒物、非甲烷总烃、氮氧化物等都对线路两侧环境有一定不良影响，但由于本工程车流密度小，且项目所处区域平坦开阔，地广人稀，空气流通条件好，环境容量大，因此机车燃油产生的间歇性、带状污染物排放不会对沿线空气环境质量产生较大影响。</w:t>
            </w:r>
          </w:p>
          <w:p w14:paraId="65BEFF7F">
            <w:pPr>
              <w:ind w:firstLine="480"/>
              <w:rPr>
                <w:color w:val="auto"/>
              </w:rPr>
            </w:pPr>
            <w:r>
              <w:rPr>
                <w:rFonts w:hint="eastAsia"/>
                <w:color w:val="auto"/>
              </w:rPr>
              <w:t>（2）粉尘</w:t>
            </w:r>
          </w:p>
          <w:p w14:paraId="6B5CA5DE">
            <w:pPr>
              <w:ind w:firstLine="480"/>
              <w:rPr>
                <w:color w:val="auto"/>
              </w:rPr>
            </w:pPr>
            <w:r>
              <w:rPr>
                <w:rFonts w:hint="eastAsia"/>
                <w:color w:val="auto"/>
              </w:rPr>
              <w:t>本项目采用集装箱运输半挂车运到装车现场进行装车，装车完成后进行平整苫盖，不产生粉尘，卸车时会产生一定的粉尘，采用雾炮水车进水洒水降尘。</w:t>
            </w:r>
          </w:p>
          <w:p w14:paraId="5C5423B7">
            <w:pPr>
              <w:ind w:firstLine="482"/>
              <w:rPr>
                <w:b/>
                <w:bCs/>
                <w:color w:val="auto"/>
              </w:rPr>
            </w:pPr>
            <w:r>
              <w:rPr>
                <w:rFonts w:hint="eastAsia"/>
                <w:b/>
                <w:bCs/>
                <w:color w:val="auto"/>
              </w:rPr>
              <w:t>二、运营期水环境影响分析</w:t>
            </w:r>
          </w:p>
          <w:p w14:paraId="22EB1D3E">
            <w:pPr>
              <w:ind w:firstLine="480"/>
              <w:rPr>
                <w:color w:val="auto"/>
              </w:rPr>
            </w:pPr>
            <w:r>
              <w:rPr>
                <w:rFonts w:hint="eastAsia"/>
                <w:color w:val="auto"/>
              </w:rPr>
              <w:t>运营期无新增工作人员，故不产生生活污水；运营期没有固定废水排放源。雨天路面径流汇入地表水体会对地表水有所影响。由于铁路运输过程基本不会产生货物遗撒，路面径流中的污染物浓度极少，则雨天路面径流对地表水环境的影响很小。</w:t>
            </w:r>
          </w:p>
          <w:p w14:paraId="30CD8D5F">
            <w:pPr>
              <w:ind w:firstLine="482"/>
              <w:rPr>
                <w:color w:val="auto"/>
              </w:rPr>
            </w:pPr>
            <w:r>
              <w:rPr>
                <w:rFonts w:hint="eastAsia"/>
                <w:b/>
                <w:bCs/>
                <w:color w:val="auto"/>
              </w:rPr>
              <w:t>三、运营期风险环境影响分析</w:t>
            </w:r>
          </w:p>
          <w:p w14:paraId="58B531AE">
            <w:pPr>
              <w:ind w:firstLine="480"/>
              <w:rPr>
                <w:color w:val="auto"/>
              </w:rPr>
            </w:pPr>
            <w:r>
              <w:rPr>
                <w:rFonts w:hint="eastAsia"/>
                <w:color w:val="auto"/>
              </w:rPr>
              <w:t>（1）运营过程中，调车冲突、挤岔、脱轨等惯性事故风险，运输易燃或可燃化学品的列车发生撞车、翻车或脱轨等事故风险。易燃化学品发生泄漏，遇到明火，导致危险品着火发生火灾爆炸；化学品挥发到环境空气中，泄漏到地面、流入附近地表水体最终造成环境空气污染和水体污染。</w:t>
            </w:r>
          </w:p>
          <w:p w14:paraId="3A3FB495">
            <w:pPr>
              <w:ind w:firstLine="480"/>
              <w:rPr>
                <w:color w:val="auto"/>
              </w:rPr>
            </w:pPr>
            <w:r>
              <w:rPr>
                <w:rFonts w:hint="eastAsia"/>
                <w:color w:val="auto"/>
              </w:rPr>
              <w:t>（2）油罐等设备使用年限较长以后，会产生劣化、锈蚀等问题，有渗漏跑油的可能性。</w:t>
            </w:r>
          </w:p>
          <w:p w14:paraId="38FF7FD6">
            <w:pPr>
              <w:ind w:firstLine="480"/>
              <w:rPr>
                <w:color w:val="auto"/>
              </w:rPr>
            </w:pPr>
            <w:r>
              <w:rPr>
                <w:rFonts w:hint="eastAsia"/>
                <w:color w:val="auto"/>
              </w:rPr>
              <w:t>项目每天发车的列数较少，发生列车相撞的事故少，货运列车行驶时发生事故主要为翻车、脱轨事故。液体运输的载体-储罐仅为输送载体，在输送过程中除非发生火灾和爆炸，一般情况下不会发生泄漏</w:t>
            </w:r>
          </w:p>
          <w:p w14:paraId="3CD80810">
            <w:pPr>
              <w:ind w:firstLine="482"/>
              <w:rPr>
                <w:color w:val="auto"/>
              </w:rPr>
            </w:pPr>
            <w:r>
              <w:rPr>
                <w:rFonts w:hint="eastAsia"/>
                <w:b/>
                <w:bCs/>
                <w:color w:val="auto"/>
              </w:rPr>
              <w:t>四、声环境影响预测与评价</w:t>
            </w:r>
          </w:p>
          <w:p w14:paraId="46BA270D">
            <w:pPr>
              <w:ind w:firstLine="480"/>
              <w:rPr>
                <w:color w:val="auto"/>
              </w:rPr>
            </w:pPr>
            <w:r>
              <w:rPr>
                <w:rFonts w:hint="eastAsia"/>
                <w:color w:val="auto"/>
              </w:rPr>
              <w:t>本工程为改建铁路专用线，铁路沿线主要噪声源为列车运行过程中机车牵引噪声、机车鸣笛噪声、车辆与轨道相互作用产生的轮轨噪声等。</w:t>
            </w:r>
          </w:p>
          <w:p w14:paraId="6E79045F">
            <w:pPr>
              <w:ind w:firstLine="480"/>
              <w:rPr>
                <w:color w:val="auto"/>
              </w:rPr>
            </w:pPr>
            <w:r>
              <w:rPr>
                <w:rFonts w:hint="eastAsia"/>
                <w:color w:val="auto"/>
              </w:rPr>
              <w:t>本工程铁路噪声预测采用模式计算法和计算机软件模拟相结合的方法。预测了营运近期和远期的各路段铁路边界噪声值和不同距离噪声衰减值，并分析了污染程度，绘制了噪声等声级线图，给出了噪声达标距离。</w:t>
            </w:r>
          </w:p>
          <w:p w14:paraId="33A9AADF">
            <w:pPr>
              <w:ind w:firstLine="480"/>
              <w:rPr>
                <w:color w:val="auto"/>
              </w:rPr>
            </w:pPr>
            <w:r>
              <w:rPr>
                <w:rFonts w:hint="eastAsia"/>
                <w:color w:val="auto"/>
              </w:rPr>
              <w:t>1.预测模式</w:t>
            </w:r>
          </w:p>
          <w:p w14:paraId="0F0CF851">
            <w:pPr>
              <w:ind w:firstLine="480"/>
              <w:rPr>
                <w:color w:val="auto"/>
              </w:rPr>
            </w:pPr>
            <w:r>
              <w:rPr>
                <w:rFonts w:hint="eastAsia"/>
                <w:color w:val="auto"/>
              </w:rPr>
              <w:t>铁路噪声预测有多种方法：模式预测法、比例预测法、类比预测法、模型试验法。在模式计算法基础上，通过计算机编程，还形成了计算机软件的模拟方法。我国目前铁路噪声预测主要为模式计算法和直接采用计算机软件的模拟方法。</w:t>
            </w:r>
          </w:p>
          <w:p w14:paraId="7F9F03F4">
            <w:pPr>
              <w:ind w:firstLine="480"/>
              <w:rPr>
                <w:color w:val="auto"/>
              </w:rPr>
            </w:pPr>
            <w:r>
              <w:rPr>
                <w:rFonts w:hint="eastAsia"/>
                <w:color w:val="auto"/>
              </w:rPr>
              <w:t>本次评价根据《环境影响评价技术导则—声环境》（HJ2.4-2021），铁路交通噪声预测模式如下：</w:t>
            </w:r>
          </w:p>
          <w:p w14:paraId="1267A141">
            <w:pPr>
              <w:ind w:firstLine="480"/>
              <w:rPr>
                <w:color w:val="auto"/>
              </w:rPr>
            </w:pPr>
            <w:r>
              <w:rPr>
                <w:rFonts w:hint="eastAsia"/>
                <w:color w:val="auto"/>
              </w:rPr>
              <w:t>（1）铁路（时速低于200 km/h）交通噪声预测模型</w:t>
            </w:r>
          </w:p>
          <w:p w14:paraId="2CA1E699">
            <w:pPr>
              <w:ind w:firstLine="480"/>
              <w:rPr>
                <w:color w:val="auto"/>
              </w:rPr>
            </w:pPr>
            <w:r>
              <w:rPr>
                <w:rFonts w:hint="eastAsia"/>
                <w:color w:val="auto"/>
              </w:rPr>
              <w:t>1）预测点列车运行噪声等效声级基本预测计算式：</w:t>
            </w:r>
          </w:p>
          <w:p w14:paraId="5A1846F5">
            <w:pPr>
              <w:ind w:firstLine="480"/>
              <w:rPr>
                <w:color w:val="auto"/>
              </w:rPr>
            </w:pPr>
            <w:r>
              <w:rPr>
                <w:rFonts w:hint="eastAsia"/>
                <w:color w:val="auto"/>
              </w:rPr>
              <w:drawing>
                <wp:inline distT="0" distB="0" distL="114300" distR="114300">
                  <wp:extent cx="3772535" cy="434975"/>
                  <wp:effectExtent l="0" t="0" r="18415" b="3175"/>
                  <wp:docPr id="1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
                          <pic:cNvPicPr>
                            <a:picLocks noChangeAspect="1"/>
                          </pic:cNvPicPr>
                        </pic:nvPicPr>
                        <pic:blipFill>
                          <a:blip r:embed="rId21"/>
                          <a:stretch>
                            <a:fillRect/>
                          </a:stretch>
                        </pic:blipFill>
                        <pic:spPr>
                          <a:xfrm>
                            <a:off x="0" y="0"/>
                            <a:ext cx="3772535" cy="434975"/>
                          </a:xfrm>
                          <a:prstGeom prst="rect">
                            <a:avLst/>
                          </a:prstGeom>
                          <a:noFill/>
                          <a:ln>
                            <a:noFill/>
                          </a:ln>
                        </pic:spPr>
                      </pic:pic>
                    </a:graphicData>
                  </a:graphic>
                </wp:inline>
              </w:drawing>
            </w:r>
          </w:p>
          <w:p w14:paraId="70671ADD">
            <w:pPr>
              <w:ind w:firstLine="480"/>
              <w:rPr>
                <w:color w:val="auto"/>
              </w:rPr>
            </w:pPr>
            <w:r>
              <w:rPr>
                <w:rFonts w:hint="eastAsia"/>
                <w:color w:val="auto"/>
              </w:rPr>
              <w:t>式中：</w:t>
            </w:r>
          </w:p>
          <w:p w14:paraId="3E7E85C6">
            <w:pPr>
              <w:ind w:firstLine="480"/>
              <w:rPr>
                <w:color w:val="auto"/>
              </w:rPr>
            </w:pPr>
            <w:r>
              <w:rPr>
                <w:rFonts w:hint="eastAsia"/>
                <w:color w:val="auto"/>
              </w:rPr>
              <w:t>LAeq,p—列车运行噪声等效A声级，dB；</w:t>
            </w:r>
          </w:p>
          <w:p w14:paraId="16DECF94">
            <w:pPr>
              <w:ind w:firstLine="480"/>
              <w:rPr>
                <w:color w:val="auto"/>
              </w:rPr>
            </w:pPr>
            <w:r>
              <w:rPr>
                <w:rFonts w:hint="eastAsia"/>
                <w:color w:val="auto"/>
              </w:rPr>
              <w:t>T—规定的评价时间，s；本次评价昼间为06：00~22：00 (合计16个小时)，夜间为22：00~06：00 (合计8个小时)。</w:t>
            </w:r>
          </w:p>
          <w:p w14:paraId="7CCE21A6">
            <w:pPr>
              <w:ind w:firstLine="480"/>
              <w:rPr>
                <w:color w:val="auto"/>
              </w:rPr>
            </w:pPr>
            <w:r>
              <w:rPr>
                <w:rFonts w:hint="eastAsia"/>
                <w:color w:val="auto"/>
              </w:rPr>
              <w:t>ni—T时间内通过的第i类列车列数；</w:t>
            </w:r>
          </w:p>
          <w:p w14:paraId="0AEDE90D">
            <w:pPr>
              <w:ind w:firstLine="480"/>
              <w:rPr>
                <w:color w:val="auto"/>
              </w:rPr>
            </w:pPr>
            <w:r>
              <w:rPr>
                <w:rFonts w:hint="eastAsia"/>
                <w:color w:val="auto"/>
              </w:rPr>
              <w:t>teq,i—第i类列车通过的等效时间，s；</w:t>
            </w:r>
          </w:p>
          <w:p w14:paraId="6412420E">
            <w:pPr>
              <w:ind w:firstLine="480"/>
              <w:rPr>
                <w:color w:val="auto"/>
              </w:rPr>
            </w:pPr>
            <w:r>
              <w:rPr>
                <w:rFonts w:hint="eastAsia"/>
                <w:color w:val="auto"/>
              </w:rPr>
              <w:t>Lp0,t,j—规定的第i类列车参考点位置噪声辐射源强，可为A计权声压级或频带声压级，dB；</w:t>
            </w:r>
          </w:p>
          <w:p w14:paraId="2B7D04FB">
            <w:pPr>
              <w:ind w:firstLine="480"/>
              <w:rPr>
                <w:color w:val="auto"/>
              </w:rPr>
            </w:pPr>
            <w:r>
              <w:rPr>
                <w:rFonts w:hint="eastAsia"/>
                <w:color w:val="auto"/>
              </w:rPr>
              <w:t>Ct,i—第i类列车的噪声修正项，可为A计权声压级或频带声压级修正项，dB；</w:t>
            </w:r>
          </w:p>
          <w:p w14:paraId="7634C841">
            <w:pPr>
              <w:ind w:firstLine="480"/>
              <w:rPr>
                <w:color w:val="auto"/>
              </w:rPr>
            </w:pPr>
            <w:r>
              <w:rPr>
                <w:rFonts w:hint="eastAsia"/>
                <w:color w:val="auto"/>
              </w:rPr>
              <w:t>tf,i—固定声源的作用时间，s；</w:t>
            </w:r>
          </w:p>
          <w:p w14:paraId="61F352DB">
            <w:pPr>
              <w:ind w:firstLine="480"/>
              <w:rPr>
                <w:color w:val="auto"/>
              </w:rPr>
            </w:pPr>
            <w:r>
              <w:rPr>
                <w:rFonts w:hint="eastAsia"/>
                <w:color w:val="auto"/>
              </w:rPr>
              <w:t>Lp0,f,i—固定声源的噪声辐射源强，可为A计权声压级或频带声压级，dB；</w:t>
            </w:r>
          </w:p>
          <w:p w14:paraId="4EBE9577">
            <w:pPr>
              <w:ind w:firstLine="480"/>
              <w:rPr>
                <w:color w:val="auto"/>
              </w:rPr>
            </w:pPr>
            <w:r>
              <w:rPr>
                <w:rFonts w:hint="eastAsia"/>
                <w:color w:val="auto"/>
              </w:rPr>
              <w:t>Cf,i—固定声源的噪声修正项，可为A计权声压级或频带声压级修正项，dB。</w:t>
            </w:r>
          </w:p>
          <w:p w14:paraId="0078E461">
            <w:pPr>
              <w:ind w:firstLine="480"/>
              <w:rPr>
                <w:color w:val="auto"/>
              </w:rPr>
            </w:pPr>
            <w:r>
              <w:rPr>
                <w:rFonts w:hint="eastAsia"/>
                <w:color w:val="auto"/>
              </w:rPr>
              <w:t>2）等效时间teq，其近似值按下式计算</w:t>
            </w:r>
          </w:p>
          <w:p w14:paraId="38DE112A">
            <w:pPr>
              <w:ind w:firstLine="480"/>
              <w:rPr>
                <w:color w:val="auto"/>
              </w:rPr>
            </w:pPr>
            <w:r>
              <w:rPr>
                <w:rFonts w:hint="eastAsia"/>
                <w:color w:val="auto"/>
              </w:rPr>
              <w:t>列车运行噪声的作用时间采用列车通过的等效时间ti，按下式计算。</w:t>
            </w:r>
          </w:p>
          <w:p w14:paraId="3A454D61">
            <w:pPr>
              <w:ind w:firstLine="0" w:firstLineChars="0"/>
              <w:jc w:val="center"/>
              <w:rPr>
                <w:color w:val="auto"/>
              </w:rPr>
            </w:pPr>
            <w:r>
              <w:rPr>
                <w:rFonts w:hint="eastAsia"/>
                <w:color w:val="auto"/>
              </w:rPr>
              <w:drawing>
                <wp:inline distT="0" distB="0" distL="114300" distR="114300">
                  <wp:extent cx="1285240" cy="422275"/>
                  <wp:effectExtent l="0" t="0" r="10160" b="15875"/>
                  <wp:docPr id="1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
                          <pic:cNvPicPr>
                            <a:picLocks noChangeAspect="1"/>
                          </pic:cNvPicPr>
                        </pic:nvPicPr>
                        <pic:blipFill>
                          <a:blip r:embed="rId22"/>
                          <a:stretch>
                            <a:fillRect/>
                          </a:stretch>
                        </pic:blipFill>
                        <pic:spPr>
                          <a:xfrm>
                            <a:off x="0" y="0"/>
                            <a:ext cx="1285240" cy="422275"/>
                          </a:xfrm>
                          <a:prstGeom prst="rect">
                            <a:avLst/>
                          </a:prstGeom>
                          <a:noFill/>
                          <a:ln>
                            <a:noFill/>
                          </a:ln>
                        </pic:spPr>
                      </pic:pic>
                    </a:graphicData>
                  </a:graphic>
                </wp:inline>
              </w:drawing>
            </w:r>
          </w:p>
          <w:p w14:paraId="0FB64E5E">
            <w:pPr>
              <w:ind w:firstLine="480"/>
              <w:rPr>
                <w:color w:val="auto"/>
              </w:rPr>
            </w:pPr>
            <w:r>
              <w:rPr>
                <w:rFonts w:hint="eastAsia"/>
                <w:color w:val="auto"/>
              </w:rPr>
              <w:t>式中：</w:t>
            </w:r>
          </w:p>
          <w:p w14:paraId="5FE9349A">
            <w:pPr>
              <w:ind w:firstLine="480"/>
              <w:rPr>
                <w:color w:val="auto"/>
              </w:rPr>
            </w:pPr>
            <w:r>
              <w:rPr>
                <w:rFonts w:hint="eastAsia"/>
                <w:color w:val="auto"/>
              </w:rPr>
              <w:t>teq,i—第i类列车通过的等效时间，s；</w:t>
            </w:r>
          </w:p>
          <w:p w14:paraId="1093EA97">
            <w:pPr>
              <w:ind w:firstLine="480"/>
              <w:rPr>
                <w:color w:val="auto"/>
              </w:rPr>
            </w:pPr>
            <w:r>
              <w:rPr>
                <w:rFonts w:hint="eastAsia"/>
                <w:color w:val="auto"/>
              </w:rPr>
              <w:t>l—列车长度，m；</w:t>
            </w:r>
          </w:p>
          <w:p w14:paraId="159B52E3">
            <w:pPr>
              <w:ind w:firstLine="480"/>
              <w:rPr>
                <w:color w:val="auto"/>
              </w:rPr>
            </w:pPr>
            <w:r>
              <w:rPr>
                <w:rFonts w:hint="eastAsia"/>
                <w:color w:val="auto"/>
              </w:rPr>
              <w:t>v—列车运行速度，m/s；</w:t>
            </w:r>
          </w:p>
          <w:p w14:paraId="02C79281">
            <w:pPr>
              <w:ind w:firstLine="480"/>
              <w:rPr>
                <w:color w:val="auto"/>
              </w:rPr>
            </w:pPr>
            <w:r>
              <w:rPr>
                <w:rFonts w:hint="eastAsia"/>
                <w:color w:val="auto"/>
              </w:rPr>
              <w:t>d—预测点到线路中心线的水平距离，m。</w:t>
            </w:r>
          </w:p>
          <w:p w14:paraId="3D4C0FA4">
            <w:pPr>
              <w:ind w:firstLine="480"/>
              <w:rPr>
                <w:color w:val="auto"/>
              </w:rPr>
            </w:pPr>
            <w:r>
              <w:rPr>
                <w:rFonts w:hint="eastAsia"/>
                <w:color w:val="auto"/>
              </w:rPr>
              <w:t>列车通过等效时间teq,i的精确计算，可下式计算：</w:t>
            </w:r>
          </w:p>
          <w:p w14:paraId="2A00E9F0">
            <w:pPr>
              <w:ind w:firstLine="480"/>
              <w:jc w:val="center"/>
              <w:rPr>
                <w:color w:val="auto"/>
              </w:rPr>
            </w:pPr>
            <w:r>
              <w:rPr>
                <w:rFonts w:hint="eastAsia"/>
                <w:color w:val="auto"/>
              </w:rPr>
              <w:drawing>
                <wp:inline distT="0" distB="0" distL="114300" distR="114300">
                  <wp:extent cx="2082165" cy="605155"/>
                  <wp:effectExtent l="0" t="0" r="13335" b="4445"/>
                  <wp:docPr id="1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
                          <pic:cNvPicPr>
                            <a:picLocks noChangeAspect="1"/>
                          </pic:cNvPicPr>
                        </pic:nvPicPr>
                        <pic:blipFill>
                          <a:blip r:embed="rId23"/>
                          <a:stretch>
                            <a:fillRect/>
                          </a:stretch>
                        </pic:blipFill>
                        <pic:spPr>
                          <a:xfrm>
                            <a:off x="0" y="0"/>
                            <a:ext cx="2082165" cy="605155"/>
                          </a:xfrm>
                          <a:prstGeom prst="rect">
                            <a:avLst/>
                          </a:prstGeom>
                          <a:noFill/>
                          <a:ln>
                            <a:noFill/>
                          </a:ln>
                        </pic:spPr>
                      </pic:pic>
                    </a:graphicData>
                  </a:graphic>
                </wp:inline>
              </w:drawing>
            </w:r>
          </w:p>
          <w:p w14:paraId="001B6120">
            <w:pPr>
              <w:ind w:firstLine="480"/>
              <w:rPr>
                <w:color w:val="auto"/>
              </w:rPr>
            </w:pPr>
            <w:r>
              <w:rPr>
                <w:rFonts w:hint="eastAsia"/>
                <w:color w:val="auto"/>
              </w:rPr>
              <w:t>式中：</w:t>
            </w:r>
          </w:p>
          <w:p w14:paraId="3569C04C">
            <w:pPr>
              <w:ind w:firstLine="480"/>
              <w:rPr>
                <w:color w:val="auto"/>
              </w:rPr>
            </w:pPr>
            <w:r>
              <w:rPr>
                <w:rFonts w:hint="eastAsia"/>
                <w:color w:val="auto"/>
              </w:rPr>
              <w:t>teq,i—第i类列车通过的等效时间，s；</w:t>
            </w:r>
          </w:p>
          <w:p w14:paraId="3502FBE1">
            <w:pPr>
              <w:ind w:firstLine="480"/>
              <w:rPr>
                <w:color w:val="auto"/>
              </w:rPr>
            </w:pPr>
            <w:r>
              <w:rPr>
                <w:rFonts w:hint="eastAsia"/>
                <w:color w:val="auto"/>
              </w:rPr>
              <w:t>li—第i类列车的列车长度，m；</w:t>
            </w:r>
          </w:p>
          <w:p w14:paraId="4E85A78D">
            <w:pPr>
              <w:ind w:firstLine="480"/>
              <w:rPr>
                <w:color w:val="auto"/>
              </w:rPr>
            </w:pPr>
            <w:r>
              <w:rPr>
                <w:rFonts w:hint="eastAsia"/>
                <w:color w:val="auto"/>
              </w:rPr>
              <w:t>vi —第i类列车的列车运行速度，m/s；</w:t>
            </w:r>
          </w:p>
          <w:p w14:paraId="7879AAA1">
            <w:pPr>
              <w:ind w:firstLine="480"/>
              <w:rPr>
                <w:color w:val="auto"/>
              </w:rPr>
            </w:pPr>
            <w:r>
              <w:rPr>
                <w:rFonts w:hint="eastAsia"/>
                <w:color w:val="auto"/>
              </w:rPr>
              <w:t>d —预测点到线路的距离，m。</w:t>
            </w:r>
          </w:p>
          <w:p w14:paraId="6E93DD98">
            <w:pPr>
              <w:ind w:firstLine="480"/>
              <w:rPr>
                <w:color w:val="auto"/>
              </w:rPr>
            </w:pPr>
            <w:r>
              <w:rPr>
                <w:rFonts w:hint="eastAsia"/>
                <w:color w:val="auto"/>
              </w:rPr>
              <w:t>3）列车运行噪声的修正项Ct,i，按下式计算</w:t>
            </w:r>
          </w:p>
          <w:p w14:paraId="39A8FAD8">
            <w:pPr>
              <w:ind w:firstLine="480"/>
              <w:jc w:val="center"/>
              <w:rPr>
                <w:color w:val="auto"/>
              </w:rPr>
            </w:pPr>
            <w:r>
              <w:rPr>
                <w:rFonts w:hint="eastAsia"/>
                <w:color w:val="auto"/>
              </w:rPr>
              <w:drawing>
                <wp:inline distT="0" distB="0" distL="114300" distR="114300">
                  <wp:extent cx="3743325" cy="238760"/>
                  <wp:effectExtent l="0" t="0" r="9525" b="8890"/>
                  <wp:docPr id="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
                          <pic:cNvPicPr>
                            <a:picLocks noChangeAspect="1"/>
                          </pic:cNvPicPr>
                        </pic:nvPicPr>
                        <pic:blipFill>
                          <a:blip r:embed="rId24"/>
                          <a:stretch>
                            <a:fillRect/>
                          </a:stretch>
                        </pic:blipFill>
                        <pic:spPr>
                          <a:xfrm>
                            <a:off x="0" y="0"/>
                            <a:ext cx="3743325" cy="238760"/>
                          </a:xfrm>
                          <a:prstGeom prst="rect">
                            <a:avLst/>
                          </a:prstGeom>
                          <a:noFill/>
                          <a:ln>
                            <a:noFill/>
                          </a:ln>
                        </pic:spPr>
                      </pic:pic>
                    </a:graphicData>
                  </a:graphic>
                </wp:inline>
              </w:drawing>
            </w:r>
          </w:p>
          <w:p w14:paraId="22ABF63B">
            <w:pPr>
              <w:ind w:firstLine="480"/>
              <w:rPr>
                <w:color w:val="auto"/>
              </w:rPr>
            </w:pPr>
            <w:r>
              <w:rPr>
                <w:rFonts w:hint="eastAsia"/>
                <w:color w:val="auto"/>
              </w:rPr>
              <w:t>式中：</w:t>
            </w:r>
          </w:p>
          <w:p w14:paraId="3A11ED08">
            <w:pPr>
              <w:ind w:firstLine="480"/>
              <w:rPr>
                <w:color w:val="auto"/>
              </w:rPr>
            </w:pPr>
            <w:r>
              <w:rPr>
                <w:rFonts w:hint="eastAsia"/>
                <w:color w:val="auto"/>
              </w:rPr>
              <w:t>Ct,i—列车运行噪声的修正项，dB；</w:t>
            </w:r>
          </w:p>
          <w:p w14:paraId="5CBF1D34">
            <w:pPr>
              <w:ind w:firstLine="480"/>
              <w:rPr>
                <w:color w:val="auto"/>
              </w:rPr>
            </w:pPr>
            <w:r>
              <w:rPr>
                <w:rFonts w:hint="eastAsia"/>
                <w:color w:val="auto"/>
              </w:rPr>
              <w:t>Ct,v,i—列车运行噪声速度修正，dB；</w:t>
            </w:r>
          </w:p>
          <w:p w14:paraId="2AD030CE">
            <w:pPr>
              <w:ind w:firstLine="480"/>
              <w:rPr>
                <w:color w:val="auto"/>
              </w:rPr>
            </w:pPr>
            <w:r>
              <w:rPr>
                <w:rFonts w:hint="eastAsia"/>
                <w:color w:val="auto"/>
              </w:rPr>
              <w:t>Ct, θ—列车运行噪声垂向指向性修正，dB；</w:t>
            </w:r>
          </w:p>
          <w:p w14:paraId="0FED0B4E">
            <w:pPr>
              <w:ind w:firstLine="480"/>
              <w:rPr>
                <w:color w:val="auto"/>
              </w:rPr>
            </w:pPr>
            <w:r>
              <w:rPr>
                <w:rFonts w:hint="eastAsia"/>
                <w:color w:val="auto"/>
              </w:rPr>
              <w:t>Ct,t—线路和轨道结构对噪声影响的修正，dB；</w:t>
            </w:r>
          </w:p>
          <w:p w14:paraId="13D77938">
            <w:pPr>
              <w:ind w:firstLine="480"/>
              <w:rPr>
                <w:color w:val="auto"/>
              </w:rPr>
            </w:pPr>
            <w:r>
              <w:rPr>
                <w:rFonts w:hint="eastAsia"/>
                <w:color w:val="auto"/>
              </w:rPr>
              <w:t>At,div—列车运行噪声几何发散损失，dB；</w:t>
            </w:r>
          </w:p>
          <w:p w14:paraId="4C521091">
            <w:pPr>
              <w:ind w:firstLine="480"/>
              <w:rPr>
                <w:color w:val="auto"/>
              </w:rPr>
            </w:pPr>
            <w:r>
              <w:rPr>
                <w:rFonts w:hint="eastAsia"/>
                <w:color w:val="auto"/>
              </w:rPr>
              <w:t>Aatm—列车运行噪声的大气吸收，dB；</w:t>
            </w:r>
          </w:p>
          <w:p w14:paraId="03525F80">
            <w:pPr>
              <w:ind w:firstLine="480"/>
              <w:rPr>
                <w:color w:val="auto"/>
              </w:rPr>
            </w:pPr>
            <w:r>
              <w:rPr>
                <w:rFonts w:hint="eastAsia"/>
                <w:color w:val="auto"/>
              </w:rPr>
              <w:t>Agr—地面效应引起的列车运行噪声衰减，dB；</w:t>
            </w:r>
          </w:p>
          <w:p w14:paraId="0A26564B">
            <w:pPr>
              <w:ind w:firstLine="480"/>
              <w:rPr>
                <w:color w:val="auto"/>
              </w:rPr>
            </w:pPr>
            <w:r>
              <w:rPr>
                <w:rFonts w:hint="eastAsia"/>
                <w:color w:val="auto"/>
              </w:rPr>
              <w:t>Abar—声屏障对列车运行噪声的插入损失，dB；</w:t>
            </w:r>
          </w:p>
          <w:p w14:paraId="7BC935D7">
            <w:pPr>
              <w:ind w:firstLine="480"/>
              <w:rPr>
                <w:color w:val="auto"/>
              </w:rPr>
            </w:pPr>
            <w:r>
              <w:rPr>
                <w:rFonts w:hint="eastAsia"/>
                <w:color w:val="auto"/>
              </w:rPr>
              <w:t>Ahous—建筑群引起的列车运行噪声衰减，dB；</w:t>
            </w:r>
          </w:p>
          <w:p w14:paraId="71236B95">
            <w:pPr>
              <w:ind w:firstLine="480"/>
              <w:rPr>
                <w:color w:val="auto"/>
              </w:rPr>
            </w:pPr>
            <w:r>
              <w:rPr>
                <w:rFonts w:hint="eastAsia"/>
                <w:color w:val="auto"/>
              </w:rPr>
              <w:t>Chous—两侧建筑物引起的反射修正，dB；</w:t>
            </w:r>
          </w:p>
          <w:p w14:paraId="76E3392C">
            <w:pPr>
              <w:ind w:firstLine="480"/>
              <w:rPr>
                <w:color w:val="auto"/>
              </w:rPr>
            </w:pPr>
            <w:r>
              <w:rPr>
                <w:rFonts w:hint="eastAsia"/>
                <w:color w:val="auto"/>
              </w:rPr>
              <w:t>Cw—频率计权修正，dB。</w:t>
            </w:r>
          </w:p>
          <w:p w14:paraId="06154B8B">
            <w:pPr>
              <w:ind w:firstLine="480"/>
              <w:rPr>
                <w:color w:val="auto"/>
              </w:rPr>
            </w:pPr>
            <w:r>
              <w:rPr>
                <w:rFonts w:hint="eastAsia"/>
                <w:color w:val="auto"/>
              </w:rPr>
              <w:t>4）固定声源在传播过程中的衰减修正项Cf,i，按下式计算</w:t>
            </w:r>
          </w:p>
          <w:p w14:paraId="79FFBF07">
            <w:pPr>
              <w:ind w:firstLine="0" w:firstLineChars="0"/>
              <w:jc w:val="center"/>
              <w:rPr>
                <w:color w:val="auto"/>
              </w:rPr>
            </w:pPr>
            <w:r>
              <w:rPr>
                <w:rFonts w:hint="eastAsia"/>
                <w:color w:val="auto"/>
              </w:rPr>
              <w:drawing>
                <wp:inline distT="0" distB="0" distL="114300" distR="114300">
                  <wp:extent cx="3256915" cy="299085"/>
                  <wp:effectExtent l="0" t="0" r="635" b="5715"/>
                  <wp:docPr id="1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7"/>
                          <pic:cNvPicPr>
                            <a:picLocks noChangeAspect="1"/>
                          </pic:cNvPicPr>
                        </pic:nvPicPr>
                        <pic:blipFill>
                          <a:blip r:embed="rId25"/>
                          <a:stretch>
                            <a:fillRect/>
                          </a:stretch>
                        </pic:blipFill>
                        <pic:spPr>
                          <a:xfrm>
                            <a:off x="0" y="0"/>
                            <a:ext cx="3256915" cy="299085"/>
                          </a:xfrm>
                          <a:prstGeom prst="rect">
                            <a:avLst/>
                          </a:prstGeom>
                          <a:noFill/>
                          <a:ln>
                            <a:noFill/>
                          </a:ln>
                        </pic:spPr>
                      </pic:pic>
                    </a:graphicData>
                  </a:graphic>
                </wp:inline>
              </w:drawing>
            </w:r>
          </w:p>
          <w:p w14:paraId="63505DD6">
            <w:pPr>
              <w:ind w:firstLine="480"/>
              <w:rPr>
                <w:color w:val="auto"/>
              </w:rPr>
            </w:pPr>
            <w:r>
              <w:rPr>
                <w:rFonts w:hint="eastAsia"/>
                <w:color w:val="auto"/>
              </w:rPr>
              <w:t>式中：</w:t>
            </w:r>
          </w:p>
          <w:p w14:paraId="1D2CC2F8">
            <w:pPr>
              <w:ind w:firstLine="480"/>
              <w:rPr>
                <w:color w:val="auto"/>
              </w:rPr>
            </w:pPr>
            <w:r>
              <w:rPr>
                <w:rFonts w:hint="eastAsia"/>
                <w:color w:val="auto"/>
              </w:rPr>
              <w:t>Cf,i—固定声源在传播过程中的衰减修正项，dB；</w:t>
            </w:r>
          </w:p>
          <w:p w14:paraId="594070F8">
            <w:pPr>
              <w:ind w:firstLine="480"/>
              <w:rPr>
                <w:color w:val="auto"/>
              </w:rPr>
            </w:pPr>
            <w:r>
              <w:rPr>
                <w:rFonts w:hint="default" w:ascii="Times New Roman" w:hAnsi="Times New Roman" w:cs="Times New Roman"/>
                <w:color w:val="auto"/>
              </w:rPr>
              <w:t>Cf, θ—固定声</w:t>
            </w:r>
            <w:r>
              <w:rPr>
                <w:rFonts w:hint="eastAsia"/>
                <w:color w:val="auto"/>
              </w:rPr>
              <w:t>源垂向指向性修正，dB；</w:t>
            </w:r>
          </w:p>
          <w:p w14:paraId="183AC1DF">
            <w:pPr>
              <w:ind w:firstLine="480"/>
              <w:rPr>
                <w:color w:val="auto"/>
              </w:rPr>
            </w:pPr>
            <w:r>
              <w:rPr>
                <w:rFonts w:hint="eastAsia"/>
                <w:color w:val="auto"/>
              </w:rPr>
              <w:t>Adiv—固定声源几何发散衰减，dB；</w:t>
            </w:r>
          </w:p>
          <w:p w14:paraId="212C5172">
            <w:pPr>
              <w:ind w:firstLine="480"/>
              <w:rPr>
                <w:color w:val="auto"/>
              </w:rPr>
            </w:pPr>
            <w:r>
              <w:rPr>
                <w:rFonts w:hint="eastAsia"/>
                <w:color w:val="auto"/>
              </w:rPr>
              <w:t>Aatm —固定声源大气吸收衰减，dB；</w:t>
            </w:r>
          </w:p>
          <w:p w14:paraId="3C3D3631">
            <w:pPr>
              <w:ind w:firstLine="480"/>
              <w:rPr>
                <w:color w:val="auto"/>
              </w:rPr>
            </w:pPr>
            <w:r>
              <w:rPr>
                <w:rFonts w:hint="eastAsia"/>
                <w:color w:val="auto"/>
              </w:rPr>
              <w:t>Agr —地面效应引起的固定声源噪声衰减，dB；</w:t>
            </w:r>
          </w:p>
          <w:p w14:paraId="1354BCFC">
            <w:pPr>
              <w:ind w:firstLine="480"/>
              <w:rPr>
                <w:color w:val="auto"/>
              </w:rPr>
            </w:pPr>
            <w:r>
              <w:rPr>
                <w:rFonts w:hint="eastAsia"/>
                <w:color w:val="auto"/>
              </w:rPr>
              <w:t>Abar —屏障引起的固定声源衰减，dB；</w:t>
            </w:r>
          </w:p>
          <w:p w14:paraId="34E2D874">
            <w:pPr>
              <w:ind w:firstLine="480"/>
              <w:rPr>
                <w:color w:val="auto"/>
              </w:rPr>
            </w:pPr>
            <w:r>
              <w:rPr>
                <w:rFonts w:hint="eastAsia"/>
                <w:color w:val="auto"/>
              </w:rPr>
              <w:t>Ahous —建筑群引起的固定声源声衰减，dB。</w:t>
            </w:r>
          </w:p>
          <w:p w14:paraId="7D96A9DC">
            <w:pPr>
              <w:ind w:firstLine="480"/>
              <w:rPr>
                <w:color w:val="auto"/>
              </w:rPr>
            </w:pPr>
            <w:r>
              <w:rPr>
                <w:rFonts w:hint="eastAsia"/>
                <w:color w:val="auto"/>
              </w:rPr>
              <w:t>5）速度修正</w:t>
            </w:r>
          </w:p>
          <w:p w14:paraId="17FF6751">
            <w:pPr>
              <w:ind w:firstLine="480"/>
              <w:rPr>
                <w:color w:val="auto"/>
              </w:rPr>
            </w:pPr>
            <w:r>
              <w:rPr>
                <w:rFonts w:hint="eastAsia"/>
                <w:color w:val="auto"/>
              </w:rPr>
              <w:t>铁路(时速低于200km/h)运行噪声速度修正按下式计算：</w:t>
            </w:r>
          </w:p>
          <w:p w14:paraId="3C2B54C9">
            <w:pPr>
              <w:ind w:firstLine="480"/>
              <w:rPr>
                <w:color w:val="auto"/>
              </w:rPr>
            </w:pPr>
            <w:r>
              <w:rPr>
                <w:rFonts w:hint="eastAsia"/>
                <w:color w:val="auto"/>
              </w:rPr>
              <w:t>（a）普通铁路，v＜35km/h，高架线及地面线</w:t>
            </w:r>
          </w:p>
          <w:p w14:paraId="65606B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auto"/>
              </w:rPr>
            </w:pPr>
            <w:r>
              <w:rPr>
                <w:rFonts w:hint="eastAsia"/>
                <w:color w:val="auto"/>
              </w:rPr>
              <w:drawing>
                <wp:inline distT="0" distB="0" distL="114300" distR="114300">
                  <wp:extent cx="920750" cy="401320"/>
                  <wp:effectExtent l="0" t="0" r="12700" b="17780"/>
                  <wp:docPr id="1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
                          <pic:cNvPicPr>
                            <a:picLocks noChangeAspect="1"/>
                          </pic:cNvPicPr>
                        </pic:nvPicPr>
                        <pic:blipFill>
                          <a:blip r:embed="rId26"/>
                          <a:stretch>
                            <a:fillRect/>
                          </a:stretch>
                        </pic:blipFill>
                        <pic:spPr>
                          <a:xfrm>
                            <a:off x="0" y="0"/>
                            <a:ext cx="920750" cy="401320"/>
                          </a:xfrm>
                          <a:prstGeom prst="rect">
                            <a:avLst/>
                          </a:prstGeom>
                          <a:noFill/>
                          <a:ln>
                            <a:noFill/>
                          </a:ln>
                        </pic:spPr>
                      </pic:pic>
                    </a:graphicData>
                  </a:graphic>
                </wp:inline>
              </w:drawing>
            </w:r>
          </w:p>
          <w:p w14:paraId="3F1C12B1">
            <w:pPr>
              <w:ind w:firstLine="480"/>
              <w:rPr>
                <w:color w:val="auto"/>
              </w:rPr>
            </w:pPr>
            <w:r>
              <w:rPr>
                <w:rFonts w:hint="eastAsia"/>
                <w:color w:val="auto"/>
              </w:rPr>
              <w:t>(b)普通铁路，60km/h≤v＜200km/h，高架线</w:t>
            </w:r>
          </w:p>
          <w:p w14:paraId="3305F036">
            <w:pPr>
              <w:ind w:firstLine="0" w:firstLineChars="0"/>
              <w:jc w:val="center"/>
              <w:rPr>
                <w:color w:val="auto"/>
              </w:rPr>
            </w:pPr>
            <w:r>
              <w:rPr>
                <w:rFonts w:hint="eastAsia"/>
                <w:color w:val="auto"/>
              </w:rPr>
              <w:drawing>
                <wp:inline distT="0" distB="0" distL="114300" distR="114300">
                  <wp:extent cx="853440" cy="391795"/>
                  <wp:effectExtent l="0" t="0" r="3810" b="8255"/>
                  <wp:docPr id="1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9"/>
                          <pic:cNvPicPr>
                            <a:picLocks noChangeAspect="1"/>
                          </pic:cNvPicPr>
                        </pic:nvPicPr>
                        <pic:blipFill>
                          <a:blip r:embed="rId27"/>
                          <a:stretch>
                            <a:fillRect/>
                          </a:stretch>
                        </pic:blipFill>
                        <pic:spPr>
                          <a:xfrm>
                            <a:off x="0" y="0"/>
                            <a:ext cx="853440" cy="391795"/>
                          </a:xfrm>
                          <a:prstGeom prst="rect">
                            <a:avLst/>
                          </a:prstGeom>
                          <a:noFill/>
                          <a:ln>
                            <a:noFill/>
                          </a:ln>
                        </pic:spPr>
                      </pic:pic>
                    </a:graphicData>
                  </a:graphic>
                </wp:inline>
              </w:drawing>
            </w:r>
          </w:p>
          <w:p w14:paraId="05DD0E47">
            <w:pPr>
              <w:ind w:firstLine="480"/>
              <w:rPr>
                <w:color w:val="auto"/>
              </w:rPr>
            </w:pPr>
            <w:r>
              <w:rPr>
                <w:rFonts w:hint="eastAsia"/>
                <w:color w:val="auto"/>
              </w:rPr>
              <w:t>式中：</w:t>
            </w:r>
          </w:p>
          <w:p w14:paraId="0C797849">
            <w:pPr>
              <w:ind w:firstLine="480"/>
              <w:rPr>
                <w:color w:val="auto"/>
              </w:rPr>
            </w:pPr>
            <w:r>
              <w:rPr>
                <w:rFonts w:hint="eastAsia"/>
                <w:color w:val="auto"/>
              </w:rPr>
              <w:t>Ct,v—速度修正，dB；</w:t>
            </w:r>
          </w:p>
          <w:p w14:paraId="2B084EBB">
            <w:pPr>
              <w:ind w:firstLine="480"/>
              <w:rPr>
                <w:color w:val="auto"/>
              </w:rPr>
            </w:pPr>
            <w:r>
              <w:rPr>
                <w:rFonts w:hint="eastAsia"/>
                <w:color w:val="auto"/>
              </w:rPr>
              <w:t>v0—噪声源强的参考速度，km/h，该速度应在预测点设计速度的75%~125%范围内；</w:t>
            </w:r>
          </w:p>
          <w:p w14:paraId="78C116F9">
            <w:pPr>
              <w:ind w:firstLine="480"/>
              <w:rPr>
                <w:color w:val="auto"/>
              </w:rPr>
            </w:pPr>
            <w:r>
              <w:rPr>
                <w:rFonts w:hint="eastAsia"/>
                <w:color w:val="auto"/>
              </w:rPr>
              <w:t>v—列车通过预测点的运行速度，km/h。</w:t>
            </w:r>
          </w:p>
          <w:p w14:paraId="229B53C2">
            <w:pPr>
              <w:ind w:firstLine="480"/>
              <w:rPr>
                <w:color w:val="auto"/>
              </w:rPr>
            </w:pPr>
            <w:r>
              <w:rPr>
                <w:rFonts w:hint="eastAsia"/>
                <w:color w:val="auto"/>
              </w:rPr>
              <w:t>6）列车运行噪声垂向指向性修正(Ct,θ)</w:t>
            </w:r>
          </w:p>
          <w:p w14:paraId="3BE8F259">
            <w:pPr>
              <w:ind w:firstLine="480"/>
              <w:rPr>
                <w:color w:val="auto"/>
              </w:rPr>
            </w:pPr>
            <w:r>
              <w:rPr>
                <w:rFonts w:hint="eastAsia"/>
                <w:color w:val="auto"/>
              </w:rPr>
              <w:t>地面线或高架线无挡板结构时(θ是以高于轨面以上0.5m，即声源位置，为水平基准)：</w:t>
            </w:r>
          </w:p>
          <w:p w14:paraId="72A61500">
            <w:pPr>
              <w:ind w:firstLine="0" w:firstLineChars="0"/>
              <w:jc w:val="center"/>
              <w:rPr>
                <w:color w:val="auto"/>
              </w:rPr>
            </w:pPr>
            <w:r>
              <w:rPr>
                <w:rFonts w:hint="eastAsia"/>
                <w:color w:val="auto"/>
              </w:rPr>
              <w:drawing>
                <wp:inline distT="0" distB="0" distL="114300" distR="114300">
                  <wp:extent cx="3163570" cy="991870"/>
                  <wp:effectExtent l="0" t="0" r="17780" b="17780"/>
                  <wp:docPr id="1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0"/>
                          <pic:cNvPicPr>
                            <a:picLocks noChangeAspect="1"/>
                          </pic:cNvPicPr>
                        </pic:nvPicPr>
                        <pic:blipFill>
                          <a:blip r:embed="rId28"/>
                          <a:stretch>
                            <a:fillRect/>
                          </a:stretch>
                        </pic:blipFill>
                        <pic:spPr>
                          <a:xfrm>
                            <a:off x="0" y="0"/>
                            <a:ext cx="3163570" cy="991870"/>
                          </a:xfrm>
                          <a:prstGeom prst="rect">
                            <a:avLst/>
                          </a:prstGeom>
                          <a:noFill/>
                          <a:ln>
                            <a:noFill/>
                          </a:ln>
                        </pic:spPr>
                      </pic:pic>
                    </a:graphicData>
                  </a:graphic>
                </wp:inline>
              </w:drawing>
            </w:r>
          </w:p>
          <w:p w14:paraId="68808494">
            <w:pPr>
              <w:ind w:firstLine="0" w:firstLineChars="0"/>
              <w:jc w:val="center"/>
              <w:rPr>
                <w:color w:val="auto"/>
              </w:rPr>
            </w:pPr>
            <w:r>
              <w:rPr>
                <w:rFonts w:hint="eastAsia"/>
                <w:color w:val="auto"/>
              </w:rPr>
              <w:t>高架线两侧轨面以上有挡板结构或U型梁腹板等遮挡时：</w:t>
            </w:r>
          </w:p>
          <w:p w14:paraId="256B0B0B">
            <w:pPr>
              <w:ind w:firstLine="0" w:firstLineChars="0"/>
              <w:jc w:val="center"/>
              <w:rPr>
                <w:color w:val="auto"/>
              </w:rPr>
            </w:pPr>
            <w:r>
              <w:rPr>
                <w:color w:val="auto"/>
              </w:rPr>
              <w:drawing>
                <wp:inline distT="0" distB="0" distL="114300" distR="114300">
                  <wp:extent cx="2954020" cy="867410"/>
                  <wp:effectExtent l="0" t="0" r="17780" b="8890"/>
                  <wp:docPr id="1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1"/>
                          <pic:cNvPicPr>
                            <a:picLocks noChangeAspect="1"/>
                          </pic:cNvPicPr>
                        </pic:nvPicPr>
                        <pic:blipFill>
                          <a:blip r:embed="rId29"/>
                          <a:stretch>
                            <a:fillRect/>
                          </a:stretch>
                        </pic:blipFill>
                        <pic:spPr>
                          <a:xfrm>
                            <a:off x="0" y="0"/>
                            <a:ext cx="2954020" cy="867410"/>
                          </a:xfrm>
                          <a:prstGeom prst="rect">
                            <a:avLst/>
                          </a:prstGeom>
                          <a:noFill/>
                          <a:ln>
                            <a:noFill/>
                          </a:ln>
                        </pic:spPr>
                      </pic:pic>
                    </a:graphicData>
                  </a:graphic>
                </wp:inline>
              </w:drawing>
            </w:r>
          </w:p>
          <w:p w14:paraId="16936058">
            <w:pPr>
              <w:ind w:firstLine="480"/>
              <w:rPr>
                <w:color w:val="auto"/>
              </w:rPr>
            </w:pPr>
            <w:r>
              <w:rPr>
                <w:rFonts w:hint="eastAsia"/>
                <w:color w:val="auto"/>
              </w:rPr>
              <w:t>式中：</w:t>
            </w:r>
          </w:p>
          <w:p w14:paraId="2EE3BE0D">
            <w:pPr>
              <w:ind w:firstLine="480"/>
              <w:rPr>
                <w:rFonts w:hint="default" w:ascii="Times New Roman" w:hAnsi="Times New Roman" w:cs="Times New Roman"/>
                <w:color w:val="auto"/>
              </w:rPr>
            </w:pPr>
            <w:r>
              <w:rPr>
                <w:rFonts w:hint="eastAsia"/>
                <w:color w:val="auto"/>
              </w:rPr>
              <w:t>C</w:t>
            </w:r>
            <w:r>
              <w:rPr>
                <w:rFonts w:hint="default" w:ascii="Times New Roman" w:hAnsi="Times New Roman" w:cs="Times New Roman"/>
                <w:color w:val="auto"/>
              </w:rPr>
              <w:t>t,θ—列车运行噪声垂向指向性修正，dB；</w:t>
            </w:r>
          </w:p>
          <w:p w14:paraId="71FEC765">
            <w:pPr>
              <w:ind w:firstLine="480"/>
              <w:rPr>
                <w:rFonts w:hint="default" w:ascii="Times New Roman" w:hAnsi="Times New Roman" w:cs="Times New Roman"/>
                <w:color w:val="auto"/>
              </w:rPr>
            </w:pPr>
            <w:r>
              <w:rPr>
                <w:rFonts w:hint="default" w:ascii="Times New Roman" w:hAnsi="Times New Roman" w:cs="Times New Roman"/>
                <w:color w:val="auto"/>
              </w:rPr>
              <w:t>θ—预</w:t>
            </w:r>
            <w:r>
              <w:rPr>
                <w:rFonts w:hint="eastAsia"/>
                <w:color w:val="auto"/>
              </w:rPr>
              <w:t>测点与声源水平方向夹角，</w:t>
            </w:r>
            <w:r>
              <w:rPr>
                <w:rFonts w:hint="default" w:ascii="Times New Roman" w:hAnsi="Times New Roman" w:cs="Times New Roman"/>
                <w:color w:val="auto"/>
              </w:rPr>
              <w:t>(°)。</w:t>
            </w:r>
          </w:p>
          <w:p w14:paraId="56346341">
            <w:pPr>
              <w:ind w:firstLine="480"/>
              <w:rPr>
                <w:color w:val="auto"/>
              </w:rPr>
            </w:pPr>
            <w:r>
              <w:rPr>
                <w:rFonts w:hint="eastAsia"/>
                <w:color w:val="auto"/>
              </w:rPr>
              <w:t>线路和轨道结构修正见下表。</w:t>
            </w:r>
          </w:p>
          <w:p w14:paraId="32D08E4E">
            <w:pPr>
              <w:pStyle w:val="33"/>
              <w:rPr>
                <w:color w:val="auto"/>
              </w:rPr>
            </w:pPr>
            <w:r>
              <w:rPr>
                <w:rFonts w:hint="eastAsia"/>
                <w:color w:val="auto"/>
              </w:rPr>
              <w:t>表4-7 不同线路和轨道条件噪声修正值一览表</w:t>
            </w:r>
          </w:p>
          <w:tbl>
            <w:tblPr>
              <w:tblStyle w:val="25"/>
              <w:tblW w:w="4999"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681"/>
              <w:gridCol w:w="1991"/>
              <w:gridCol w:w="2588"/>
            </w:tblGrid>
            <w:tr w14:paraId="168E037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3217" w:type="pct"/>
                  <w:gridSpan w:val="2"/>
                  <w:vAlign w:val="center"/>
                </w:tcPr>
                <w:p w14:paraId="05F00A13">
                  <w:pPr>
                    <w:pStyle w:val="30"/>
                    <w:rPr>
                      <w:color w:val="auto"/>
                    </w:rPr>
                  </w:pPr>
                  <w:r>
                    <w:rPr>
                      <w:color w:val="auto"/>
                    </w:rPr>
                    <w:t>线路类型</w:t>
                  </w:r>
                </w:p>
              </w:tc>
              <w:tc>
                <w:tcPr>
                  <w:tcW w:w="1782" w:type="pct"/>
                  <w:vAlign w:val="center"/>
                </w:tcPr>
                <w:p w14:paraId="64BF362B">
                  <w:pPr>
                    <w:pStyle w:val="30"/>
                    <w:rPr>
                      <w:color w:val="auto"/>
                    </w:rPr>
                  </w:pPr>
                  <w:r>
                    <w:rPr>
                      <w:color w:val="auto"/>
                    </w:rPr>
                    <w:t>噪声修正值/dB (A)</w:t>
                  </w:r>
                </w:p>
              </w:tc>
            </w:tr>
            <w:tr w14:paraId="18E24F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2" w:hRule="atLeast"/>
              </w:trPr>
              <w:tc>
                <w:tcPr>
                  <w:tcW w:w="1846" w:type="pct"/>
                  <w:vMerge w:val="restart"/>
                  <w:vAlign w:val="center"/>
                </w:tcPr>
                <w:p w14:paraId="612798A9">
                  <w:pPr>
                    <w:pStyle w:val="30"/>
                    <w:rPr>
                      <w:color w:val="auto"/>
                    </w:rPr>
                  </w:pPr>
                  <w:r>
                    <w:rPr>
                      <w:color w:val="auto"/>
                    </w:rPr>
                    <w:t>线路平面圆曲线半径(R)</w:t>
                  </w:r>
                </w:p>
              </w:tc>
              <w:tc>
                <w:tcPr>
                  <w:tcW w:w="1370" w:type="pct"/>
                  <w:vAlign w:val="center"/>
                </w:tcPr>
                <w:p w14:paraId="47188095">
                  <w:pPr>
                    <w:pStyle w:val="30"/>
                    <w:rPr>
                      <w:color w:val="auto"/>
                    </w:rPr>
                  </w:pPr>
                  <w:r>
                    <w:rPr>
                      <w:color w:val="auto"/>
                    </w:rPr>
                    <w:t>R＜300m</w:t>
                  </w:r>
                </w:p>
              </w:tc>
              <w:tc>
                <w:tcPr>
                  <w:tcW w:w="1782" w:type="pct"/>
                  <w:vAlign w:val="center"/>
                </w:tcPr>
                <w:p w14:paraId="1209B145">
                  <w:pPr>
                    <w:pStyle w:val="30"/>
                    <w:rPr>
                      <w:color w:val="auto"/>
                    </w:rPr>
                  </w:pPr>
                  <w:r>
                    <w:rPr>
                      <w:color w:val="auto"/>
                    </w:rPr>
                    <w:t>+8</w:t>
                  </w:r>
                </w:p>
              </w:tc>
            </w:tr>
            <w:tr w14:paraId="5437A37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4" w:hRule="atLeast"/>
              </w:trPr>
              <w:tc>
                <w:tcPr>
                  <w:tcW w:w="1846" w:type="pct"/>
                  <w:vMerge w:val="continue"/>
                  <w:vAlign w:val="center"/>
                </w:tcPr>
                <w:p w14:paraId="3D006FC8">
                  <w:pPr>
                    <w:pStyle w:val="30"/>
                    <w:rPr>
                      <w:color w:val="auto"/>
                    </w:rPr>
                  </w:pPr>
                </w:p>
              </w:tc>
              <w:tc>
                <w:tcPr>
                  <w:tcW w:w="1370" w:type="pct"/>
                  <w:vAlign w:val="center"/>
                </w:tcPr>
                <w:p w14:paraId="54CD2A5D">
                  <w:pPr>
                    <w:pStyle w:val="30"/>
                    <w:rPr>
                      <w:color w:val="auto"/>
                    </w:rPr>
                  </w:pPr>
                  <w:r>
                    <w:rPr>
                      <w:color w:val="auto"/>
                    </w:rPr>
                    <w:t>300m≤R≤500m</w:t>
                  </w:r>
                </w:p>
              </w:tc>
              <w:tc>
                <w:tcPr>
                  <w:tcW w:w="1782" w:type="pct"/>
                  <w:vAlign w:val="center"/>
                </w:tcPr>
                <w:p w14:paraId="5DDF2267">
                  <w:pPr>
                    <w:pStyle w:val="30"/>
                    <w:rPr>
                      <w:color w:val="auto"/>
                    </w:rPr>
                  </w:pPr>
                  <w:r>
                    <w:rPr>
                      <w:color w:val="auto"/>
                    </w:rPr>
                    <w:t>+3</w:t>
                  </w:r>
                </w:p>
              </w:tc>
            </w:tr>
            <w:tr w14:paraId="1192ABC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5" w:hRule="atLeast"/>
              </w:trPr>
              <w:tc>
                <w:tcPr>
                  <w:tcW w:w="1846" w:type="pct"/>
                  <w:vMerge w:val="continue"/>
                  <w:vAlign w:val="center"/>
                </w:tcPr>
                <w:p w14:paraId="75878C42">
                  <w:pPr>
                    <w:pStyle w:val="30"/>
                    <w:rPr>
                      <w:color w:val="auto"/>
                    </w:rPr>
                  </w:pPr>
                </w:p>
              </w:tc>
              <w:tc>
                <w:tcPr>
                  <w:tcW w:w="1370" w:type="pct"/>
                  <w:vAlign w:val="center"/>
                </w:tcPr>
                <w:p w14:paraId="6C1CB35D">
                  <w:pPr>
                    <w:pStyle w:val="30"/>
                    <w:rPr>
                      <w:color w:val="auto"/>
                    </w:rPr>
                  </w:pPr>
                  <w:r>
                    <w:rPr>
                      <w:color w:val="auto"/>
                    </w:rPr>
                    <w:t>R＞500m</w:t>
                  </w:r>
                </w:p>
              </w:tc>
              <w:tc>
                <w:tcPr>
                  <w:tcW w:w="1782" w:type="pct"/>
                  <w:vAlign w:val="center"/>
                </w:tcPr>
                <w:p w14:paraId="2419EC80">
                  <w:pPr>
                    <w:pStyle w:val="30"/>
                    <w:rPr>
                      <w:color w:val="auto"/>
                    </w:rPr>
                  </w:pPr>
                  <w:r>
                    <w:rPr>
                      <w:color w:val="auto"/>
                    </w:rPr>
                    <w:t>+0</w:t>
                  </w:r>
                </w:p>
              </w:tc>
            </w:tr>
            <w:tr w14:paraId="055D46C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2" w:hRule="atLeast"/>
              </w:trPr>
              <w:tc>
                <w:tcPr>
                  <w:tcW w:w="3217" w:type="pct"/>
                  <w:gridSpan w:val="2"/>
                  <w:vAlign w:val="center"/>
                </w:tcPr>
                <w:p w14:paraId="42D439B2">
                  <w:pPr>
                    <w:pStyle w:val="30"/>
                    <w:rPr>
                      <w:color w:val="auto"/>
                    </w:rPr>
                  </w:pPr>
                  <w:r>
                    <w:rPr>
                      <w:color w:val="auto"/>
                    </w:rPr>
                    <w:t>有缝线路</w:t>
                  </w:r>
                </w:p>
              </w:tc>
              <w:tc>
                <w:tcPr>
                  <w:tcW w:w="1782" w:type="pct"/>
                  <w:vAlign w:val="center"/>
                </w:tcPr>
                <w:p w14:paraId="62B6440B">
                  <w:pPr>
                    <w:pStyle w:val="30"/>
                    <w:rPr>
                      <w:color w:val="auto"/>
                    </w:rPr>
                  </w:pPr>
                  <w:r>
                    <w:rPr>
                      <w:color w:val="auto"/>
                    </w:rPr>
                    <w:t>+3</w:t>
                  </w:r>
                </w:p>
              </w:tc>
            </w:tr>
            <w:tr w14:paraId="454BB2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3217" w:type="pct"/>
                  <w:gridSpan w:val="2"/>
                  <w:vAlign w:val="center"/>
                </w:tcPr>
                <w:p w14:paraId="6671A9B1">
                  <w:pPr>
                    <w:pStyle w:val="30"/>
                    <w:rPr>
                      <w:color w:val="auto"/>
                    </w:rPr>
                  </w:pPr>
                  <w:r>
                    <w:rPr>
                      <w:color w:val="auto"/>
                    </w:rPr>
                    <w:t>道岔和交叉线路</w:t>
                  </w:r>
                </w:p>
              </w:tc>
              <w:tc>
                <w:tcPr>
                  <w:tcW w:w="1782" w:type="pct"/>
                  <w:vAlign w:val="center"/>
                </w:tcPr>
                <w:p w14:paraId="3187E43C">
                  <w:pPr>
                    <w:pStyle w:val="30"/>
                    <w:rPr>
                      <w:color w:val="auto"/>
                    </w:rPr>
                  </w:pPr>
                  <w:r>
                    <w:rPr>
                      <w:color w:val="auto"/>
                    </w:rPr>
                    <w:t>+4</w:t>
                  </w:r>
                </w:p>
              </w:tc>
            </w:tr>
            <w:tr w14:paraId="05BADF3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2" w:hRule="atLeast"/>
              </w:trPr>
              <w:tc>
                <w:tcPr>
                  <w:tcW w:w="3217" w:type="pct"/>
                  <w:gridSpan w:val="2"/>
                  <w:vAlign w:val="center"/>
                </w:tcPr>
                <w:p w14:paraId="03FB92C5">
                  <w:pPr>
                    <w:pStyle w:val="30"/>
                    <w:rPr>
                      <w:color w:val="auto"/>
                    </w:rPr>
                  </w:pPr>
                  <w:r>
                    <w:rPr>
                      <w:color w:val="auto"/>
                    </w:rPr>
                    <w:t>坡道(上坡，坡度＞6‰)</w:t>
                  </w:r>
                </w:p>
              </w:tc>
              <w:tc>
                <w:tcPr>
                  <w:tcW w:w="1782" w:type="pct"/>
                  <w:vAlign w:val="center"/>
                </w:tcPr>
                <w:p w14:paraId="653A3973">
                  <w:pPr>
                    <w:pStyle w:val="30"/>
                    <w:rPr>
                      <w:color w:val="auto"/>
                    </w:rPr>
                  </w:pPr>
                  <w:r>
                    <w:rPr>
                      <w:color w:val="auto"/>
                    </w:rPr>
                    <w:t>+2</w:t>
                  </w:r>
                </w:p>
              </w:tc>
            </w:tr>
            <w:tr w14:paraId="5452C8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3217" w:type="pct"/>
                  <w:gridSpan w:val="2"/>
                  <w:vAlign w:val="center"/>
                </w:tcPr>
                <w:p w14:paraId="6D125D81">
                  <w:pPr>
                    <w:pStyle w:val="30"/>
                    <w:rPr>
                      <w:color w:val="auto"/>
                    </w:rPr>
                  </w:pPr>
                  <w:r>
                    <w:rPr>
                      <w:color w:val="auto"/>
                    </w:rPr>
                    <w:t>有砟轨道</w:t>
                  </w:r>
                </w:p>
              </w:tc>
              <w:tc>
                <w:tcPr>
                  <w:tcW w:w="1782" w:type="pct"/>
                  <w:vAlign w:val="center"/>
                </w:tcPr>
                <w:p w14:paraId="749A08DC">
                  <w:pPr>
                    <w:pStyle w:val="30"/>
                    <w:rPr>
                      <w:color w:val="auto"/>
                    </w:rPr>
                  </w:pPr>
                  <w:r>
                    <w:rPr>
                      <w:color w:val="auto"/>
                    </w:rPr>
                    <w:t>-3</w:t>
                  </w:r>
                </w:p>
              </w:tc>
            </w:tr>
          </w:tbl>
          <w:p w14:paraId="06E0A63E">
            <w:pPr>
              <w:ind w:firstLine="480"/>
              <w:rPr>
                <w:color w:val="auto"/>
              </w:rPr>
            </w:pPr>
            <w:r>
              <w:rPr>
                <w:rFonts w:hint="eastAsia"/>
                <w:color w:val="auto"/>
              </w:rPr>
              <w:t>7）列车运行噪声几何发散衰减</w:t>
            </w:r>
          </w:p>
          <w:p w14:paraId="7356506B">
            <w:pPr>
              <w:ind w:firstLine="0" w:firstLineChars="0"/>
              <w:jc w:val="center"/>
              <w:rPr>
                <w:color w:val="auto"/>
              </w:rPr>
            </w:pPr>
            <w:r>
              <w:rPr>
                <w:color w:val="auto"/>
              </w:rPr>
              <w:drawing>
                <wp:inline distT="0" distB="0" distL="114300" distR="114300">
                  <wp:extent cx="2501265" cy="841375"/>
                  <wp:effectExtent l="0" t="0" r="13335" b="15875"/>
                  <wp:docPr id="1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
                          <pic:cNvPicPr>
                            <a:picLocks noChangeAspect="1"/>
                          </pic:cNvPicPr>
                        </pic:nvPicPr>
                        <pic:blipFill>
                          <a:blip r:embed="rId30"/>
                          <a:stretch>
                            <a:fillRect/>
                          </a:stretch>
                        </pic:blipFill>
                        <pic:spPr>
                          <a:xfrm>
                            <a:off x="0" y="0"/>
                            <a:ext cx="2501265" cy="841375"/>
                          </a:xfrm>
                          <a:prstGeom prst="rect">
                            <a:avLst/>
                          </a:prstGeom>
                          <a:noFill/>
                          <a:ln>
                            <a:noFill/>
                          </a:ln>
                        </pic:spPr>
                      </pic:pic>
                    </a:graphicData>
                  </a:graphic>
                </wp:inline>
              </w:drawing>
            </w:r>
          </w:p>
          <w:p w14:paraId="5158060A">
            <w:pPr>
              <w:ind w:firstLine="480"/>
              <w:rPr>
                <w:color w:val="auto"/>
              </w:rPr>
            </w:pPr>
            <w:r>
              <w:rPr>
                <w:rFonts w:hint="eastAsia"/>
                <w:color w:val="auto"/>
              </w:rPr>
              <w:t>式中：</w:t>
            </w:r>
          </w:p>
          <w:p w14:paraId="38ECA080">
            <w:pPr>
              <w:ind w:firstLine="480"/>
              <w:rPr>
                <w:color w:val="auto"/>
              </w:rPr>
            </w:pPr>
            <w:r>
              <w:rPr>
                <w:rFonts w:hint="eastAsia"/>
                <w:color w:val="auto"/>
              </w:rPr>
              <w:t>At,div—列车运行噪声几何发散衰减，dB；</w:t>
            </w:r>
          </w:p>
          <w:p w14:paraId="68D6136F">
            <w:pPr>
              <w:ind w:firstLine="480"/>
              <w:rPr>
                <w:color w:val="auto"/>
              </w:rPr>
            </w:pPr>
            <w:r>
              <w:rPr>
                <w:rFonts w:hint="eastAsia"/>
                <w:color w:val="auto"/>
              </w:rPr>
              <w:t>d0—源强点至声源的直线距离，m；</w:t>
            </w:r>
          </w:p>
          <w:p w14:paraId="77B4675B">
            <w:pPr>
              <w:ind w:firstLine="480"/>
              <w:rPr>
                <w:color w:val="auto"/>
              </w:rPr>
            </w:pPr>
            <w:r>
              <w:rPr>
                <w:rFonts w:hint="eastAsia"/>
                <w:color w:val="auto"/>
              </w:rPr>
              <w:t>d—预测点至声源的直线距离，m；</w:t>
            </w:r>
          </w:p>
          <w:p w14:paraId="5EEE0CB0">
            <w:pPr>
              <w:ind w:firstLine="480"/>
              <w:rPr>
                <w:color w:val="auto"/>
              </w:rPr>
            </w:pPr>
            <w:r>
              <w:rPr>
                <w:rFonts w:hint="eastAsia"/>
                <w:color w:val="auto"/>
              </w:rPr>
              <w:t>l—列车长度，m。</w:t>
            </w:r>
          </w:p>
          <w:p w14:paraId="6D6994E0">
            <w:pPr>
              <w:ind w:firstLine="480"/>
              <w:rPr>
                <w:color w:val="auto"/>
              </w:rPr>
            </w:pPr>
            <w:r>
              <w:rPr>
                <w:rFonts w:hint="eastAsia"/>
                <w:color w:val="auto"/>
              </w:rPr>
              <w:t>8）声屏障插入损失</w:t>
            </w:r>
          </w:p>
          <w:p w14:paraId="06814685">
            <w:pPr>
              <w:ind w:firstLine="0" w:firstLineChars="0"/>
              <w:jc w:val="center"/>
              <w:rPr>
                <w:color w:val="auto"/>
              </w:rPr>
            </w:pPr>
            <w:r>
              <w:rPr>
                <w:color w:val="auto"/>
              </w:rPr>
              <w:drawing>
                <wp:inline distT="0" distB="0" distL="114300" distR="114300">
                  <wp:extent cx="3611880" cy="556260"/>
                  <wp:effectExtent l="0" t="0" r="7620" b="15240"/>
                  <wp:docPr id="1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3"/>
                          <pic:cNvPicPr>
                            <a:picLocks noChangeAspect="1"/>
                          </pic:cNvPicPr>
                        </pic:nvPicPr>
                        <pic:blipFill>
                          <a:blip r:embed="rId31"/>
                          <a:stretch>
                            <a:fillRect/>
                          </a:stretch>
                        </pic:blipFill>
                        <pic:spPr>
                          <a:xfrm>
                            <a:off x="0" y="0"/>
                            <a:ext cx="3611880" cy="556260"/>
                          </a:xfrm>
                          <a:prstGeom prst="rect">
                            <a:avLst/>
                          </a:prstGeom>
                          <a:noFill/>
                          <a:ln>
                            <a:noFill/>
                          </a:ln>
                        </pic:spPr>
                      </pic:pic>
                    </a:graphicData>
                  </a:graphic>
                </wp:inline>
              </w:drawing>
            </w:r>
          </w:p>
          <w:p w14:paraId="287B1A95">
            <w:pPr>
              <w:ind w:firstLine="480"/>
              <w:rPr>
                <w:color w:val="auto"/>
              </w:rPr>
            </w:pPr>
            <w:r>
              <w:rPr>
                <w:rFonts w:hint="eastAsia"/>
                <w:color w:val="auto"/>
              </w:rPr>
              <w:t>式中：</w:t>
            </w:r>
          </w:p>
          <w:p w14:paraId="15B79DCC">
            <w:pPr>
              <w:ind w:firstLine="480"/>
              <w:rPr>
                <w:color w:val="auto"/>
              </w:rPr>
            </w:pPr>
            <w:r>
              <w:rPr>
                <w:rFonts w:hint="eastAsia"/>
                <w:color w:val="auto"/>
              </w:rPr>
              <w:t>Abar —声屏障插入损失，dB；</w:t>
            </w:r>
          </w:p>
          <w:p w14:paraId="402D6284">
            <w:pPr>
              <w:ind w:firstLine="480"/>
              <w:rPr>
                <w:color w:val="auto"/>
              </w:rPr>
            </w:pPr>
            <w:r>
              <w:rPr>
                <w:rFonts w:hint="eastAsia"/>
                <w:color w:val="auto"/>
              </w:rPr>
              <w:t>Lr0 —未安装声屏障时，受声点处声压级，dB；</w:t>
            </w:r>
          </w:p>
          <w:p w14:paraId="28293FC4">
            <w:pPr>
              <w:ind w:firstLine="480"/>
              <w:rPr>
                <w:color w:val="auto"/>
              </w:rPr>
            </w:pPr>
            <w:r>
              <w:rPr>
                <w:rFonts w:hint="eastAsia"/>
                <w:color w:val="auto"/>
              </w:rPr>
              <w:t>Lr —安装声屏障后，受声点处声压级，dB；</w:t>
            </w:r>
          </w:p>
          <w:p w14:paraId="51800590">
            <w:pPr>
              <w:ind w:firstLine="480"/>
              <w:rPr>
                <w:color w:val="auto"/>
              </w:rPr>
            </w:pPr>
            <w:r>
              <w:rPr>
                <w:rFonts w:hint="eastAsia"/>
                <w:color w:val="auto"/>
              </w:rPr>
              <w:t>NRC—声屏障的降噪系数；</w:t>
            </w:r>
          </w:p>
          <w:p w14:paraId="37624A77">
            <w:pPr>
              <w:ind w:firstLine="480"/>
              <w:rPr>
                <w:color w:val="auto"/>
              </w:rPr>
            </w:pPr>
            <w:r>
              <w:rPr>
                <w:rFonts w:hint="eastAsia"/>
                <w:color w:val="auto"/>
              </w:rPr>
              <w:t>A’b0 —安装声屏障后，受声点处声源顶端绕射衰减，dB；</w:t>
            </w:r>
          </w:p>
          <w:p w14:paraId="50CF9950">
            <w:pPr>
              <w:ind w:firstLine="480"/>
              <w:rPr>
                <w:color w:val="auto"/>
              </w:rPr>
            </w:pPr>
            <w:r>
              <w:rPr>
                <w:rFonts w:hint="eastAsia"/>
                <w:color w:val="auto"/>
              </w:rPr>
              <w:t>A’bl —安装声屏障后，受声点处一次反射后等效声源位置的顶端绕射衰减， dB，当受声点位于一次反射后等效声源位置与声屏障的声亮区时， A’bl可取为5；</w:t>
            </w:r>
          </w:p>
          <w:p w14:paraId="473962FC">
            <w:pPr>
              <w:ind w:firstLine="480"/>
              <w:rPr>
                <w:color w:val="auto"/>
              </w:rPr>
            </w:pPr>
            <w:r>
              <w:rPr>
                <w:rFonts w:hint="eastAsia"/>
                <w:color w:val="auto"/>
              </w:rPr>
              <w:t>d0 —受声点至声源S0直线距离，m；</w:t>
            </w:r>
          </w:p>
          <w:p w14:paraId="7F973DFA">
            <w:pPr>
              <w:ind w:firstLine="480"/>
              <w:rPr>
                <w:color w:val="auto"/>
              </w:rPr>
            </w:pPr>
            <w:r>
              <w:rPr>
                <w:rFonts w:hint="eastAsia"/>
                <w:color w:val="auto"/>
              </w:rPr>
              <w:t>d1—受声点至一次反射后等效声源位置S1直线距离，m。</w:t>
            </w:r>
          </w:p>
          <w:p w14:paraId="68319741">
            <w:pPr>
              <w:ind w:firstLine="480"/>
              <w:rPr>
                <w:color w:val="auto"/>
              </w:rPr>
            </w:pPr>
            <w:r>
              <w:rPr>
                <w:rFonts w:hint="eastAsia"/>
                <w:color w:val="auto"/>
              </w:rPr>
              <w:t>（2）地面效应引起的衰减</w:t>
            </w:r>
          </w:p>
          <w:p w14:paraId="51848722">
            <w:pPr>
              <w:ind w:firstLine="480"/>
              <w:rPr>
                <w:color w:val="auto"/>
              </w:rPr>
            </w:pPr>
            <w:r>
              <w:rPr>
                <w:rFonts w:hint="eastAsia"/>
                <w:color w:val="auto"/>
              </w:rPr>
              <w:t>声波掠过疏松地面传播时，或大部分为疏松地面的混合地面，在预测点仅计算A声级前提下，地面效应引起的倍频带衰减可用式下式计算：</w:t>
            </w:r>
          </w:p>
          <w:p w14:paraId="6440FA1E">
            <w:pPr>
              <w:ind w:firstLine="0" w:firstLineChars="0"/>
              <w:jc w:val="center"/>
              <w:rPr>
                <w:color w:val="auto"/>
              </w:rPr>
            </w:pPr>
            <w:r>
              <w:rPr>
                <w:color w:val="auto"/>
              </w:rPr>
              <w:drawing>
                <wp:inline distT="0" distB="0" distL="114300" distR="114300">
                  <wp:extent cx="1879600" cy="399415"/>
                  <wp:effectExtent l="0" t="0" r="6350" b="635"/>
                  <wp:docPr id="1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4"/>
                          <pic:cNvPicPr>
                            <a:picLocks noChangeAspect="1"/>
                          </pic:cNvPicPr>
                        </pic:nvPicPr>
                        <pic:blipFill>
                          <a:blip r:embed="rId32"/>
                          <a:stretch>
                            <a:fillRect/>
                          </a:stretch>
                        </pic:blipFill>
                        <pic:spPr>
                          <a:xfrm>
                            <a:off x="0" y="0"/>
                            <a:ext cx="1879600" cy="399415"/>
                          </a:xfrm>
                          <a:prstGeom prst="rect">
                            <a:avLst/>
                          </a:prstGeom>
                          <a:noFill/>
                          <a:ln>
                            <a:noFill/>
                          </a:ln>
                        </pic:spPr>
                      </pic:pic>
                    </a:graphicData>
                  </a:graphic>
                </wp:inline>
              </w:drawing>
            </w:r>
          </w:p>
          <w:p w14:paraId="2BC837C7">
            <w:pPr>
              <w:ind w:firstLine="480"/>
              <w:rPr>
                <w:color w:val="auto"/>
              </w:rPr>
            </w:pPr>
            <w:r>
              <w:rPr>
                <w:rFonts w:hint="eastAsia"/>
                <w:color w:val="auto"/>
              </w:rPr>
              <w:t>式中：</w:t>
            </w:r>
          </w:p>
          <w:p w14:paraId="3B108FD4">
            <w:pPr>
              <w:ind w:firstLine="480"/>
              <w:rPr>
                <w:color w:val="auto"/>
              </w:rPr>
            </w:pPr>
            <w:r>
              <w:rPr>
                <w:rFonts w:hint="eastAsia"/>
                <w:color w:val="auto"/>
              </w:rPr>
              <w:t>Agr —地面效应引起的衰减，dB；</w:t>
            </w:r>
          </w:p>
          <w:p w14:paraId="056A9D3F">
            <w:pPr>
              <w:ind w:firstLine="480"/>
              <w:rPr>
                <w:color w:val="auto"/>
              </w:rPr>
            </w:pPr>
            <w:r>
              <w:rPr>
                <w:rFonts w:hint="eastAsia"/>
                <w:color w:val="auto"/>
              </w:rPr>
              <w:t>r—预测点距声源的距离，m；</w:t>
            </w:r>
          </w:p>
          <w:p w14:paraId="661F3C92">
            <w:pPr>
              <w:ind w:firstLine="480"/>
              <w:rPr>
                <w:color w:val="auto"/>
              </w:rPr>
            </w:pPr>
            <w:r>
              <w:rPr>
                <w:rFonts w:hint="eastAsia"/>
                <w:color w:val="auto"/>
              </w:rPr>
              <w:t>hm—传播路径的平均离地高度，m。</w:t>
            </w:r>
          </w:p>
          <w:p w14:paraId="5763A034">
            <w:pPr>
              <w:ind w:firstLine="480"/>
              <w:rPr>
                <w:color w:val="auto"/>
              </w:rPr>
            </w:pPr>
            <w:r>
              <w:rPr>
                <w:rFonts w:hint="eastAsia"/>
                <w:color w:val="auto"/>
              </w:rPr>
              <w:t>（3）其他多方面原因引起的衰减量Amisc</w:t>
            </w:r>
          </w:p>
          <w:p w14:paraId="2405CBB3">
            <w:pPr>
              <w:ind w:firstLine="480"/>
              <w:rPr>
                <w:color w:val="auto"/>
              </w:rPr>
            </w:pPr>
            <w:r>
              <w:rPr>
                <w:rFonts w:hint="eastAsia"/>
                <w:color w:val="auto"/>
              </w:rPr>
              <w:t>主要考虑工业场所的衰减；通过房屋群的衰减等。本次环评忽略不计本项衰减量。</w:t>
            </w:r>
          </w:p>
          <w:p w14:paraId="0D645F95">
            <w:pPr>
              <w:ind w:firstLine="480"/>
              <w:rPr>
                <w:color w:val="auto"/>
              </w:rPr>
            </w:pPr>
            <w:r>
              <w:rPr>
                <w:rFonts w:hint="eastAsia"/>
                <w:color w:val="auto"/>
              </w:rPr>
              <w:t>2、铁路环境噪声预测公式</w:t>
            </w:r>
          </w:p>
          <w:p w14:paraId="5EB38A87">
            <w:pPr>
              <w:ind w:firstLine="480"/>
              <w:rPr>
                <w:color w:val="auto"/>
              </w:rPr>
            </w:pPr>
            <w:r>
              <w:rPr>
                <w:rFonts w:hint="eastAsia"/>
                <w:color w:val="auto"/>
              </w:rPr>
              <w:t>铁路环境噪声预测公式如下：</w:t>
            </w:r>
          </w:p>
          <w:p w14:paraId="28D64E1D">
            <w:pPr>
              <w:ind w:firstLine="0" w:firstLineChars="0"/>
              <w:jc w:val="center"/>
              <w:rPr>
                <w:color w:val="auto"/>
              </w:rPr>
            </w:pPr>
            <w:r>
              <w:rPr>
                <w:color w:val="auto"/>
              </w:rPr>
              <w:drawing>
                <wp:inline distT="0" distB="0" distL="114300" distR="114300">
                  <wp:extent cx="2693035" cy="311785"/>
                  <wp:effectExtent l="0" t="0" r="12065" b="12065"/>
                  <wp:docPr id="1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5"/>
                          <pic:cNvPicPr>
                            <a:picLocks noChangeAspect="1"/>
                          </pic:cNvPicPr>
                        </pic:nvPicPr>
                        <pic:blipFill>
                          <a:blip r:embed="rId33"/>
                          <a:stretch>
                            <a:fillRect/>
                          </a:stretch>
                        </pic:blipFill>
                        <pic:spPr>
                          <a:xfrm>
                            <a:off x="0" y="0"/>
                            <a:ext cx="2693035" cy="311785"/>
                          </a:xfrm>
                          <a:prstGeom prst="rect">
                            <a:avLst/>
                          </a:prstGeom>
                          <a:noFill/>
                          <a:ln>
                            <a:noFill/>
                          </a:ln>
                        </pic:spPr>
                      </pic:pic>
                    </a:graphicData>
                  </a:graphic>
                </wp:inline>
              </w:drawing>
            </w:r>
          </w:p>
          <w:p w14:paraId="407F65AF">
            <w:pPr>
              <w:ind w:firstLine="480"/>
              <w:rPr>
                <w:color w:val="auto"/>
              </w:rPr>
            </w:pPr>
            <w:r>
              <w:rPr>
                <w:rFonts w:hint="eastAsia"/>
                <w:color w:val="auto"/>
              </w:rPr>
              <w:t>式中：</w:t>
            </w:r>
          </w:p>
          <w:p w14:paraId="726CB86C">
            <w:pPr>
              <w:ind w:firstLine="480"/>
              <w:rPr>
                <w:color w:val="auto"/>
              </w:rPr>
            </w:pPr>
            <w:r>
              <w:rPr>
                <w:rFonts w:hint="eastAsia"/>
                <w:color w:val="auto"/>
              </w:rPr>
              <w:t>LAeq铁路—预测点昼间或夜间铁路噪声贡献值，dB (A)；</w:t>
            </w:r>
          </w:p>
          <w:p w14:paraId="4FEBFCDF">
            <w:pPr>
              <w:ind w:firstLine="480"/>
              <w:rPr>
                <w:color w:val="auto"/>
              </w:rPr>
            </w:pPr>
            <w:r>
              <w:rPr>
                <w:rFonts w:hint="eastAsia"/>
                <w:color w:val="auto"/>
              </w:rPr>
              <w:t>LAeq背景—预测点的环境噪声背景值，dB (A)。</w:t>
            </w:r>
          </w:p>
          <w:p w14:paraId="2B50D7BF">
            <w:pPr>
              <w:ind w:firstLine="480"/>
              <w:rPr>
                <w:color w:val="auto"/>
              </w:rPr>
            </w:pPr>
            <w:r>
              <w:rPr>
                <w:rFonts w:hint="eastAsia"/>
                <w:color w:val="auto"/>
              </w:rPr>
              <w:t>3、预测技术条件</w:t>
            </w:r>
          </w:p>
          <w:p w14:paraId="577180F8">
            <w:pPr>
              <w:ind w:firstLine="480"/>
              <w:rPr>
                <w:color w:val="auto"/>
              </w:rPr>
            </w:pPr>
            <w:r>
              <w:rPr>
                <w:rFonts w:hint="eastAsia"/>
                <w:color w:val="auto"/>
              </w:rPr>
              <w:t>（1）预测年限</w:t>
            </w:r>
          </w:p>
          <w:p w14:paraId="386D87FB">
            <w:pPr>
              <w:ind w:firstLine="480"/>
              <w:rPr>
                <w:color w:val="auto"/>
              </w:rPr>
            </w:pPr>
            <w:r>
              <w:rPr>
                <w:rFonts w:hint="eastAsia"/>
                <w:color w:val="auto"/>
              </w:rPr>
              <w:t>近期为2030年，远期为2040年。</w:t>
            </w:r>
          </w:p>
          <w:p w14:paraId="5D067283">
            <w:pPr>
              <w:ind w:firstLine="480"/>
              <w:rPr>
                <w:color w:val="auto"/>
              </w:rPr>
            </w:pPr>
            <w:r>
              <w:rPr>
                <w:rFonts w:hint="eastAsia"/>
                <w:color w:val="auto"/>
              </w:rPr>
              <w:t>（2）列车类型</w:t>
            </w:r>
          </w:p>
          <w:p w14:paraId="5B63EC9F">
            <w:pPr>
              <w:ind w:firstLine="480"/>
              <w:rPr>
                <w:color w:val="auto"/>
              </w:rPr>
            </w:pPr>
            <w:r>
              <w:rPr>
                <w:rFonts w:hint="eastAsia"/>
                <w:color w:val="auto"/>
              </w:rPr>
              <w:t>内燃牵引、普通货物列车</w:t>
            </w:r>
          </w:p>
          <w:p w14:paraId="23797238">
            <w:pPr>
              <w:ind w:firstLine="480"/>
              <w:rPr>
                <w:color w:val="auto"/>
              </w:rPr>
            </w:pPr>
            <w:r>
              <w:rPr>
                <w:rFonts w:hint="eastAsia"/>
                <w:color w:val="auto"/>
              </w:rPr>
              <w:t>（3）列车长度</w:t>
            </w:r>
          </w:p>
          <w:p w14:paraId="051F9BC0">
            <w:pPr>
              <w:ind w:firstLine="480"/>
              <w:rPr>
                <w:color w:val="auto"/>
              </w:rPr>
            </w:pPr>
            <w:r>
              <w:rPr>
                <w:rFonts w:hint="eastAsia"/>
                <w:color w:val="auto"/>
              </w:rPr>
              <w:t>每辆列车编排列车数为10辆敞车，货车平均长度25m，因此列车长度为250m。</w:t>
            </w:r>
          </w:p>
          <w:p w14:paraId="28A6BA37">
            <w:pPr>
              <w:ind w:firstLine="480"/>
              <w:rPr>
                <w:color w:val="auto"/>
              </w:rPr>
            </w:pPr>
            <w:r>
              <w:rPr>
                <w:rFonts w:hint="eastAsia"/>
                <w:color w:val="auto"/>
              </w:rPr>
              <w:t>（4）列车运行速度</w:t>
            </w:r>
          </w:p>
          <w:p w14:paraId="1F42A2EE">
            <w:pPr>
              <w:ind w:firstLine="480"/>
              <w:rPr>
                <w:color w:val="auto"/>
              </w:rPr>
            </w:pPr>
            <w:r>
              <w:rPr>
                <w:rFonts w:hint="eastAsia"/>
                <w:color w:val="auto"/>
              </w:rPr>
              <w:t>本铁路专用线设计速度最高为40km/h，预测采用的列车运行速度按设计速度确定，即40km/h。</w:t>
            </w:r>
          </w:p>
          <w:p w14:paraId="5A713ADC">
            <w:pPr>
              <w:ind w:firstLine="480"/>
              <w:rPr>
                <w:color w:val="auto"/>
              </w:rPr>
            </w:pPr>
            <w:r>
              <w:rPr>
                <w:rFonts w:hint="eastAsia"/>
                <w:color w:val="auto"/>
              </w:rPr>
              <w:t>（5）轨道条件</w:t>
            </w:r>
          </w:p>
          <w:p w14:paraId="44EBDED1">
            <w:pPr>
              <w:ind w:firstLine="480"/>
              <w:rPr>
                <w:color w:val="auto"/>
              </w:rPr>
            </w:pPr>
            <w:r>
              <w:rPr>
                <w:rFonts w:hint="eastAsia"/>
                <w:color w:val="auto"/>
              </w:rPr>
              <w:t>线路钢轨采用50kg/m、25m长度标准轨，混凝土轨枕，扣板扣件，新Ⅱ型混凝土枕。</w:t>
            </w:r>
          </w:p>
          <w:p w14:paraId="27CFCA0D">
            <w:pPr>
              <w:ind w:firstLine="480"/>
              <w:rPr>
                <w:color w:val="auto"/>
              </w:rPr>
            </w:pPr>
            <w:r>
              <w:rPr>
                <w:rFonts w:hint="eastAsia"/>
                <w:color w:val="auto"/>
              </w:rPr>
              <w:t>（6）列车对数</w:t>
            </w:r>
          </w:p>
          <w:p w14:paraId="69870B31">
            <w:pPr>
              <w:ind w:firstLine="480"/>
              <w:rPr>
                <w:color w:val="auto"/>
              </w:rPr>
            </w:pPr>
            <w:r>
              <w:rPr>
                <w:rFonts w:hint="eastAsia"/>
                <w:color w:val="auto"/>
              </w:rPr>
              <w:t>本工程专用线列车对数为：列车1对/日。运行的全部为货车，列车对数、长度、昼夜车流情况见表4-8。</w:t>
            </w:r>
          </w:p>
          <w:p w14:paraId="7CC55906">
            <w:pPr>
              <w:pStyle w:val="33"/>
              <w:rPr>
                <w:color w:val="auto"/>
              </w:rPr>
            </w:pPr>
            <w:r>
              <w:rPr>
                <w:rFonts w:hint="eastAsia"/>
                <w:color w:val="auto"/>
              </w:rPr>
              <w:t>表4-8 货物列车对数表</w:t>
            </w:r>
          </w:p>
          <w:tbl>
            <w:tblPr>
              <w:tblStyle w:val="25"/>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60"/>
              <w:gridCol w:w="455"/>
              <w:gridCol w:w="482"/>
              <w:gridCol w:w="602"/>
              <w:gridCol w:w="602"/>
              <w:gridCol w:w="602"/>
              <w:gridCol w:w="705"/>
              <w:gridCol w:w="506"/>
              <w:gridCol w:w="482"/>
              <w:gridCol w:w="602"/>
              <w:gridCol w:w="603"/>
              <w:gridCol w:w="603"/>
              <w:gridCol w:w="654"/>
            </w:tblGrid>
            <w:tr w14:paraId="7D4EDE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48" w:type="pct"/>
                  <w:vMerge w:val="restart"/>
                  <w:vAlign w:val="center"/>
                </w:tcPr>
                <w:p w14:paraId="39F52F8B">
                  <w:pPr>
                    <w:pStyle w:val="30"/>
                    <w:rPr>
                      <w:color w:val="auto"/>
                    </w:rPr>
                  </w:pPr>
                  <w:r>
                    <w:rPr>
                      <w:color w:val="auto"/>
                    </w:rPr>
                    <w:t>区段</w:t>
                  </w:r>
                </w:p>
              </w:tc>
              <w:tc>
                <w:tcPr>
                  <w:tcW w:w="2375" w:type="pct"/>
                  <w:gridSpan w:val="6"/>
                  <w:vAlign w:val="center"/>
                </w:tcPr>
                <w:p w14:paraId="0E2DC4C9">
                  <w:pPr>
                    <w:pStyle w:val="30"/>
                    <w:rPr>
                      <w:color w:val="auto"/>
                    </w:rPr>
                  </w:pPr>
                  <w:r>
                    <w:rPr>
                      <w:color w:val="auto"/>
                    </w:rPr>
                    <w:t>203</w:t>
                  </w:r>
                  <w:r>
                    <w:rPr>
                      <w:rFonts w:hint="eastAsia"/>
                      <w:color w:val="auto"/>
                    </w:rPr>
                    <w:t>0</w:t>
                  </w:r>
                  <w:r>
                    <w:rPr>
                      <w:color w:val="auto"/>
                    </w:rPr>
                    <w:t>年</w:t>
                  </w:r>
                </w:p>
              </w:tc>
              <w:tc>
                <w:tcPr>
                  <w:tcW w:w="2375" w:type="pct"/>
                  <w:gridSpan w:val="6"/>
                  <w:vAlign w:val="center"/>
                </w:tcPr>
                <w:p w14:paraId="0CE30BF8">
                  <w:pPr>
                    <w:pStyle w:val="30"/>
                    <w:rPr>
                      <w:color w:val="auto"/>
                    </w:rPr>
                  </w:pPr>
                  <w:r>
                    <w:rPr>
                      <w:color w:val="auto"/>
                    </w:rPr>
                    <w:t>204</w:t>
                  </w:r>
                  <w:r>
                    <w:rPr>
                      <w:rFonts w:hint="eastAsia"/>
                      <w:color w:val="auto"/>
                    </w:rPr>
                    <w:t>0</w:t>
                  </w:r>
                  <w:r>
                    <w:rPr>
                      <w:color w:val="auto"/>
                    </w:rPr>
                    <w:t>年</w:t>
                  </w:r>
                </w:p>
              </w:tc>
            </w:tr>
            <w:tr w14:paraId="547838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06" w:hRule="atLeast"/>
                <w:jc w:val="center"/>
              </w:trPr>
              <w:tc>
                <w:tcPr>
                  <w:tcW w:w="248" w:type="pct"/>
                  <w:vMerge w:val="continue"/>
                  <w:vAlign w:val="center"/>
                </w:tcPr>
                <w:p w14:paraId="55B59B9B">
                  <w:pPr>
                    <w:pStyle w:val="30"/>
                    <w:rPr>
                      <w:color w:val="auto"/>
                    </w:rPr>
                  </w:pPr>
                </w:p>
              </w:tc>
              <w:tc>
                <w:tcPr>
                  <w:tcW w:w="313" w:type="pct"/>
                  <w:tcBorders>
                    <w:right w:val="single" w:color="auto" w:sz="4" w:space="0"/>
                  </w:tcBorders>
                  <w:vAlign w:val="center"/>
                </w:tcPr>
                <w:p w14:paraId="331F7309">
                  <w:pPr>
                    <w:pStyle w:val="30"/>
                    <w:rPr>
                      <w:color w:val="auto"/>
                    </w:rPr>
                  </w:pPr>
                  <w:r>
                    <w:rPr>
                      <w:color w:val="auto"/>
                    </w:rPr>
                    <w:t>昼间（对）</w:t>
                  </w:r>
                </w:p>
              </w:tc>
              <w:tc>
                <w:tcPr>
                  <w:tcW w:w="332" w:type="pct"/>
                  <w:tcBorders>
                    <w:left w:val="single" w:color="auto" w:sz="4" w:space="0"/>
                  </w:tcBorders>
                  <w:vAlign w:val="center"/>
                </w:tcPr>
                <w:p w14:paraId="588CDF0F">
                  <w:pPr>
                    <w:pStyle w:val="30"/>
                    <w:rPr>
                      <w:color w:val="auto"/>
                    </w:rPr>
                  </w:pPr>
                  <w:r>
                    <w:rPr>
                      <w:color w:val="auto"/>
                    </w:rPr>
                    <w:t>夜间（对）</w:t>
                  </w:r>
                </w:p>
              </w:tc>
              <w:tc>
                <w:tcPr>
                  <w:tcW w:w="415" w:type="pct"/>
                  <w:vAlign w:val="center"/>
                </w:tcPr>
                <w:p w14:paraId="2F562488">
                  <w:pPr>
                    <w:pStyle w:val="30"/>
                    <w:rPr>
                      <w:color w:val="auto"/>
                    </w:rPr>
                  </w:pPr>
                  <w:r>
                    <w:rPr>
                      <w:color w:val="auto"/>
                    </w:rPr>
                    <w:t>列车编组</w:t>
                  </w:r>
                </w:p>
                <w:p w14:paraId="16C44655">
                  <w:pPr>
                    <w:pStyle w:val="30"/>
                    <w:rPr>
                      <w:color w:val="auto"/>
                    </w:rPr>
                  </w:pPr>
                  <w:r>
                    <w:rPr>
                      <w:color w:val="auto"/>
                    </w:rPr>
                    <w:t>（辆）</w:t>
                  </w:r>
                </w:p>
              </w:tc>
              <w:tc>
                <w:tcPr>
                  <w:tcW w:w="415" w:type="pct"/>
                  <w:vAlign w:val="center"/>
                </w:tcPr>
                <w:p w14:paraId="02CAE4F4">
                  <w:pPr>
                    <w:pStyle w:val="30"/>
                    <w:rPr>
                      <w:color w:val="auto"/>
                    </w:rPr>
                  </w:pPr>
                  <w:r>
                    <w:rPr>
                      <w:color w:val="auto"/>
                    </w:rPr>
                    <w:t>列车长度（m）</w:t>
                  </w:r>
                </w:p>
              </w:tc>
              <w:tc>
                <w:tcPr>
                  <w:tcW w:w="415" w:type="pct"/>
                  <w:vAlign w:val="center"/>
                </w:tcPr>
                <w:p w14:paraId="3CBE0F5A">
                  <w:pPr>
                    <w:pStyle w:val="30"/>
                    <w:rPr>
                      <w:color w:val="auto"/>
                    </w:rPr>
                  </w:pPr>
                  <w:r>
                    <w:rPr>
                      <w:color w:val="auto"/>
                    </w:rPr>
                    <w:t>牵引定数</w:t>
                  </w:r>
                </w:p>
                <w:p w14:paraId="625FB7B4">
                  <w:pPr>
                    <w:pStyle w:val="30"/>
                    <w:rPr>
                      <w:color w:val="auto"/>
                    </w:rPr>
                  </w:pPr>
                  <w:r>
                    <w:rPr>
                      <w:color w:val="auto"/>
                    </w:rPr>
                    <w:t>（吨）</w:t>
                  </w:r>
                </w:p>
              </w:tc>
              <w:tc>
                <w:tcPr>
                  <w:tcW w:w="484" w:type="pct"/>
                  <w:vAlign w:val="center"/>
                </w:tcPr>
                <w:p w14:paraId="0D17543A">
                  <w:pPr>
                    <w:pStyle w:val="30"/>
                    <w:rPr>
                      <w:color w:val="auto"/>
                    </w:rPr>
                  </w:pPr>
                  <w:r>
                    <w:rPr>
                      <w:color w:val="auto"/>
                    </w:rPr>
                    <w:t>货车对数</w:t>
                  </w:r>
                </w:p>
                <w:p w14:paraId="5306F4C2">
                  <w:pPr>
                    <w:pStyle w:val="30"/>
                    <w:rPr>
                      <w:color w:val="auto"/>
                    </w:rPr>
                  </w:pPr>
                  <w:r>
                    <w:rPr>
                      <w:color w:val="auto"/>
                    </w:rPr>
                    <w:t>（对/日）</w:t>
                  </w:r>
                </w:p>
              </w:tc>
              <w:tc>
                <w:tcPr>
                  <w:tcW w:w="348" w:type="pct"/>
                  <w:tcBorders>
                    <w:right w:val="single" w:color="auto" w:sz="4" w:space="0"/>
                  </w:tcBorders>
                  <w:vAlign w:val="center"/>
                </w:tcPr>
                <w:p w14:paraId="4CE89F73">
                  <w:pPr>
                    <w:pStyle w:val="30"/>
                    <w:rPr>
                      <w:color w:val="auto"/>
                    </w:rPr>
                  </w:pPr>
                  <w:r>
                    <w:rPr>
                      <w:color w:val="auto"/>
                    </w:rPr>
                    <w:t>昼间（对）</w:t>
                  </w:r>
                </w:p>
              </w:tc>
              <w:tc>
                <w:tcPr>
                  <w:tcW w:w="332" w:type="pct"/>
                  <w:tcBorders>
                    <w:left w:val="single" w:color="auto" w:sz="4" w:space="0"/>
                  </w:tcBorders>
                  <w:vAlign w:val="center"/>
                </w:tcPr>
                <w:p w14:paraId="1339EAFA">
                  <w:pPr>
                    <w:pStyle w:val="30"/>
                    <w:rPr>
                      <w:color w:val="auto"/>
                    </w:rPr>
                  </w:pPr>
                  <w:r>
                    <w:rPr>
                      <w:color w:val="auto"/>
                    </w:rPr>
                    <w:t>夜间（对）</w:t>
                  </w:r>
                </w:p>
              </w:tc>
              <w:tc>
                <w:tcPr>
                  <w:tcW w:w="415" w:type="pct"/>
                  <w:vAlign w:val="center"/>
                </w:tcPr>
                <w:p w14:paraId="2FF83763">
                  <w:pPr>
                    <w:pStyle w:val="30"/>
                    <w:rPr>
                      <w:color w:val="auto"/>
                    </w:rPr>
                  </w:pPr>
                  <w:r>
                    <w:rPr>
                      <w:color w:val="auto"/>
                    </w:rPr>
                    <w:t>列车编组</w:t>
                  </w:r>
                </w:p>
                <w:p w14:paraId="60719E24">
                  <w:pPr>
                    <w:pStyle w:val="30"/>
                    <w:rPr>
                      <w:color w:val="auto"/>
                    </w:rPr>
                  </w:pPr>
                  <w:r>
                    <w:rPr>
                      <w:color w:val="auto"/>
                    </w:rPr>
                    <w:t>（辆）</w:t>
                  </w:r>
                </w:p>
              </w:tc>
              <w:tc>
                <w:tcPr>
                  <w:tcW w:w="415" w:type="pct"/>
                  <w:vAlign w:val="center"/>
                </w:tcPr>
                <w:p w14:paraId="01CCA85E">
                  <w:pPr>
                    <w:pStyle w:val="30"/>
                    <w:rPr>
                      <w:color w:val="auto"/>
                    </w:rPr>
                  </w:pPr>
                  <w:r>
                    <w:rPr>
                      <w:color w:val="auto"/>
                    </w:rPr>
                    <w:t>列车长度（m）</w:t>
                  </w:r>
                </w:p>
              </w:tc>
              <w:tc>
                <w:tcPr>
                  <w:tcW w:w="415" w:type="pct"/>
                  <w:vAlign w:val="center"/>
                </w:tcPr>
                <w:p w14:paraId="2363D719">
                  <w:pPr>
                    <w:pStyle w:val="30"/>
                    <w:rPr>
                      <w:color w:val="auto"/>
                    </w:rPr>
                  </w:pPr>
                  <w:r>
                    <w:rPr>
                      <w:color w:val="auto"/>
                    </w:rPr>
                    <w:t>牵引定数</w:t>
                  </w:r>
                </w:p>
                <w:p w14:paraId="483F8F5C">
                  <w:pPr>
                    <w:pStyle w:val="30"/>
                    <w:rPr>
                      <w:color w:val="auto"/>
                    </w:rPr>
                  </w:pPr>
                  <w:r>
                    <w:rPr>
                      <w:color w:val="auto"/>
                    </w:rPr>
                    <w:t>（吨）</w:t>
                  </w:r>
                </w:p>
              </w:tc>
              <w:tc>
                <w:tcPr>
                  <w:tcW w:w="449" w:type="pct"/>
                  <w:vAlign w:val="center"/>
                </w:tcPr>
                <w:p w14:paraId="496B8C85">
                  <w:pPr>
                    <w:pStyle w:val="30"/>
                    <w:rPr>
                      <w:color w:val="auto"/>
                    </w:rPr>
                  </w:pPr>
                  <w:r>
                    <w:rPr>
                      <w:color w:val="auto"/>
                    </w:rPr>
                    <w:t>货车对数</w:t>
                  </w:r>
                </w:p>
                <w:p w14:paraId="3DFAAAD3">
                  <w:pPr>
                    <w:pStyle w:val="30"/>
                    <w:rPr>
                      <w:color w:val="auto"/>
                    </w:rPr>
                  </w:pPr>
                  <w:r>
                    <w:rPr>
                      <w:color w:val="auto"/>
                    </w:rPr>
                    <w:t>（对/日）</w:t>
                  </w:r>
                </w:p>
              </w:tc>
            </w:tr>
            <w:tr w14:paraId="0425F8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48" w:type="pct"/>
                  <w:vAlign w:val="center"/>
                </w:tcPr>
                <w:p w14:paraId="2323C88D">
                  <w:pPr>
                    <w:pStyle w:val="30"/>
                    <w:rPr>
                      <w:color w:val="auto"/>
                    </w:rPr>
                  </w:pPr>
                  <w:r>
                    <w:rPr>
                      <w:color w:val="auto"/>
                    </w:rPr>
                    <w:t>专用线</w:t>
                  </w:r>
                </w:p>
              </w:tc>
              <w:tc>
                <w:tcPr>
                  <w:tcW w:w="313" w:type="pct"/>
                  <w:tcBorders>
                    <w:right w:val="single" w:color="auto" w:sz="4" w:space="0"/>
                  </w:tcBorders>
                  <w:vAlign w:val="center"/>
                </w:tcPr>
                <w:p w14:paraId="2ED1926E">
                  <w:pPr>
                    <w:pStyle w:val="30"/>
                    <w:rPr>
                      <w:color w:val="auto"/>
                    </w:rPr>
                  </w:pPr>
                  <w:r>
                    <w:rPr>
                      <w:color w:val="auto"/>
                    </w:rPr>
                    <w:t>1</w:t>
                  </w:r>
                </w:p>
              </w:tc>
              <w:tc>
                <w:tcPr>
                  <w:tcW w:w="332" w:type="pct"/>
                  <w:tcBorders>
                    <w:left w:val="single" w:color="auto" w:sz="4" w:space="0"/>
                  </w:tcBorders>
                  <w:vAlign w:val="center"/>
                </w:tcPr>
                <w:p w14:paraId="38EB4B32">
                  <w:pPr>
                    <w:pStyle w:val="30"/>
                    <w:rPr>
                      <w:color w:val="auto"/>
                    </w:rPr>
                  </w:pPr>
                  <w:r>
                    <w:rPr>
                      <w:color w:val="auto"/>
                    </w:rPr>
                    <w:t>1</w:t>
                  </w:r>
                </w:p>
              </w:tc>
              <w:tc>
                <w:tcPr>
                  <w:tcW w:w="415" w:type="pct"/>
                  <w:vAlign w:val="center"/>
                </w:tcPr>
                <w:p w14:paraId="35B090B6">
                  <w:pPr>
                    <w:pStyle w:val="30"/>
                    <w:rPr>
                      <w:color w:val="auto"/>
                    </w:rPr>
                  </w:pPr>
                  <w:r>
                    <w:rPr>
                      <w:rFonts w:hint="eastAsia"/>
                      <w:color w:val="auto"/>
                    </w:rPr>
                    <w:t>10</w:t>
                  </w:r>
                </w:p>
              </w:tc>
              <w:tc>
                <w:tcPr>
                  <w:tcW w:w="415" w:type="pct"/>
                  <w:vAlign w:val="center"/>
                </w:tcPr>
                <w:p w14:paraId="51AC5DE6">
                  <w:pPr>
                    <w:pStyle w:val="30"/>
                    <w:rPr>
                      <w:color w:val="auto"/>
                    </w:rPr>
                  </w:pPr>
                  <w:r>
                    <w:rPr>
                      <w:rFonts w:hint="eastAsia"/>
                      <w:color w:val="auto"/>
                    </w:rPr>
                    <w:t>250</w:t>
                  </w:r>
                </w:p>
              </w:tc>
              <w:tc>
                <w:tcPr>
                  <w:tcW w:w="415" w:type="pct"/>
                  <w:vAlign w:val="center"/>
                </w:tcPr>
                <w:p w14:paraId="5C9B1AD8">
                  <w:pPr>
                    <w:pStyle w:val="30"/>
                    <w:rPr>
                      <w:color w:val="auto"/>
                    </w:rPr>
                  </w:pPr>
                  <w:r>
                    <w:rPr>
                      <w:rFonts w:hint="eastAsia"/>
                      <w:color w:val="auto"/>
                    </w:rPr>
                    <w:t>1</w:t>
                  </w:r>
                  <w:r>
                    <w:rPr>
                      <w:color w:val="auto"/>
                    </w:rPr>
                    <w:t>000</w:t>
                  </w:r>
                </w:p>
              </w:tc>
              <w:tc>
                <w:tcPr>
                  <w:tcW w:w="484" w:type="pct"/>
                  <w:vAlign w:val="center"/>
                </w:tcPr>
                <w:p w14:paraId="4561A596">
                  <w:pPr>
                    <w:pStyle w:val="30"/>
                    <w:rPr>
                      <w:color w:val="auto"/>
                    </w:rPr>
                  </w:pPr>
                  <w:r>
                    <w:rPr>
                      <w:color w:val="auto"/>
                    </w:rPr>
                    <w:t>1</w:t>
                  </w:r>
                </w:p>
              </w:tc>
              <w:tc>
                <w:tcPr>
                  <w:tcW w:w="348" w:type="pct"/>
                  <w:tcBorders>
                    <w:right w:val="single" w:color="auto" w:sz="4" w:space="0"/>
                  </w:tcBorders>
                  <w:vAlign w:val="center"/>
                </w:tcPr>
                <w:p w14:paraId="4E1A5285">
                  <w:pPr>
                    <w:pStyle w:val="30"/>
                    <w:rPr>
                      <w:color w:val="auto"/>
                    </w:rPr>
                  </w:pPr>
                  <w:r>
                    <w:rPr>
                      <w:color w:val="auto"/>
                    </w:rPr>
                    <w:t>1</w:t>
                  </w:r>
                </w:p>
              </w:tc>
              <w:tc>
                <w:tcPr>
                  <w:tcW w:w="332" w:type="pct"/>
                  <w:tcBorders>
                    <w:left w:val="single" w:color="auto" w:sz="4" w:space="0"/>
                  </w:tcBorders>
                  <w:vAlign w:val="center"/>
                </w:tcPr>
                <w:p w14:paraId="62DC88CA">
                  <w:pPr>
                    <w:pStyle w:val="30"/>
                    <w:rPr>
                      <w:color w:val="auto"/>
                    </w:rPr>
                  </w:pPr>
                  <w:r>
                    <w:rPr>
                      <w:color w:val="auto"/>
                    </w:rPr>
                    <w:t>1</w:t>
                  </w:r>
                </w:p>
              </w:tc>
              <w:tc>
                <w:tcPr>
                  <w:tcW w:w="415" w:type="pct"/>
                  <w:vAlign w:val="center"/>
                </w:tcPr>
                <w:p w14:paraId="41788A5E">
                  <w:pPr>
                    <w:pStyle w:val="30"/>
                    <w:rPr>
                      <w:color w:val="auto"/>
                    </w:rPr>
                  </w:pPr>
                  <w:r>
                    <w:rPr>
                      <w:rFonts w:hint="eastAsia"/>
                      <w:color w:val="auto"/>
                    </w:rPr>
                    <w:t>10</w:t>
                  </w:r>
                </w:p>
              </w:tc>
              <w:tc>
                <w:tcPr>
                  <w:tcW w:w="415" w:type="pct"/>
                  <w:vAlign w:val="center"/>
                </w:tcPr>
                <w:p w14:paraId="486121F2">
                  <w:pPr>
                    <w:pStyle w:val="30"/>
                    <w:rPr>
                      <w:color w:val="auto"/>
                    </w:rPr>
                  </w:pPr>
                  <w:r>
                    <w:rPr>
                      <w:rFonts w:hint="eastAsia"/>
                      <w:color w:val="auto"/>
                    </w:rPr>
                    <w:t>250</w:t>
                  </w:r>
                </w:p>
              </w:tc>
              <w:tc>
                <w:tcPr>
                  <w:tcW w:w="415" w:type="pct"/>
                  <w:vAlign w:val="center"/>
                </w:tcPr>
                <w:p w14:paraId="51602D09">
                  <w:pPr>
                    <w:pStyle w:val="30"/>
                    <w:rPr>
                      <w:color w:val="auto"/>
                    </w:rPr>
                  </w:pPr>
                  <w:r>
                    <w:rPr>
                      <w:rFonts w:hint="eastAsia"/>
                      <w:color w:val="auto"/>
                    </w:rPr>
                    <w:t>1</w:t>
                  </w:r>
                  <w:r>
                    <w:rPr>
                      <w:color w:val="auto"/>
                    </w:rPr>
                    <w:t>000</w:t>
                  </w:r>
                </w:p>
              </w:tc>
              <w:tc>
                <w:tcPr>
                  <w:tcW w:w="449" w:type="pct"/>
                  <w:vAlign w:val="center"/>
                </w:tcPr>
                <w:p w14:paraId="71AC903A">
                  <w:pPr>
                    <w:pStyle w:val="30"/>
                    <w:rPr>
                      <w:color w:val="auto"/>
                    </w:rPr>
                  </w:pPr>
                  <w:r>
                    <w:rPr>
                      <w:color w:val="auto"/>
                    </w:rPr>
                    <w:t>1</w:t>
                  </w:r>
                </w:p>
              </w:tc>
            </w:tr>
          </w:tbl>
          <w:p w14:paraId="3FC3FAEC">
            <w:pPr>
              <w:ind w:firstLine="480"/>
              <w:rPr>
                <w:color w:val="auto"/>
              </w:rPr>
            </w:pPr>
            <w:r>
              <w:rPr>
                <w:rFonts w:hint="eastAsia"/>
                <w:color w:val="auto"/>
              </w:rPr>
              <w:t>（7）声源源强参数</w:t>
            </w:r>
          </w:p>
          <w:p w14:paraId="05094F0B">
            <w:pPr>
              <w:ind w:firstLine="480"/>
              <w:rPr>
                <w:rFonts w:hint="eastAsia"/>
                <w:color w:val="auto"/>
                <w:lang w:val="en-US" w:eastAsia="zh-CN"/>
              </w:rPr>
            </w:pPr>
            <w:r>
              <w:rPr>
                <w:rFonts w:hint="eastAsia"/>
                <w:color w:val="auto"/>
                <w:lang w:val="en-US" w:eastAsia="zh-CN"/>
              </w:rPr>
              <w:t>根据铁道部《关于印发</w:t>
            </w:r>
            <w:r>
              <w:rPr>
                <w:rFonts w:hint="eastAsia" w:ascii="宋体" w:hAnsi="宋体" w:eastAsia="宋体" w:cs="宋体"/>
                <w:color w:val="auto"/>
                <w:lang w:val="en-US" w:eastAsia="zh-CN"/>
              </w:rPr>
              <w:t>&lt;铁路建设项目环境影响评价噪声振动源强取值和治理原则指导意见（</w:t>
            </w:r>
            <w:r>
              <w:rPr>
                <w:rFonts w:hint="default" w:ascii="Times New Roman" w:hAnsi="Times New Roman" w:eastAsia="宋体" w:cs="Times New Roman"/>
                <w:color w:val="auto"/>
                <w:lang w:val="en-US" w:eastAsia="zh-CN"/>
              </w:rPr>
              <w:t>2010</w:t>
            </w:r>
            <w:r>
              <w:rPr>
                <w:rFonts w:hint="eastAsia" w:ascii="宋体" w:hAnsi="宋体" w:eastAsia="宋体" w:cs="宋体"/>
                <w:color w:val="auto"/>
                <w:lang w:val="en-US" w:eastAsia="zh-CN"/>
              </w:rPr>
              <w:t>年修订稿）&gt;的通知</w:t>
            </w:r>
            <w:r>
              <w:rPr>
                <w:rFonts w:hint="eastAsia"/>
                <w:color w:val="auto"/>
                <w:lang w:val="en-US" w:eastAsia="zh-CN"/>
              </w:rPr>
              <w:t>》（铁</w:t>
            </w:r>
            <w:r>
              <w:rPr>
                <w:rFonts w:hint="default" w:ascii="Times New Roman" w:hAnsi="Times New Roman" w:cs="Times New Roman"/>
                <w:color w:val="auto"/>
                <w:lang w:val="en-US" w:eastAsia="zh-CN"/>
              </w:rPr>
              <w:t>计</w:t>
            </w:r>
            <w:r>
              <w:rPr>
                <w:rFonts w:hint="default" w:ascii="Times New Roman" w:hAnsi="Times New Roman" w:eastAsia="宋体" w:cs="Times New Roman"/>
                <w:color w:val="auto"/>
                <w:lang w:val="en-US" w:eastAsia="zh-CN"/>
              </w:rPr>
              <w:t>〔2010〕44号</w:t>
            </w:r>
            <w:r>
              <w:rPr>
                <w:rFonts w:hint="eastAsia"/>
                <w:color w:val="auto"/>
                <w:lang w:val="en-US" w:eastAsia="zh-CN"/>
              </w:rPr>
              <w:t>），普通货物列车噪声源强如下表所示。</w:t>
            </w:r>
          </w:p>
          <w:p w14:paraId="1196E9F3">
            <w:pPr>
              <w:pStyle w:val="33"/>
              <w:bidi w:val="0"/>
              <w:rPr>
                <w:rFonts w:hint="eastAsia"/>
                <w:color w:val="auto"/>
                <w:lang w:val="en-US" w:eastAsia="zh-CN"/>
              </w:rPr>
            </w:pPr>
            <w:r>
              <w:rPr>
                <w:rFonts w:hint="eastAsia"/>
                <w:color w:val="auto"/>
                <w:lang w:val="en-US" w:eastAsia="zh-CN"/>
              </w:rPr>
              <w:t>表4-9 普通货物列车噪声源强</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1036"/>
              <w:gridCol w:w="1038"/>
              <w:gridCol w:w="1038"/>
              <w:gridCol w:w="1038"/>
              <w:gridCol w:w="1038"/>
              <w:gridCol w:w="1038"/>
            </w:tblGrid>
            <w:tr w14:paraId="521DDD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tcBorders>
                    <w:tl2br w:val="nil"/>
                    <w:tr2bl w:val="nil"/>
                  </w:tcBorders>
                  <w:vAlign w:val="center"/>
                </w:tcPr>
                <w:p w14:paraId="65AE19BB">
                  <w:pPr>
                    <w:pStyle w:val="30"/>
                    <w:bidi w:val="0"/>
                    <w:rPr>
                      <w:rFonts w:hint="default"/>
                      <w:color w:val="auto"/>
                      <w:lang w:val="en-US" w:eastAsia="zh-CN"/>
                    </w:rPr>
                  </w:pPr>
                  <w:r>
                    <w:rPr>
                      <w:rFonts w:hint="eastAsia"/>
                      <w:color w:val="auto"/>
                      <w:lang w:val="en-US" w:eastAsia="zh-CN"/>
                    </w:rPr>
                    <w:t>速度，km/h</w:t>
                  </w:r>
                </w:p>
              </w:tc>
              <w:tc>
                <w:tcPr>
                  <w:tcW w:w="713" w:type="pct"/>
                  <w:tcBorders>
                    <w:tl2br w:val="nil"/>
                    <w:tr2bl w:val="nil"/>
                  </w:tcBorders>
                  <w:vAlign w:val="center"/>
                </w:tcPr>
                <w:p w14:paraId="01EE82AE">
                  <w:pPr>
                    <w:pStyle w:val="30"/>
                    <w:bidi w:val="0"/>
                    <w:rPr>
                      <w:rFonts w:hint="default"/>
                      <w:color w:val="auto"/>
                      <w:lang w:val="en-US" w:eastAsia="zh-CN"/>
                    </w:rPr>
                  </w:pPr>
                  <w:r>
                    <w:rPr>
                      <w:rFonts w:hint="eastAsia"/>
                      <w:color w:val="auto"/>
                      <w:lang w:val="en-US" w:eastAsia="zh-CN"/>
                    </w:rPr>
                    <w:t>30</w:t>
                  </w:r>
                </w:p>
              </w:tc>
              <w:tc>
                <w:tcPr>
                  <w:tcW w:w="714" w:type="pct"/>
                  <w:tcBorders>
                    <w:tl2br w:val="nil"/>
                    <w:tr2bl w:val="nil"/>
                  </w:tcBorders>
                  <w:vAlign w:val="center"/>
                </w:tcPr>
                <w:p w14:paraId="62C0D982">
                  <w:pPr>
                    <w:pStyle w:val="30"/>
                    <w:bidi w:val="0"/>
                    <w:rPr>
                      <w:rFonts w:hint="default"/>
                      <w:color w:val="auto"/>
                      <w:lang w:val="en-US" w:eastAsia="zh-CN"/>
                    </w:rPr>
                  </w:pPr>
                  <w:r>
                    <w:rPr>
                      <w:rFonts w:hint="eastAsia"/>
                      <w:color w:val="auto"/>
                      <w:lang w:val="en-US" w:eastAsia="zh-CN"/>
                    </w:rPr>
                    <w:t>40</w:t>
                  </w:r>
                </w:p>
              </w:tc>
              <w:tc>
                <w:tcPr>
                  <w:tcW w:w="714" w:type="pct"/>
                  <w:tcBorders>
                    <w:tl2br w:val="nil"/>
                    <w:tr2bl w:val="nil"/>
                  </w:tcBorders>
                  <w:vAlign w:val="center"/>
                </w:tcPr>
                <w:p w14:paraId="15B6A1D5">
                  <w:pPr>
                    <w:pStyle w:val="30"/>
                    <w:bidi w:val="0"/>
                    <w:rPr>
                      <w:rFonts w:hint="default"/>
                      <w:color w:val="auto"/>
                      <w:lang w:val="en-US" w:eastAsia="zh-CN"/>
                    </w:rPr>
                  </w:pPr>
                  <w:r>
                    <w:rPr>
                      <w:rFonts w:hint="eastAsia"/>
                      <w:color w:val="auto"/>
                      <w:lang w:val="en-US" w:eastAsia="zh-CN"/>
                    </w:rPr>
                    <w:t>50</w:t>
                  </w:r>
                </w:p>
              </w:tc>
              <w:tc>
                <w:tcPr>
                  <w:tcW w:w="714" w:type="pct"/>
                  <w:tcBorders>
                    <w:tl2br w:val="nil"/>
                    <w:tr2bl w:val="nil"/>
                  </w:tcBorders>
                  <w:vAlign w:val="center"/>
                </w:tcPr>
                <w:p w14:paraId="4D6D648D">
                  <w:pPr>
                    <w:pStyle w:val="30"/>
                    <w:bidi w:val="0"/>
                    <w:rPr>
                      <w:rFonts w:hint="default"/>
                      <w:color w:val="auto"/>
                      <w:lang w:val="en-US" w:eastAsia="zh-CN"/>
                    </w:rPr>
                  </w:pPr>
                  <w:r>
                    <w:rPr>
                      <w:rFonts w:hint="eastAsia"/>
                      <w:color w:val="auto"/>
                      <w:lang w:val="en-US" w:eastAsia="zh-CN"/>
                    </w:rPr>
                    <w:t>60</w:t>
                  </w:r>
                </w:p>
              </w:tc>
              <w:tc>
                <w:tcPr>
                  <w:tcW w:w="714" w:type="pct"/>
                  <w:tcBorders>
                    <w:tl2br w:val="nil"/>
                    <w:tr2bl w:val="nil"/>
                  </w:tcBorders>
                  <w:vAlign w:val="center"/>
                </w:tcPr>
                <w:p w14:paraId="2664F7DC">
                  <w:pPr>
                    <w:pStyle w:val="30"/>
                    <w:bidi w:val="0"/>
                    <w:rPr>
                      <w:rFonts w:hint="default"/>
                      <w:color w:val="auto"/>
                      <w:lang w:val="en-US" w:eastAsia="zh-CN"/>
                    </w:rPr>
                  </w:pPr>
                  <w:r>
                    <w:rPr>
                      <w:rFonts w:hint="eastAsia"/>
                      <w:color w:val="auto"/>
                      <w:lang w:val="en-US" w:eastAsia="zh-CN"/>
                    </w:rPr>
                    <w:t>70</w:t>
                  </w:r>
                </w:p>
              </w:tc>
              <w:tc>
                <w:tcPr>
                  <w:tcW w:w="714" w:type="pct"/>
                  <w:tcBorders>
                    <w:tl2br w:val="nil"/>
                    <w:tr2bl w:val="nil"/>
                  </w:tcBorders>
                  <w:vAlign w:val="center"/>
                </w:tcPr>
                <w:p w14:paraId="2BAF725B">
                  <w:pPr>
                    <w:pStyle w:val="30"/>
                    <w:bidi w:val="0"/>
                    <w:rPr>
                      <w:rFonts w:hint="default"/>
                      <w:color w:val="auto"/>
                      <w:lang w:val="en-US" w:eastAsia="zh-CN"/>
                    </w:rPr>
                  </w:pPr>
                  <w:r>
                    <w:rPr>
                      <w:rFonts w:hint="eastAsia"/>
                      <w:color w:val="auto"/>
                      <w:lang w:val="en-US" w:eastAsia="zh-CN"/>
                    </w:rPr>
                    <w:t>80</w:t>
                  </w:r>
                </w:p>
              </w:tc>
            </w:tr>
            <w:tr w14:paraId="7E8A9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tcBorders>
                    <w:tl2br w:val="nil"/>
                    <w:tr2bl w:val="nil"/>
                  </w:tcBorders>
                  <w:vAlign w:val="center"/>
                </w:tcPr>
                <w:p w14:paraId="129E8CEA">
                  <w:pPr>
                    <w:pStyle w:val="30"/>
                    <w:bidi w:val="0"/>
                    <w:rPr>
                      <w:rFonts w:hint="default"/>
                      <w:color w:val="auto"/>
                      <w:lang w:val="en-US" w:eastAsia="zh-CN"/>
                    </w:rPr>
                  </w:pPr>
                  <w:r>
                    <w:rPr>
                      <w:rFonts w:hint="eastAsia"/>
                      <w:color w:val="auto"/>
                      <w:lang w:val="en-US" w:eastAsia="zh-CN"/>
                    </w:rPr>
                    <w:t>源强，dB（A）</w:t>
                  </w:r>
                </w:p>
              </w:tc>
              <w:tc>
                <w:tcPr>
                  <w:tcW w:w="713" w:type="pct"/>
                  <w:tcBorders>
                    <w:tl2br w:val="nil"/>
                    <w:tr2bl w:val="nil"/>
                  </w:tcBorders>
                  <w:vAlign w:val="center"/>
                </w:tcPr>
                <w:p w14:paraId="04101752">
                  <w:pPr>
                    <w:pStyle w:val="30"/>
                    <w:bidi w:val="0"/>
                    <w:rPr>
                      <w:rFonts w:hint="default"/>
                      <w:color w:val="auto"/>
                      <w:lang w:val="en-US" w:eastAsia="zh-CN"/>
                    </w:rPr>
                  </w:pPr>
                  <w:r>
                    <w:rPr>
                      <w:rFonts w:hint="eastAsia"/>
                      <w:color w:val="auto"/>
                      <w:lang w:val="en-US" w:eastAsia="zh-CN"/>
                    </w:rPr>
                    <w:t>75.0</w:t>
                  </w:r>
                </w:p>
              </w:tc>
              <w:tc>
                <w:tcPr>
                  <w:tcW w:w="714" w:type="pct"/>
                  <w:tcBorders>
                    <w:tl2br w:val="nil"/>
                    <w:tr2bl w:val="nil"/>
                  </w:tcBorders>
                  <w:vAlign w:val="center"/>
                </w:tcPr>
                <w:p w14:paraId="3DFA9CF7">
                  <w:pPr>
                    <w:pStyle w:val="30"/>
                    <w:bidi w:val="0"/>
                    <w:rPr>
                      <w:rFonts w:hint="default"/>
                      <w:color w:val="auto"/>
                      <w:lang w:val="en-US" w:eastAsia="zh-CN"/>
                    </w:rPr>
                  </w:pPr>
                  <w:r>
                    <w:rPr>
                      <w:rFonts w:hint="eastAsia"/>
                      <w:color w:val="auto"/>
                      <w:lang w:val="en-US" w:eastAsia="zh-CN"/>
                    </w:rPr>
                    <w:t>76.7</w:t>
                  </w:r>
                </w:p>
              </w:tc>
              <w:tc>
                <w:tcPr>
                  <w:tcW w:w="714" w:type="pct"/>
                  <w:tcBorders>
                    <w:tl2br w:val="nil"/>
                    <w:tr2bl w:val="nil"/>
                  </w:tcBorders>
                  <w:vAlign w:val="center"/>
                </w:tcPr>
                <w:p w14:paraId="03080C3C">
                  <w:pPr>
                    <w:pStyle w:val="30"/>
                    <w:bidi w:val="0"/>
                    <w:rPr>
                      <w:rFonts w:hint="default"/>
                      <w:color w:val="auto"/>
                      <w:lang w:val="en-US" w:eastAsia="zh-CN"/>
                    </w:rPr>
                  </w:pPr>
                  <w:r>
                    <w:rPr>
                      <w:rFonts w:hint="eastAsia"/>
                      <w:color w:val="auto"/>
                      <w:lang w:val="en-US" w:eastAsia="zh-CN"/>
                    </w:rPr>
                    <w:t>78.2</w:t>
                  </w:r>
                </w:p>
              </w:tc>
              <w:tc>
                <w:tcPr>
                  <w:tcW w:w="714" w:type="pct"/>
                  <w:tcBorders>
                    <w:tl2br w:val="nil"/>
                    <w:tr2bl w:val="nil"/>
                  </w:tcBorders>
                  <w:vAlign w:val="center"/>
                </w:tcPr>
                <w:p w14:paraId="64037022">
                  <w:pPr>
                    <w:pStyle w:val="30"/>
                    <w:bidi w:val="0"/>
                    <w:rPr>
                      <w:rFonts w:hint="default"/>
                      <w:color w:val="auto"/>
                      <w:lang w:val="en-US" w:eastAsia="zh-CN"/>
                    </w:rPr>
                  </w:pPr>
                  <w:r>
                    <w:rPr>
                      <w:rFonts w:hint="eastAsia"/>
                      <w:color w:val="auto"/>
                      <w:lang w:val="en-US" w:eastAsia="zh-CN"/>
                    </w:rPr>
                    <w:t>79.5</w:t>
                  </w:r>
                </w:p>
              </w:tc>
              <w:tc>
                <w:tcPr>
                  <w:tcW w:w="714" w:type="pct"/>
                  <w:tcBorders>
                    <w:tl2br w:val="nil"/>
                    <w:tr2bl w:val="nil"/>
                  </w:tcBorders>
                  <w:vAlign w:val="center"/>
                </w:tcPr>
                <w:p w14:paraId="582EF869">
                  <w:pPr>
                    <w:pStyle w:val="30"/>
                    <w:bidi w:val="0"/>
                    <w:rPr>
                      <w:rFonts w:hint="default"/>
                      <w:color w:val="auto"/>
                      <w:lang w:val="en-US" w:eastAsia="zh-CN"/>
                    </w:rPr>
                  </w:pPr>
                  <w:r>
                    <w:rPr>
                      <w:rFonts w:hint="eastAsia"/>
                      <w:color w:val="auto"/>
                      <w:lang w:val="en-US" w:eastAsia="zh-CN"/>
                    </w:rPr>
                    <w:t>80.8</w:t>
                  </w:r>
                </w:p>
              </w:tc>
              <w:tc>
                <w:tcPr>
                  <w:tcW w:w="714" w:type="pct"/>
                  <w:tcBorders>
                    <w:tl2br w:val="nil"/>
                    <w:tr2bl w:val="nil"/>
                  </w:tcBorders>
                  <w:vAlign w:val="center"/>
                </w:tcPr>
                <w:p w14:paraId="494D2FAE">
                  <w:pPr>
                    <w:pStyle w:val="30"/>
                    <w:bidi w:val="0"/>
                    <w:rPr>
                      <w:rFonts w:hint="default"/>
                      <w:color w:val="auto"/>
                      <w:lang w:val="en-US" w:eastAsia="zh-CN"/>
                    </w:rPr>
                  </w:pPr>
                  <w:r>
                    <w:rPr>
                      <w:rFonts w:hint="eastAsia"/>
                      <w:color w:val="auto"/>
                      <w:lang w:val="en-US" w:eastAsia="zh-CN"/>
                    </w:rPr>
                    <w:t>81.9</w:t>
                  </w:r>
                </w:p>
              </w:tc>
            </w:tr>
          </w:tbl>
          <w:p w14:paraId="7EC18BBF">
            <w:pPr>
              <w:ind w:left="0" w:leftChars="0" w:firstLine="0" w:firstLineChars="0"/>
              <w:rPr>
                <w:rFonts w:hint="default"/>
                <w:color w:val="auto"/>
                <w:sz w:val="18"/>
                <w:szCs w:val="18"/>
                <w:lang w:val="en-US" w:eastAsia="zh-CN"/>
              </w:rPr>
            </w:pPr>
            <w:r>
              <w:rPr>
                <w:rFonts w:hint="eastAsia"/>
                <w:color w:val="auto"/>
                <w:sz w:val="18"/>
                <w:szCs w:val="18"/>
                <w:lang w:val="en-US" w:eastAsia="zh-CN"/>
              </w:rPr>
              <w:t>注：参考点位置-距列车运行线路中心25m，轨面以上3.5m处。对于桥梁线路的源强值要在上表基础上增加3dB（A），有缝线路的轮轨噪声比无缝线路平均高3.8dB（A）。</w:t>
            </w:r>
          </w:p>
          <w:p w14:paraId="5C7DF32B">
            <w:pPr>
              <w:ind w:firstLine="480"/>
              <w:rPr>
                <w:color w:val="auto"/>
              </w:rPr>
            </w:pPr>
            <w:r>
              <w:rPr>
                <w:rFonts w:hint="eastAsia"/>
                <w:color w:val="auto"/>
                <w:lang w:val="en-US" w:eastAsia="zh-CN"/>
              </w:rPr>
              <w:t>本项目设计速度为40km/h，故</w:t>
            </w:r>
            <w:r>
              <w:rPr>
                <w:rFonts w:hint="eastAsia"/>
                <w:color w:val="auto"/>
              </w:rPr>
              <w:t>本次评价列车运行时噪声源强为76.7dB（A）。</w:t>
            </w:r>
          </w:p>
          <w:p w14:paraId="66E6A4BE">
            <w:pPr>
              <w:ind w:firstLine="480"/>
              <w:rPr>
                <w:color w:val="auto"/>
              </w:rPr>
            </w:pPr>
            <w:r>
              <w:rPr>
                <w:rFonts w:hint="eastAsia"/>
                <w:color w:val="auto"/>
              </w:rPr>
              <w:t>（8）高度</w:t>
            </w:r>
          </w:p>
          <w:p w14:paraId="394AEAFC">
            <w:pPr>
              <w:ind w:firstLine="480"/>
              <w:rPr>
                <w:color w:val="auto"/>
              </w:rPr>
            </w:pPr>
            <w:r>
              <w:rPr>
                <w:color w:val="auto"/>
              </w:rPr>
              <w:t>预测点高度取1.2m。</w:t>
            </w:r>
          </w:p>
          <w:p w14:paraId="0A2596D9">
            <w:pPr>
              <w:ind w:firstLine="480"/>
              <w:rPr>
                <w:color w:val="auto"/>
              </w:rPr>
            </w:pPr>
            <w:r>
              <w:rPr>
                <w:rFonts w:hint="eastAsia"/>
                <w:color w:val="auto"/>
              </w:rPr>
              <w:t>（9）既有铁路情况</w:t>
            </w:r>
          </w:p>
          <w:p w14:paraId="5F18B961">
            <w:pPr>
              <w:ind w:firstLine="480"/>
              <w:rPr>
                <w:color w:val="auto"/>
              </w:rPr>
            </w:pPr>
            <w:r>
              <w:rPr>
                <w:color w:val="auto"/>
              </w:rPr>
              <w:t>既有油库专用线轨道类型为43kg/m钢轨，混凝土轨枕，扣板扣件。走行线采用混砂道床，3道和4道线路无道床。</w:t>
            </w:r>
          </w:p>
          <w:p w14:paraId="528CA111">
            <w:pPr>
              <w:ind w:firstLine="480"/>
              <w:rPr>
                <w:color w:val="auto"/>
              </w:rPr>
            </w:pPr>
            <w:r>
              <w:rPr>
                <w:rFonts w:hint="eastAsia"/>
                <w:color w:val="auto"/>
              </w:rPr>
              <w:t>4、预测结果及分析</w:t>
            </w:r>
          </w:p>
          <w:p w14:paraId="780BF96A">
            <w:pPr>
              <w:ind w:firstLine="480"/>
              <w:rPr>
                <w:color w:val="auto"/>
              </w:rPr>
            </w:pPr>
            <w:r>
              <w:rPr>
                <w:rFonts w:hint="eastAsia"/>
                <w:color w:val="auto"/>
              </w:rPr>
              <w:t>本项目预测路段按路基考虑，高差1m，列车运行速度取40km/h，考虑列车运行噪声速度修正量-0.46dB(A)、噪声垂向指向性修正量-0.78dB(A)、线路和轨道结构对噪声的修正量+1dB(A)、噪声几何发散损失、大气吸收和地面效应修正，不考虑声影区修正、前排建筑物、树林的遮挡屏蔽影响和屏障插入损失。</w:t>
            </w:r>
          </w:p>
          <w:p w14:paraId="7E6C5B74">
            <w:pPr>
              <w:ind w:firstLine="480"/>
              <w:rPr>
                <w:color w:val="auto"/>
              </w:rPr>
            </w:pPr>
            <w:r>
              <w:rPr>
                <w:rFonts w:hint="eastAsia"/>
                <w:color w:val="auto"/>
              </w:rPr>
              <w:t>（1）区间线路噪声预测结果</w:t>
            </w:r>
          </w:p>
          <w:p w14:paraId="1DFD6C66">
            <w:pPr>
              <w:ind w:firstLine="480"/>
              <w:rPr>
                <w:color w:val="auto"/>
              </w:rPr>
            </w:pPr>
            <w:r>
              <w:rPr>
                <w:rFonts w:hint="eastAsia"/>
                <w:color w:val="auto"/>
              </w:rPr>
              <w:t>本项目拟建铁路专用线两侧的交通噪声贡献值预测结果见表4-</w:t>
            </w:r>
            <w:r>
              <w:rPr>
                <w:rFonts w:hint="eastAsia"/>
                <w:color w:val="auto"/>
                <w:lang w:val="en-US" w:eastAsia="zh-CN"/>
              </w:rPr>
              <w:t>10</w:t>
            </w:r>
            <w:r>
              <w:rPr>
                <w:rFonts w:hint="eastAsia"/>
                <w:color w:val="auto"/>
              </w:rPr>
              <w:t>。列车运行噪声各距离下噪声预测值结果见表4-1</w:t>
            </w:r>
            <w:r>
              <w:rPr>
                <w:rFonts w:hint="eastAsia"/>
                <w:color w:val="auto"/>
                <w:lang w:val="en-US" w:eastAsia="zh-CN"/>
              </w:rPr>
              <w:t>1</w:t>
            </w:r>
            <w:r>
              <w:rPr>
                <w:rFonts w:hint="eastAsia"/>
                <w:color w:val="auto"/>
              </w:rPr>
              <w:t>。</w:t>
            </w:r>
          </w:p>
          <w:p w14:paraId="1E345741">
            <w:pPr>
              <w:pStyle w:val="33"/>
              <w:rPr>
                <w:color w:val="auto"/>
              </w:rPr>
            </w:pPr>
            <w:r>
              <w:rPr>
                <w:color w:val="auto"/>
              </w:rPr>
              <w:t>表4-</w:t>
            </w:r>
            <w:r>
              <w:rPr>
                <w:rFonts w:hint="eastAsia"/>
                <w:color w:val="auto"/>
                <w:lang w:val="en-US" w:eastAsia="zh-CN"/>
              </w:rPr>
              <w:t>10</w:t>
            </w:r>
            <w:r>
              <w:rPr>
                <w:color w:val="auto"/>
              </w:rPr>
              <w:t xml:space="preserve"> 列车运行噪声各距离下噪声贡献值   dB(A)</w:t>
            </w:r>
          </w:p>
          <w:tbl>
            <w:tblPr>
              <w:tblStyle w:val="25"/>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3"/>
              <w:gridCol w:w="330"/>
              <w:gridCol w:w="384"/>
              <w:gridCol w:w="512"/>
              <w:gridCol w:w="513"/>
              <w:gridCol w:w="513"/>
              <w:gridCol w:w="513"/>
              <w:gridCol w:w="513"/>
              <w:gridCol w:w="513"/>
              <w:gridCol w:w="513"/>
              <w:gridCol w:w="513"/>
              <w:gridCol w:w="513"/>
              <w:gridCol w:w="513"/>
              <w:gridCol w:w="513"/>
              <w:gridCol w:w="519"/>
            </w:tblGrid>
            <w:tr w14:paraId="156F52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264" w:type="pct"/>
                  <w:vMerge w:val="restart"/>
                  <w:vAlign w:val="center"/>
                </w:tcPr>
                <w:p w14:paraId="01E9F2E6">
                  <w:pPr>
                    <w:pStyle w:val="30"/>
                    <w:rPr>
                      <w:color w:val="auto"/>
                    </w:rPr>
                  </w:pPr>
                  <w:r>
                    <w:rPr>
                      <w:rFonts w:hint="eastAsia"/>
                      <w:color w:val="auto"/>
                    </w:rPr>
                    <w:t>类别</w:t>
                  </w:r>
                </w:p>
              </w:tc>
              <w:tc>
                <w:tcPr>
                  <w:tcW w:w="228" w:type="pct"/>
                  <w:vMerge w:val="restart"/>
                  <w:vAlign w:val="center"/>
                </w:tcPr>
                <w:p w14:paraId="51428BA6">
                  <w:pPr>
                    <w:pStyle w:val="30"/>
                    <w:rPr>
                      <w:color w:val="auto"/>
                    </w:rPr>
                  </w:pPr>
                  <w:r>
                    <w:rPr>
                      <w:rFonts w:hint="eastAsia"/>
                      <w:color w:val="auto"/>
                    </w:rPr>
                    <w:t>年份</w:t>
                  </w:r>
                </w:p>
              </w:tc>
              <w:tc>
                <w:tcPr>
                  <w:tcW w:w="265" w:type="pct"/>
                  <w:vMerge w:val="restart"/>
                  <w:vAlign w:val="center"/>
                </w:tcPr>
                <w:p w14:paraId="3D69A3B3">
                  <w:pPr>
                    <w:pStyle w:val="30"/>
                    <w:rPr>
                      <w:color w:val="auto"/>
                    </w:rPr>
                  </w:pPr>
                  <w:r>
                    <w:rPr>
                      <w:rFonts w:hint="eastAsia"/>
                      <w:color w:val="auto"/>
                    </w:rPr>
                    <w:t>时段</w:t>
                  </w:r>
                </w:p>
              </w:tc>
              <w:tc>
                <w:tcPr>
                  <w:tcW w:w="4241" w:type="pct"/>
                  <w:gridSpan w:val="12"/>
                  <w:vAlign w:val="center"/>
                </w:tcPr>
                <w:p w14:paraId="7E4E1B04">
                  <w:pPr>
                    <w:pStyle w:val="30"/>
                    <w:rPr>
                      <w:color w:val="auto"/>
                    </w:rPr>
                  </w:pPr>
                  <w:r>
                    <w:rPr>
                      <w:rFonts w:hint="eastAsia"/>
                      <w:color w:val="auto"/>
                    </w:rPr>
                    <w:t>距外轨中心线距离（m）</w:t>
                  </w:r>
                </w:p>
              </w:tc>
            </w:tr>
            <w:tr w14:paraId="5B8F0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264" w:type="pct"/>
                  <w:vMerge w:val="continue"/>
                  <w:vAlign w:val="center"/>
                </w:tcPr>
                <w:p w14:paraId="3517FE07">
                  <w:pPr>
                    <w:pStyle w:val="30"/>
                    <w:rPr>
                      <w:color w:val="auto"/>
                    </w:rPr>
                  </w:pPr>
                </w:p>
              </w:tc>
              <w:tc>
                <w:tcPr>
                  <w:tcW w:w="228" w:type="pct"/>
                  <w:vMerge w:val="continue"/>
                  <w:vAlign w:val="center"/>
                </w:tcPr>
                <w:p w14:paraId="46545EE1">
                  <w:pPr>
                    <w:pStyle w:val="30"/>
                    <w:rPr>
                      <w:color w:val="auto"/>
                    </w:rPr>
                  </w:pPr>
                </w:p>
              </w:tc>
              <w:tc>
                <w:tcPr>
                  <w:tcW w:w="265" w:type="pct"/>
                  <w:vMerge w:val="continue"/>
                  <w:vAlign w:val="center"/>
                </w:tcPr>
                <w:p w14:paraId="129DD807">
                  <w:pPr>
                    <w:pStyle w:val="30"/>
                    <w:rPr>
                      <w:color w:val="auto"/>
                    </w:rPr>
                  </w:pPr>
                </w:p>
              </w:tc>
              <w:tc>
                <w:tcPr>
                  <w:tcW w:w="353" w:type="pct"/>
                  <w:vAlign w:val="center"/>
                </w:tcPr>
                <w:p w14:paraId="08A316F8">
                  <w:pPr>
                    <w:pStyle w:val="30"/>
                    <w:rPr>
                      <w:color w:val="auto"/>
                    </w:rPr>
                  </w:pPr>
                  <w:r>
                    <w:rPr>
                      <w:rFonts w:hint="eastAsia"/>
                      <w:color w:val="auto"/>
                    </w:rPr>
                    <w:t>10</w:t>
                  </w:r>
                </w:p>
              </w:tc>
              <w:tc>
                <w:tcPr>
                  <w:tcW w:w="353" w:type="pct"/>
                  <w:vAlign w:val="center"/>
                </w:tcPr>
                <w:p w14:paraId="689A1DD2">
                  <w:pPr>
                    <w:pStyle w:val="30"/>
                    <w:rPr>
                      <w:color w:val="auto"/>
                    </w:rPr>
                  </w:pPr>
                  <w:r>
                    <w:rPr>
                      <w:rFonts w:hint="eastAsia"/>
                      <w:color w:val="auto"/>
                    </w:rPr>
                    <w:t>20</w:t>
                  </w:r>
                </w:p>
              </w:tc>
              <w:tc>
                <w:tcPr>
                  <w:tcW w:w="353" w:type="pct"/>
                  <w:vAlign w:val="center"/>
                </w:tcPr>
                <w:p w14:paraId="4343E6DE">
                  <w:pPr>
                    <w:pStyle w:val="30"/>
                    <w:rPr>
                      <w:color w:val="auto"/>
                    </w:rPr>
                  </w:pPr>
                  <w:r>
                    <w:rPr>
                      <w:rFonts w:hint="eastAsia"/>
                      <w:color w:val="auto"/>
                    </w:rPr>
                    <w:t>30</w:t>
                  </w:r>
                </w:p>
              </w:tc>
              <w:tc>
                <w:tcPr>
                  <w:tcW w:w="353" w:type="pct"/>
                  <w:vAlign w:val="center"/>
                </w:tcPr>
                <w:p w14:paraId="0073DAF5">
                  <w:pPr>
                    <w:pStyle w:val="30"/>
                    <w:rPr>
                      <w:color w:val="auto"/>
                      <w:lang w:val="zh-CN"/>
                    </w:rPr>
                  </w:pPr>
                  <w:r>
                    <w:rPr>
                      <w:rFonts w:hint="eastAsia"/>
                      <w:color w:val="auto"/>
                    </w:rPr>
                    <w:t>40</w:t>
                  </w:r>
                </w:p>
              </w:tc>
              <w:tc>
                <w:tcPr>
                  <w:tcW w:w="353" w:type="pct"/>
                  <w:vAlign w:val="center"/>
                </w:tcPr>
                <w:p w14:paraId="77A392E3">
                  <w:pPr>
                    <w:pStyle w:val="30"/>
                    <w:rPr>
                      <w:color w:val="auto"/>
                      <w:lang w:val="zh-CN"/>
                    </w:rPr>
                  </w:pPr>
                  <w:r>
                    <w:rPr>
                      <w:rFonts w:hint="eastAsia"/>
                      <w:color w:val="auto"/>
                    </w:rPr>
                    <w:t>60</w:t>
                  </w:r>
                </w:p>
              </w:tc>
              <w:tc>
                <w:tcPr>
                  <w:tcW w:w="353" w:type="pct"/>
                  <w:vAlign w:val="center"/>
                </w:tcPr>
                <w:p w14:paraId="5946FCE9">
                  <w:pPr>
                    <w:pStyle w:val="30"/>
                    <w:rPr>
                      <w:color w:val="auto"/>
                      <w:lang w:val="zh-CN"/>
                    </w:rPr>
                  </w:pPr>
                  <w:r>
                    <w:rPr>
                      <w:rFonts w:hint="eastAsia"/>
                      <w:color w:val="auto"/>
                    </w:rPr>
                    <w:t>80</w:t>
                  </w:r>
                </w:p>
              </w:tc>
              <w:tc>
                <w:tcPr>
                  <w:tcW w:w="353" w:type="pct"/>
                  <w:vAlign w:val="center"/>
                </w:tcPr>
                <w:p w14:paraId="136151FC">
                  <w:pPr>
                    <w:pStyle w:val="30"/>
                    <w:rPr>
                      <w:color w:val="auto"/>
                      <w:lang w:val="zh-CN"/>
                    </w:rPr>
                  </w:pPr>
                  <w:r>
                    <w:rPr>
                      <w:rFonts w:hint="eastAsia"/>
                      <w:color w:val="auto"/>
                    </w:rPr>
                    <w:t>100</w:t>
                  </w:r>
                </w:p>
              </w:tc>
              <w:tc>
                <w:tcPr>
                  <w:tcW w:w="353" w:type="pct"/>
                  <w:vAlign w:val="center"/>
                </w:tcPr>
                <w:p w14:paraId="1792F423">
                  <w:pPr>
                    <w:pStyle w:val="30"/>
                    <w:rPr>
                      <w:color w:val="auto"/>
                      <w:lang w:val="zh-CN"/>
                    </w:rPr>
                  </w:pPr>
                  <w:r>
                    <w:rPr>
                      <w:rFonts w:hint="eastAsia"/>
                      <w:color w:val="auto"/>
                    </w:rPr>
                    <w:t>120</w:t>
                  </w:r>
                </w:p>
              </w:tc>
              <w:tc>
                <w:tcPr>
                  <w:tcW w:w="353" w:type="pct"/>
                  <w:vAlign w:val="center"/>
                </w:tcPr>
                <w:p w14:paraId="7BAC900B">
                  <w:pPr>
                    <w:pStyle w:val="30"/>
                    <w:rPr>
                      <w:color w:val="auto"/>
                    </w:rPr>
                  </w:pPr>
                  <w:r>
                    <w:rPr>
                      <w:rFonts w:hint="eastAsia"/>
                      <w:color w:val="auto"/>
                    </w:rPr>
                    <w:t>140</w:t>
                  </w:r>
                </w:p>
              </w:tc>
              <w:tc>
                <w:tcPr>
                  <w:tcW w:w="353" w:type="pct"/>
                  <w:vAlign w:val="center"/>
                </w:tcPr>
                <w:p w14:paraId="261EF214">
                  <w:pPr>
                    <w:pStyle w:val="30"/>
                    <w:rPr>
                      <w:color w:val="auto"/>
                    </w:rPr>
                  </w:pPr>
                  <w:r>
                    <w:rPr>
                      <w:rFonts w:hint="eastAsia"/>
                      <w:color w:val="auto"/>
                    </w:rPr>
                    <w:t>160</w:t>
                  </w:r>
                </w:p>
              </w:tc>
              <w:tc>
                <w:tcPr>
                  <w:tcW w:w="353" w:type="pct"/>
                  <w:vAlign w:val="center"/>
                </w:tcPr>
                <w:p w14:paraId="0C39BB51">
                  <w:pPr>
                    <w:pStyle w:val="30"/>
                    <w:rPr>
                      <w:color w:val="auto"/>
                    </w:rPr>
                  </w:pPr>
                  <w:r>
                    <w:rPr>
                      <w:rFonts w:hint="eastAsia"/>
                      <w:color w:val="auto"/>
                    </w:rPr>
                    <w:t>180</w:t>
                  </w:r>
                </w:p>
              </w:tc>
              <w:tc>
                <w:tcPr>
                  <w:tcW w:w="357" w:type="pct"/>
                  <w:vAlign w:val="center"/>
                </w:tcPr>
                <w:p w14:paraId="1DD3C1EF">
                  <w:pPr>
                    <w:pStyle w:val="30"/>
                    <w:rPr>
                      <w:color w:val="auto"/>
                    </w:rPr>
                  </w:pPr>
                  <w:r>
                    <w:rPr>
                      <w:rFonts w:hint="eastAsia"/>
                      <w:color w:val="auto"/>
                    </w:rPr>
                    <w:t>200</w:t>
                  </w:r>
                </w:p>
              </w:tc>
            </w:tr>
            <w:tr w14:paraId="7B5FD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64" w:type="pct"/>
                  <w:vMerge w:val="restart"/>
                  <w:vAlign w:val="center"/>
                </w:tcPr>
                <w:p w14:paraId="64A44237">
                  <w:pPr>
                    <w:pStyle w:val="30"/>
                    <w:rPr>
                      <w:color w:val="auto"/>
                    </w:rPr>
                  </w:pPr>
                  <w:r>
                    <w:rPr>
                      <w:rFonts w:hint="eastAsia"/>
                      <w:color w:val="auto"/>
                    </w:rPr>
                    <w:t>全线</w:t>
                  </w:r>
                </w:p>
              </w:tc>
              <w:tc>
                <w:tcPr>
                  <w:tcW w:w="228" w:type="pct"/>
                  <w:vMerge w:val="restart"/>
                  <w:vAlign w:val="center"/>
                </w:tcPr>
                <w:p w14:paraId="6A9910B6">
                  <w:pPr>
                    <w:pStyle w:val="30"/>
                    <w:rPr>
                      <w:color w:val="auto"/>
                    </w:rPr>
                  </w:pPr>
                  <w:r>
                    <w:rPr>
                      <w:rFonts w:hint="eastAsia"/>
                      <w:color w:val="auto"/>
                    </w:rPr>
                    <w:t>2030</w:t>
                  </w:r>
                </w:p>
              </w:tc>
              <w:tc>
                <w:tcPr>
                  <w:tcW w:w="265" w:type="pct"/>
                  <w:vAlign w:val="center"/>
                </w:tcPr>
                <w:p w14:paraId="1BED490E">
                  <w:pPr>
                    <w:pStyle w:val="30"/>
                    <w:rPr>
                      <w:color w:val="auto"/>
                    </w:rPr>
                  </w:pPr>
                  <w:r>
                    <w:rPr>
                      <w:rFonts w:hint="eastAsia"/>
                      <w:color w:val="auto"/>
                    </w:rPr>
                    <w:t>昼间</w:t>
                  </w:r>
                </w:p>
              </w:tc>
              <w:tc>
                <w:tcPr>
                  <w:tcW w:w="353" w:type="pct"/>
                  <w:vAlign w:val="center"/>
                </w:tcPr>
                <w:p w14:paraId="3746FF9C">
                  <w:pPr>
                    <w:pStyle w:val="30"/>
                    <w:rPr>
                      <w:color w:val="auto"/>
                    </w:rPr>
                  </w:pPr>
                  <w:r>
                    <w:rPr>
                      <w:rFonts w:hint="eastAsia"/>
                      <w:color w:val="auto"/>
                    </w:rPr>
                    <w:t>68.1</w:t>
                  </w:r>
                </w:p>
              </w:tc>
              <w:tc>
                <w:tcPr>
                  <w:tcW w:w="353" w:type="pct"/>
                  <w:vAlign w:val="center"/>
                </w:tcPr>
                <w:p w14:paraId="659D5311">
                  <w:pPr>
                    <w:pStyle w:val="30"/>
                    <w:rPr>
                      <w:color w:val="auto"/>
                    </w:rPr>
                  </w:pPr>
                  <w:r>
                    <w:rPr>
                      <w:rFonts w:hint="eastAsia"/>
                      <w:color w:val="auto"/>
                    </w:rPr>
                    <w:t>64.1</w:t>
                  </w:r>
                </w:p>
              </w:tc>
              <w:tc>
                <w:tcPr>
                  <w:tcW w:w="353" w:type="pct"/>
                  <w:vAlign w:val="center"/>
                </w:tcPr>
                <w:p w14:paraId="070A80ED">
                  <w:pPr>
                    <w:pStyle w:val="30"/>
                    <w:rPr>
                      <w:color w:val="auto"/>
                    </w:rPr>
                  </w:pPr>
                  <w:r>
                    <w:rPr>
                      <w:rFonts w:hint="eastAsia"/>
                      <w:color w:val="auto"/>
                    </w:rPr>
                    <w:t>61.8</w:t>
                  </w:r>
                </w:p>
              </w:tc>
              <w:tc>
                <w:tcPr>
                  <w:tcW w:w="353" w:type="pct"/>
                  <w:vAlign w:val="center"/>
                </w:tcPr>
                <w:p w14:paraId="20E966CA">
                  <w:pPr>
                    <w:pStyle w:val="30"/>
                    <w:rPr>
                      <w:color w:val="auto"/>
                    </w:rPr>
                  </w:pPr>
                  <w:r>
                    <w:rPr>
                      <w:rFonts w:hint="eastAsia"/>
                      <w:color w:val="auto"/>
                    </w:rPr>
                    <w:t>60.1</w:t>
                  </w:r>
                </w:p>
              </w:tc>
              <w:tc>
                <w:tcPr>
                  <w:tcW w:w="353" w:type="pct"/>
                  <w:vAlign w:val="center"/>
                </w:tcPr>
                <w:p w14:paraId="35190C2E">
                  <w:pPr>
                    <w:pStyle w:val="30"/>
                    <w:rPr>
                      <w:color w:val="auto"/>
                    </w:rPr>
                  </w:pPr>
                  <w:r>
                    <w:rPr>
                      <w:rFonts w:hint="eastAsia"/>
                      <w:color w:val="auto"/>
                    </w:rPr>
                    <w:t>57.6</w:t>
                  </w:r>
                </w:p>
              </w:tc>
              <w:tc>
                <w:tcPr>
                  <w:tcW w:w="353" w:type="pct"/>
                  <w:vAlign w:val="center"/>
                </w:tcPr>
                <w:p w14:paraId="1CF50E6A">
                  <w:pPr>
                    <w:pStyle w:val="30"/>
                    <w:rPr>
                      <w:color w:val="auto"/>
                    </w:rPr>
                  </w:pPr>
                  <w:r>
                    <w:rPr>
                      <w:rFonts w:hint="eastAsia"/>
                      <w:color w:val="auto"/>
                    </w:rPr>
                    <w:t>56.0</w:t>
                  </w:r>
                </w:p>
              </w:tc>
              <w:tc>
                <w:tcPr>
                  <w:tcW w:w="353" w:type="pct"/>
                  <w:vAlign w:val="center"/>
                </w:tcPr>
                <w:p w14:paraId="0036B9D9">
                  <w:pPr>
                    <w:pStyle w:val="30"/>
                    <w:rPr>
                      <w:color w:val="auto"/>
                    </w:rPr>
                  </w:pPr>
                  <w:r>
                    <w:rPr>
                      <w:rFonts w:hint="eastAsia"/>
                      <w:color w:val="auto"/>
                    </w:rPr>
                    <w:t>54.7</w:t>
                  </w:r>
                </w:p>
              </w:tc>
              <w:tc>
                <w:tcPr>
                  <w:tcW w:w="353" w:type="pct"/>
                  <w:vAlign w:val="center"/>
                </w:tcPr>
                <w:p w14:paraId="4E847C4B">
                  <w:pPr>
                    <w:pStyle w:val="30"/>
                    <w:rPr>
                      <w:color w:val="auto"/>
                    </w:rPr>
                  </w:pPr>
                  <w:r>
                    <w:rPr>
                      <w:rFonts w:hint="eastAsia"/>
                      <w:color w:val="auto"/>
                    </w:rPr>
                    <w:t>53.70</w:t>
                  </w:r>
                </w:p>
              </w:tc>
              <w:tc>
                <w:tcPr>
                  <w:tcW w:w="353" w:type="pct"/>
                  <w:vAlign w:val="center"/>
                </w:tcPr>
                <w:p w14:paraId="4BA12782">
                  <w:pPr>
                    <w:pStyle w:val="30"/>
                    <w:rPr>
                      <w:color w:val="auto"/>
                    </w:rPr>
                  </w:pPr>
                  <w:r>
                    <w:rPr>
                      <w:rFonts w:hint="eastAsia"/>
                      <w:color w:val="auto"/>
                    </w:rPr>
                    <w:t>52.9</w:t>
                  </w:r>
                </w:p>
              </w:tc>
              <w:tc>
                <w:tcPr>
                  <w:tcW w:w="353" w:type="pct"/>
                  <w:vAlign w:val="center"/>
                </w:tcPr>
                <w:p w14:paraId="00757B6D">
                  <w:pPr>
                    <w:pStyle w:val="30"/>
                    <w:rPr>
                      <w:color w:val="auto"/>
                    </w:rPr>
                  </w:pPr>
                  <w:r>
                    <w:rPr>
                      <w:rFonts w:hint="eastAsia"/>
                      <w:color w:val="auto"/>
                    </w:rPr>
                    <w:t>52.2</w:t>
                  </w:r>
                </w:p>
              </w:tc>
              <w:tc>
                <w:tcPr>
                  <w:tcW w:w="353" w:type="pct"/>
                  <w:vAlign w:val="center"/>
                </w:tcPr>
                <w:p w14:paraId="360CA5DE">
                  <w:pPr>
                    <w:pStyle w:val="30"/>
                    <w:rPr>
                      <w:color w:val="auto"/>
                    </w:rPr>
                  </w:pPr>
                  <w:r>
                    <w:rPr>
                      <w:rFonts w:hint="eastAsia"/>
                      <w:color w:val="auto"/>
                    </w:rPr>
                    <w:t>51.5</w:t>
                  </w:r>
                </w:p>
              </w:tc>
              <w:tc>
                <w:tcPr>
                  <w:tcW w:w="357" w:type="pct"/>
                  <w:vAlign w:val="center"/>
                </w:tcPr>
                <w:p w14:paraId="1E440201">
                  <w:pPr>
                    <w:pStyle w:val="30"/>
                    <w:rPr>
                      <w:color w:val="auto"/>
                    </w:rPr>
                  </w:pPr>
                  <w:r>
                    <w:rPr>
                      <w:rFonts w:hint="eastAsia"/>
                      <w:color w:val="auto"/>
                    </w:rPr>
                    <w:t>50.9</w:t>
                  </w:r>
                </w:p>
              </w:tc>
            </w:tr>
            <w:tr w14:paraId="56D927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64" w:type="pct"/>
                  <w:vMerge w:val="continue"/>
                  <w:vAlign w:val="center"/>
                </w:tcPr>
                <w:p w14:paraId="7AD64FF8">
                  <w:pPr>
                    <w:pStyle w:val="30"/>
                    <w:rPr>
                      <w:color w:val="auto"/>
                    </w:rPr>
                  </w:pPr>
                </w:p>
              </w:tc>
              <w:tc>
                <w:tcPr>
                  <w:tcW w:w="228" w:type="pct"/>
                  <w:vMerge w:val="continue"/>
                  <w:vAlign w:val="center"/>
                </w:tcPr>
                <w:p w14:paraId="5688118E">
                  <w:pPr>
                    <w:pStyle w:val="30"/>
                    <w:rPr>
                      <w:color w:val="auto"/>
                    </w:rPr>
                  </w:pPr>
                </w:p>
              </w:tc>
              <w:tc>
                <w:tcPr>
                  <w:tcW w:w="265" w:type="pct"/>
                  <w:vAlign w:val="center"/>
                </w:tcPr>
                <w:p w14:paraId="0AEF52CE">
                  <w:pPr>
                    <w:pStyle w:val="30"/>
                    <w:rPr>
                      <w:color w:val="auto"/>
                    </w:rPr>
                  </w:pPr>
                  <w:r>
                    <w:rPr>
                      <w:rFonts w:hint="eastAsia"/>
                      <w:color w:val="auto"/>
                    </w:rPr>
                    <w:t>夜间</w:t>
                  </w:r>
                </w:p>
              </w:tc>
              <w:tc>
                <w:tcPr>
                  <w:tcW w:w="353" w:type="pct"/>
                  <w:vAlign w:val="center"/>
                </w:tcPr>
                <w:p w14:paraId="7A6022EF">
                  <w:pPr>
                    <w:pStyle w:val="30"/>
                    <w:rPr>
                      <w:color w:val="auto"/>
                    </w:rPr>
                  </w:pPr>
                  <w:r>
                    <w:rPr>
                      <w:rFonts w:hint="eastAsia"/>
                      <w:color w:val="auto"/>
                    </w:rPr>
                    <w:t>71.1</w:t>
                  </w:r>
                </w:p>
              </w:tc>
              <w:tc>
                <w:tcPr>
                  <w:tcW w:w="353" w:type="pct"/>
                  <w:vAlign w:val="center"/>
                </w:tcPr>
                <w:p w14:paraId="7E949359">
                  <w:pPr>
                    <w:pStyle w:val="30"/>
                    <w:rPr>
                      <w:color w:val="auto"/>
                    </w:rPr>
                  </w:pPr>
                  <w:r>
                    <w:rPr>
                      <w:rFonts w:hint="eastAsia"/>
                      <w:color w:val="auto"/>
                    </w:rPr>
                    <w:t>67.1</w:t>
                  </w:r>
                </w:p>
              </w:tc>
              <w:tc>
                <w:tcPr>
                  <w:tcW w:w="353" w:type="pct"/>
                  <w:vAlign w:val="center"/>
                </w:tcPr>
                <w:p w14:paraId="7AAC6D80">
                  <w:pPr>
                    <w:pStyle w:val="30"/>
                    <w:rPr>
                      <w:color w:val="auto"/>
                    </w:rPr>
                  </w:pPr>
                  <w:r>
                    <w:rPr>
                      <w:rFonts w:hint="eastAsia"/>
                      <w:color w:val="auto"/>
                    </w:rPr>
                    <w:t>64.8</w:t>
                  </w:r>
                </w:p>
              </w:tc>
              <w:tc>
                <w:tcPr>
                  <w:tcW w:w="353" w:type="pct"/>
                  <w:vAlign w:val="center"/>
                </w:tcPr>
                <w:p w14:paraId="12B2298F">
                  <w:pPr>
                    <w:pStyle w:val="30"/>
                    <w:rPr>
                      <w:color w:val="auto"/>
                    </w:rPr>
                  </w:pPr>
                  <w:r>
                    <w:rPr>
                      <w:rFonts w:hint="eastAsia"/>
                      <w:color w:val="auto"/>
                    </w:rPr>
                    <w:t>63.1</w:t>
                  </w:r>
                </w:p>
              </w:tc>
              <w:tc>
                <w:tcPr>
                  <w:tcW w:w="353" w:type="pct"/>
                  <w:vAlign w:val="center"/>
                </w:tcPr>
                <w:p w14:paraId="57F0FE68">
                  <w:pPr>
                    <w:pStyle w:val="30"/>
                    <w:rPr>
                      <w:color w:val="auto"/>
                    </w:rPr>
                  </w:pPr>
                  <w:r>
                    <w:rPr>
                      <w:rFonts w:hint="eastAsia"/>
                      <w:color w:val="auto"/>
                    </w:rPr>
                    <w:t>60.7</w:t>
                  </w:r>
                </w:p>
              </w:tc>
              <w:tc>
                <w:tcPr>
                  <w:tcW w:w="353" w:type="pct"/>
                  <w:vAlign w:val="center"/>
                </w:tcPr>
                <w:p w14:paraId="535CC31B">
                  <w:pPr>
                    <w:pStyle w:val="30"/>
                    <w:rPr>
                      <w:color w:val="auto"/>
                    </w:rPr>
                  </w:pPr>
                  <w:r>
                    <w:rPr>
                      <w:rFonts w:hint="eastAsia"/>
                      <w:color w:val="auto"/>
                    </w:rPr>
                    <w:t>59.0</w:t>
                  </w:r>
                </w:p>
              </w:tc>
              <w:tc>
                <w:tcPr>
                  <w:tcW w:w="353" w:type="pct"/>
                  <w:vAlign w:val="center"/>
                </w:tcPr>
                <w:p w14:paraId="28B5CF28">
                  <w:pPr>
                    <w:pStyle w:val="30"/>
                    <w:rPr>
                      <w:color w:val="auto"/>
                    </w:rPr>
                  </w:pPr>
                  <w:r>
                    <w:rPr>
                      <w:rFonts w:hint="eastAsia"/>
                      <w:color w:val="auto"/>
                    </w:rPr>
                    <w:t>57.7</w:t>
                  </w:r>
                </w:p>
              </w:tc>
              <w:tc>
                <w:tcPr>
                  <w:tcW w:w="353" w:type="pct"/>
                  <w:vAlign w:val="center"/>
                </w:tcPr>
                <w:p w14:paraId="61D8FE08">
                  <w:pPr>
                    <w:pStyle w:val="30"/>
                    <w:rPr>
                      <w:color w:val="auto"/>
                    </w:rPr>
                  </w:pPr>
                  <w:r>
                    <w:rPr>
                      <w:rFonts w:hint="eastAsia"/>
                      <w:color w:val="auto"/>
                    </w:rPr>
                    <w:t>56.7</w:t>
                  </w:r>
                </w:p>
              </w:tc>
              <w:tc>
                <w:tcPr>
                  <w:tcW w:w="353" w:type="pct"/>
                  <w:vAlign w:val="center"/>
                </w:tcPr>
                <w:p w14:paraId="5C966434">
                  <w:pPr>
                    <w:pStyle w:val="30"/>
                    <w:rPr>
                      <w:color w:val="auto"/>
                    </w:rPr>
                  </w:pPr>
                  <w:r>
                    <w:rPr>
                      <w:rFonts w:hint="eastAsia"/>
                      <w:color w:val="auto"/>
                    </w:rPr>
                    <w:t>55.9</w:t>
                  </w:r>
                </w:p>
              </w:tc>
              <w:tc>
                <w:tcPr>
                  <w:tcW w:w="353" w:type="pct"/>
                  <w:vAlign w:val="center"/>
                </w:tcPr>
                <w:p w14:paraId="108EFCEE">
                  <w:pPr>
                    <w:pStyle w:val="30"/>
                    <w:rPr>
                      <w:color w:val="auto"/>
                    </w:rPr>
                  </w:pPr>
                  <w:r>
                    <w:rPr>
                      <w:rFonts w:hint="eastAsia"/>
                      <w:color w:val="auto"/>
                    </w:rPr>
                    <w:t>55.2</w:t>
                  </w:r>
                </w:p>
              </w:tc>
              <w:tc>
                <w:tcPr>
                  <w:tcW w:w="353" w:type="pct"/>
                  <w:vAlign w:val="center"/>
                </w:tcPr>
                <w:p w14:paraId="5889E85D">
                  <w:pPr>
                    <w:pStyle w:val="30"/>
                    <w:rPr>
                      <w:color w:val="auto"/>
                    </w:rPr>
                  </w:pPr>
                  <w:r>
                    <w:rPr>
                      <w:rFonts w:hint="eastAsia"/>
                      <w:color w:val="auto"/>
                    </w:rPr>
                    <w:t>54.5</w:t>
                  </w:r>
                </w:p>
              </w:tc>
              <w:tc>
                <w:tcPr>
                  <w:tcW w:w="357" w:type="pct"/>
                  <w:vAlign w:val="center"/>
                </w:tcPr>
                <w:p w14:paraId="3DA41093">
                  <w:pPr>
                    <w:pStyle w:val="30"/>
                    <w:rPr>
                      <w:color w:val="auto"/>
                    </w:rPr>
                  </w:pPr>
                  <w:r>
                    <w:rPr>
                      <w:rFonts w:hint="eastAsia"/>
                      <w:color w:val="auto"/>
                    </w:rPr>
                    <w:t>53.9</w:t>
                  </w:r>
                </w:p>
              </w:tc>
            </w:tr>
            <w:tr w14:paraId="4DFBD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64" w:type="pct"/>
                  <w:vMerge w:val="continue"/>
                  <w:vAlign w:val="center"/>
                </w:tcPr>
                <w:p w14:paraId="41439BC6">
                  <w:pPr>
                    <w:pStyle w:val="30"/>
                    <w:rPr>
                      <w:color w:val="auto"/>
                    </w:rPr>
                  </w:pPr>
                </w:p>
              </w:tc>
              <w:tc>
                <w:tcPr>
                  <w:tcW w:w="228" w:type="pct"/>
                  <w:vMerge w:val="restart"/>
                  <w:vAlign w:val="center"/>
                </w:tcPr>
                <w:p w14:paraId="6471945B">
                  <w:pPr>
                    <w:pStyle w:val="30"/>
                    <w:rPr>
                      <w:color w:val="auto"/>
                    </w:rPr>
                  </w:pPr>
                  <w:r>
                    <w:rPr>
                      <w:rFonts w:hint="eastAsia"/>
                      <w:color w:val="auto"/>
                    </w:rPr>
                    <w:t>2040</w:t>
                  </w:r>
                </w:p>
              </w:tc>
              <w:tc>
                <w:tcPr>
                  <w:tcW w:w="265" w:type="pct"/>
                  <w:vAlign w:val="center"/>
                </w:tcPr>
                <w:p w14:paraId="07FC853C">
                  <w:pPr>
                    <w:pStyle w:val="30"/>
                    <w:rPr>
                      <w:color w:val="auto"/>
                    </w:rPr>
                  </w:pPr>
                  <w:r>
                    <w:rPr>
                      <w:rFonts w:hint="eastAsia"/>
                      <w:color w:val="auto"/>
                    </w:rPr>
                    <w:t>昼间</w:t>
                  </w:r>
                </w:p>
              </w:tc>
              <w:tc>
                <w:tcPr>
                  <w:tcW w:w="353" w:type="pct"/>
                  <w:vAlign w:val="center"/>
                </w:tcPr>
                <w:p w14:paraId="4BCB5805">
                  <w:pPr>
                    <w:pStyle w:val="30"/>
                    <w:rPr>
                      <w:color w:val="auto"/>
                    </w:rPr>
                  </w:pPr>
                  <w:r>
                    <w:rPr>
                      <w:rFonts w:hint="eastAsia"/>
                      <w:color w:val="auto"/>
                    </w:rPr>
                    <w:t>68.1</w:t>
                  </w:r>
                </w:p>
              </w:tc>
              <w:tc>
                <w:tcPr>
                  <w:tcW w:w="353" w:type="pct"/>
                  <w:vAlign w:val="center"/>
                </w:tcPr>
                <w:p w14:paraId="50A2E9D0">
                  <w:pPr>
                    <w:pStyle w:val="30"/>
                    <w:rPr>
                      <w:color w:val="auto"/>
                    </w:rPr>
                  </w:pPr>
                  <w:r>
                    <w:rPr>
                      <w:rFonts w:hint="eastAsia"/>
                      <w:color w:val="auto"/>
                    </w:rPr>
                    <w:t>64.1</w:t>
                  </w:r>
                </w:p>
              </w:tc>
              <w:tc>
                <w:tcPr>
                  <w:tcW w:w="353" w:type="pct"/>
                  <w:vAlign w:val="center"/>
                </w:tcPr>
                <w:p w14:paraId="321E5797">
                  <w:pPr>
                    <w:pStyle w:val="30"/>
                    <w:rPr>
                      <w:color w:val="auto"/>
                    </w:rPr>
                  </w:pPr>
                  <w:r>
                    <w:rPr>
                      <w:rFonts w:hint="eastAsia"/>
                      <w:color w:val="auto"/>
                    </w:rPr>
                    <w:t>61.8</w:t>
                  </w:r>
                </w:p>
              </w:tc>
              <w:tc>
                <w:tcPr>
                  <w:tcW w:w="353" w:type="pct"/>
                  <w:vAlign w:val="center"/>
                </w:tcPr>
                <w:p w14:paraId="4CA44907">
                  <w:pPr>
                    <w:pStyle w:val="30"/>
                    <w:rPr>
                      <w:color w:val="auto"/>
                    </w:rPr>
                  </w:pPr>
                  <w:r>
                    <w:rPr>
                      <w:rFonts w:hint="eastAsia"/>
                      <w:color w:val="auto"/>
                    </w:rPr>
                    <w:t>60.1</w:t>
                  </w:r>
                </w:p>
              </w:tc>
              <w:tc>
                <w:tcPr>
                  <w:tcW w:w="353" w:type="pct"/>
                  <w:vAlign w:val="center"/>
                </w:tcPr>
                <w:p w14:paraId="559280E3">
                  <w:pPr>
                    <w:pStyle w:val="30"/>
                    <w:rPr>
                      <w:color w:val="auto"/>
                    </w:rPr>
                  </w:pPr>
                  <w:r>
                    <w:rPr>
                      <w:rFonts w:hint="eastAsia"/>
                      <w:color w:val="auto"/>
                    </w:rPr>
                    <w:t>57.6</w:t>
                  </w:r>
                </w:p>
              </w:tc>
              <w:tc>
                <w:tcPr>
                  <w:tcW w:w="353" w:type="pct"/>
                  <w:vAlign w:val="center"/>
                </w:tcPr>
                <w:p w14:paraId="70675B27">
                  <w:pPr>
                    <w:pStyle w:val="30"/>
                    <w:rPr>
                      <w:color w:val="auto"/>
                    </w:rPr>
                  </w:pPr>
                  <w:r>
                    <w:rPr>
                      <w:rFonts w:hint="eastAsia"/>
                      <w:color w:val="auto"/>
                    </w:rPr>
                    <w:t>56.0</w:t>
                  </w:r>
                </w:p>
              </w:tc>
              <w:tc>
                <w:tcPr>
                  <w:tcW w:w="353" w:type="pct"/>
                  <w:vAlign w:val="center"/>
                </w:tcPr>
                <w:p w14:paraId="4820ED70">
                  <w:pPr>
                    <w:pStyle w:val="30"/>
                    <w:rPr>
                      <w:color w:val="auto"/>
                    </w:rPr>
                  </w:pPr>
                  <w:r>
                    <w:rPr>
                      <w:rFonts w:hint="eastAsia"/>
                      <w:color w:val="auto"/>
                    </w:rPr>
                    <w:t>54.7</w:t>
                  </w:r>
                </w:p>
              </w:tc>
              <w:tc>
                <w:tcPr>
                  <w:tcW w:w="353" w:type="pct"/>
                  <w:vAlign w:val="center"/>
                </w:tcPr>
                <w:p w14:paraId="3241CEB6">
                  <w:pPr>
                    <w:pStyle w:val="30"/>
                    <w:rPr>
                      <w:color w:val="auto"/>
                    </w:rPr>
                  </w:pPr>
                  <w:r>
                    <w:rPr>
                      <w:rFonts w:hint="eastAsia"/>
                      <w:color w:val="auto"/>
                    </w:rPr>
                    <w:t>53.7</w:t>
                  </w:r>
                </w:p>
              </w:tc>
              <w:tc>
                <w:tcPr>
                  <w:tcW w:w="353" w:type="pct"/>
                  <w:vAlign w:val="center"/>
                </w:tcPr>
                <w:p w14:paraId="21A3DA9C">
                  <w:pPr>
                    <w:pStyle w:val="30"/>
                    <w:rPr>
                      <w:color w:val="auto"/>
                    </w:rPr>
                  </w:pPr>
                  <w:r>
                    <w:rPr>
                      <w:rFonts w:hint="eastAsia"/>
                      <w:color w:val="auto"/>
                    </w:rPr>
                    <w:t>52.9</w:t>
                  </w:r>
                </w:p>
              </w:tc>
              <w:tc>
                <w:tcPr>
                  <w:tcW w:w="353" w:type="pct"/>
                  <w:vAlign w:val="center"/>
                </w:tcPr>
                <w:p w14:paraId="260658E2">
                  <w:pPr>
                    <w:pStyle w:val="30"/>
                    <w:rPr>
                      <w:color w:val="auto"/>
                    </w:rPr>
                  </w:pPr>
                  <w:r>
                    <w:rPr>
                      <w:rFonts w:hint="eastAsia"/>
                      <w:color w:val="auto"/>
                    </w:rPr>
                    <w:t>52.2</w:t>
                  </w:r>
                </w:p>
              </w:tc>
              <w:tc>
                <w:tcPr>
                  <w:tcW w:w="353" w:type="pct"/>
                  <w:vAlign w:val="center"/>
                </w:tcPr>
                <w:p w14:paraId="5C8C9125">
                  <w:pPr>
                    <w:pStyle w:val="30"/>
                    <w:rPr>
                      <w:color w:val="auto"/>
                    </w:rPr>
                  </w:pPr>
                  <w:r>
                    <w:rPr>
                      <w:rFonts w:hint="eastAsia"/>
                      <w:color w:val="auto"/>
                    </w:rPr>
                    <w:t>51.5</w:t>
                  </w:r>
                </w:p>
              </w:tc>
              <w:tc>
                <w:tcPr>
                  <w:tcW w:w="357" w:type="pct"/>
                  <w:vAlign w:val="center"/>
                </w:tcPr>
                <w:p w14:paraId="17A91761">
                  <w:pPr>
                    <w:pStyle w:val="30"/>
                    <w:rPr>
                      <w:color w:val="auto"/>
                    </w:rPr>
                  </w:pPr>
                  <w:r>
                    <w:rPr>
                      <w:rFonts w:hint="eastAsia"/>
                      <w:color w:val="auto"/>
                    </w:rPr>
                    <w:t>50.9</w:t>
                  </w:r>
                </w:p>
              </w:tc>
            </w:tr>
            <w:tr w14:paraId="1FF8E1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64" w:type="pct"/>
                  <w:vMerge w:val="continue"/>
                  <w:vAlign w:val="center"/>
                </w:tcPr>
                <w:p w14:paraId="06AB422B">
                  <w:pPr>
                    <w:pStyle w:val="30"/>
                    <w:rPr>
                      <w:color w:val="auto"/>
                    </w:rPr>
                  </w:pPr>
                </w:p>
              </w:tc>
              <w:tc>
                <w:tcPr>
                  <w:tcW w:w="228" w:type="pct"/>
                  <w:vMerge w:val="continue"/>
                  <w:vAlign w:val="center"/>
                </w:tcPr>
                <w:p w14:paraId="12B4D1C4">
                  <w:pPr>
                    <w:pStyle w:val="30"/>
                    <w:rPr>
                      <w:color w:val="auto"/>
                    </w:rPr>
                  </w:pPr>
                </w:p>
              </w:tc>
              <w:tc>
                <w:tcPr>
                  <w:tcW w:w="265" w:type="pct"/>
                  <w:vAlign w:val="center"/>
                </w:tcPr>
                <w:p w14:paraId="4FD575CA">
                  <w:pPr>
                    <w:pStyle w:val="30"/>
                    <w:rPr>
                      <w:color w:val="auto"/>
                    </w:rPr>
                  </w:pPr>
                  <w:r>
                    <w:rPr>
                      <w:rFonts w:hint="eastAsia"/>
                      <w:color w:val="auto"/>
                    </w:rPr>
                    <w:t>夜间</w:t>
                  </w:r>
                </w:p>
              </w:tc>
              <w:tc>
                <w:tcPr>
                  <w:tcW w:w="353" w:type="pct"/>
                  <w:vAlign w:val="center"/>
                </w:tcPr>
                <w:p w14:paraId="76034AFF">
                  <w:pPr>
                    <w:pStyle w:val="30"/>
                    <w:rPr>
                      <w:color w:val="auto"/>
                    </w:rPr>
                  </w:pPr>
                  <w:r>
                    <w:rPr>
                      <w:rFonts w:hint="eastAsia"/>
                      <w:color w:val="auto"/>
                    </w:rPr>
                    <w:t>71.1</w:t>
                  </w:r>
                </w:p>
              </w:tc>
              <w:tc>
                <w:tcPr>
                  <w:tcW w:w="353" w:type="pct"/>
                  <w:vAlign w:val="center"/>
                </w:tcPr>
                <w:p w14:paraId="6F068011">
                  <w:pPr>
                    <w:pStyle w:val="30"/>
                    <w:rPr>
                      <w:color w:val="auto"/>
                    </w:rPr>
                  </w:pPr>
                  <w:r>
                    <w:rPr>
                      <w:rFonts w:hint="eastAsia"/>
                      <w:color w:val="auto"/>
                    </w:rPr>
                    <w:t>67.1</w:t>
                  </w:r>
                </w:p>
              </w:tc>
              <w:tc>
                <w:tcPr>
                  <w:tcW w:w="353" w:type="pct"/>
                  <w:vAlign w:val="center"/>
                </w:tcPr>
                <w:p w14:paraId="5AE6EE4C">
                  <w:pPr>
                    <w:pStyle w:val="30"/>
                    <w:rPr>
                      <w:color w:val="auto"/>
                    </w:rPr>
                  </w:pPr>
                  <w:r>
                    <w:rPr>
                      <w:rFonts w:hint="eastAsia"/>
                      <w:color w:val="auto"/>
                    </w:rPr>
                    <w:t>64.8</w:t>
                  </w:r>
                </w:p>
              </w:tc>
              <w:tc>
                <w:tcPr>
                  <w:tcW w:w="353" w:type="pct"/>
                  <w:vAlign w:val="center"/>
                </w:tcPr>
                <w:p w14:paraId="02810DF6">
                  <w:pPr>
                    <w:pStyle w:val="30"/>
                    <w:rPr>
                      <w:color w:val="auto"/>
                    </w:rPr>
                  </w:pPr>
                  <w:r>
                    <w:rPr>
                      <w:rFonts w:hint="eastAsia"/>
                      <w:color w:val="auto"/>
                    </w:rPr>
                    <w:t>63.1</w:t>
                  </w:r>
                </w:p>
              </w:tc>
              <w:tc>
                <w:tcPr>
                  <w:tcW w:w="353" w:type="pct"/>
                  <w:vAlign w:val="center"/>
                </w:tcPr>
                <w:p w14:paraId="2C015229">
                  <w:pPr>
                    <w:pStyle w:val="30"/>
                    <w:rPr>
                      <w:color w:val="auto"/>
                    </w:rPr>
                  </w:pPr>
                  <w:r>
                    <w:rPr>
                      <w:rFonts w:hint="eastAsia"/>
                      <w:color w:val="auto"/>
                    </w:rPr>
                    <w:t>60.7</w:t>
                  </w:r>
                </w:p>
              </w:tc>
              <w:tc>
                <w:tcPr>
                  <w:tcW w:w="353" w:type="pct"/>
                  <w:vAlign w:val="center"/>
                </w:tcPr>
                <w:p w14:paraId="49B9C6CA">
                  <w:pPr>
                    <w:pStyle w:val="30"/>
                    <w:rPr>
                      <w:color w:val="auto"/>
                    </w:rPr>
                  </w:pPr>
                  <w:r>
                    <w:rPr>
                      <w:rFonts w:hint="eastAsia"/>
                      <w:color w:val="auto"/>
                    </w:rPr>
                    <w:t>59.0</w:t>
                  </w:r>
                </w:p>
              </w:tc>
              <w:tc>
                <w:tcPr>
                  <w:tcW w:w="353" w:type="pct"/>
                  <w:vAlign w:val="center"/>
                </w:tcPr>
                <w:p w14:paraId="770C0055">
                  <w:pPr>
                    <w:pStyle w:val="30"/>
                    <w:rPr>
                      <w:color w:val="auto"/>
                    </w:rPr>
                  </w:pPr>
                  <w:r>
                    <w:rPr>
                      <w:rFonts w:hint="eastAsia"/>
                      <w:color w:val="auto"/>
                    </w:rPr>
                    <w:t>57.7</w:t>
                  </w:r>
                </w:p>
              </w:tc>
              <w:tc>
                <w:tcPr>
                  <w:tcW w:w="353" w:type="pct"/>
                  <w:vAlign w:val="center"/>
                </w:tcPr>
                <w:p w14:paraId="2275ABA0">
                  <w:pPr>
                    <w:pStyle w:val="30"/>
                    <w:rPr>
                      <w:color w:val="auto"/>
                    </w:rPr>
                  </w:pPr>
                  <w:r>
                    <w:rPr>
                      <w:rFonts w:hint="eastAsia"/>
                      <w:color w:val="auto"/>
                    </w:rPr>
                    <w:t>56.7</w:t>
                  </w:r>
                </w:p>
              </w:tc>
              <w:tc>
                <w:tcPr>
                  <w:tcW w:w="353" w:type="pct"/>
                  <w:vAlign w:val="center"/>
                </w:tcPr>
                <w:p w14:paraId="1745DE96">
                  <w:pPr>
                    <w:pStyle w:val="30"/>
                    <w:rPr>
                      <w:color w:val="auto"/>
                    </w:rPr>
                  </w:pPr>
                  <w:r>
                    <w:rPr>
                      <w:rFonts w:hint="eastAsia"/>
                      <w:color w:val="auto"/>
                    </w:rPr>
                    <w:t>55.9</w:t>
                  </w:r>
                </w:p>
              </w:tc>
              <w:tc>
                <w:tcPr>
                  <w:tcW w:w="353" w:type="pct"/>
                  <w:vAlign w:val="center"/>
                </w:tcPr>
                <w:p w14:paraId="6E78E294">
                  <w:pPr>
                    <w:pStyle w:val="30"/>
                    <w:rPr>
                      <w:color w:val="auto"/>
                    </w:rPr>
                  </w:pPr>
                  <w:r>
                    <w:rPr>
                      <w:rFonts w:hint="eastAsia"/>
                      <w:color w:val="auto"/>
                    </w:rPr>
                    <w:t>55.2</w:t>
                  </w:r>
                </w:p>
              </w:tc>
              <w:tc>
                <w:tcPr>
                  <w:tcW w:w="353" w:type="pct"/>
                  <w:vAlign w:val="center"/>
                </w:tcPr>
                <w:p w14:paraId="2E99298C">
                  <w:pPr>
                    <w:pStyle w:val="30"/>
                    <w:rPr>
                      <w:color w:val="auto"/>
                    </w:rPr>
                  </w:pPr>
                  <w:r>
                    <w:rPr>
                      <w:rFonts w:hint="eastAsia"/>
                      <w:color w:val="auto"/>
                    </w:rPr>
                    <w:t>54.5</w:t>
                  </w:r>
                </w:p>
              </w:tc>
              <w:tc>
                <w:tcPr>
                  <w:tcW w:w="357" w:type="pct"/>
                  <w:vAlign w:val="center"/>
                </w:tcPr>
                <w:p w14:paraId="44DBBB59">
                  <w:pPr>
                    <w:pStyle w:val="30"/>
                    <w:rPr>
                      <w:color w:val="auto"/>
                    </w:rPr>
                  </w:pPr>
                  <w:r>
                    <w:rPr>
                      <w:rFonts w:hint="eastAsia"/>
                      <w:color w:val="auto"/>
                    </w:rPr>
                    <w:t>53.9</w:t>
                  </w:r>
                </w:p>
              </w:tc>
            </w:tr>
          </w:tbl>
          <w:p w14:paraId="240C9B03">
            <w:pPr>
              <w:pStyle w:val="33"/>
              <w:jc w:val="both"/>
              <w:rPr>
                <w:color w:val="auto"/>
              </w:rPr>
            </w:pPr>
          </w:p>
          <w:p w14:paraId="12A3988F">
            <w:pPr>
              <w:pStyle w:val="33"/>
              <w:rPr>
                <w:rFonts w:hint="eastAsia"/>
                <w:color w:val="auto"/>
              </w:rPr>
            </w:pPr>
            <w:r>
              <w:rPr>
                <w:rFonts w:hint="eastAsia"/>
                <w:color w:val="auto"/>
              </w:rPr>
              <w:t>表4-1</w:t>
            </w:r>
            <w:r>
              <w:rPr>
                <w:rFonts w:hint="eastAsia"/>
                <w:color w:val="auto"/>
                <w:lang w:val="en-US" w:eastAsia="zh-CN"/>
              </w:rPr>
              <w:t>1</w:t>
            </w:r>
            <w:r>
              <w:rPr>
                <w:rFonts w:hint="eastAsia"/>
                <w:color w:val="auto"/>
              </w:rPr>
              <w:t xml:space="preserve"> 列车运行噪声各距离下噪声预测值   dB(A)</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9"/>
              <w:gridCol w:w="473"/>
              <w:gridCol w:w="329"/>
              <w:gridCol w:w="510"/>
              <w:gridCol w:w="510"/>
              <w:gridCol w:w="510"/>
              <w:gridCol w:w="510"/>
              <w:gridCol w:w="510"/>
              <w:gridCol w:w="510"/>
              <w:gridCol w:w="510"/>
              <w:gridCol w:w="510"/>
              <w:gridCol w:w="510"/>
              <w:gridCol w:w="510"/>
              <w:gridCol w:w="511"/>
              <w:gridCol w:w="522"/>
            </w:tblGrid>
            <w:tr w14:paraId="75205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226" w:type="pct"/>
                  <w:vMerge w:val="restart"/>
                  <w:vAlign w:val="center"/>
                </w:tcPr>
                <w:p w14:paraId="34FA2586">
                  <w:pPr>
                    <w:pStyle w:val="30"/>
                    <w:rPr>
                      <w:color w:val="auto"/>
                    </w:rPr>
                  </w:pPr>
                  <w:r>
                    <w:rPr>
                      <w:color w:val="auto"/>
                    </w:rPr>
                    <w:t>类别</w:t>
                  </w:r>
                </w:p>
              </w:tc>
              <w:tc>
                <w:tcPr>
                  <w:tcW w:w="326" w:type="pct"/>
                  <w:vMerge w:val="restart"/>
                  <w:vAlign w:val="center"/>
                </w:tcPr>
                <w:p w14:paraId="6E42AE8D">
                  <w:pPr>
                    <w:pStyle w:val="30"/>
                    <w:rPr>
                      <w:color w:val="auto"/>
                    </w:rPr>
                  </w:pPr>
                  <w:r>
                    <w:rPr>
                      <w:color w:val="auto"/>
                    </w:rPr>
                    <w:t>年份</w:t>
                  </w:r>
                </w:p>
              </w:tc>
              <w:tc>
                <w:tcPr>
                  <w:tcW w:w="226" w:type="pct"/>
                  <w:vMerge w:val="restart"/>
                  <w:vAlign w:val="center"/>
                </w:tcPr>
                <w:p w14:paraId="79E122CC">
                  <w:pPr>
                    <w:pStyle w:val="30"/>
                    <w:rPr>
                      <w:color w:val="auto"/>
                    </w:rPr>
                  </w:pPr>
                  <w:r>
                    <w:rPr>
                      <w:color w:val="auto"/>
                    </w:rPr>
                    <w:t>时段</w:t>
                  </w:r>
                </w:p>
              </w:tc>
              <w:tc>
                <w:tcPr>
                  <w:tcW w:w="4220" w:type="pct"/>
                  <w:gridSpan w:val="12"/>
                  <w:vAlign w:val="center"/>
                </w:tcPr>
                <w:p w14:paraId="461D8266">
                  <w:pPr>
                    <w:pStyle w:val="30"/>
                    <w:rPr>
                      <w:color w:val="auto"/>
                    </w:rPr>
                  </w:pPr>
                  <w:r>
                    <w:rPr>
                      <w:color w:val="auto"/>
                    </w:rPr>
                    <w:t>距外轨中心线距离（m）</w:t>
                  </w:r>
                </w:p>
              </w:tc>
            </w:tr>
            <w:tr w14:paraId="40096F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226" w:type="pct"/>
                  <w:vMerge w:val="continue"/>
                  <w:vAlign w:val="center"/>
                </w:tcPr>
                <w:p w14:paraId="687EF722">
                  <w:pPr>
                    <w:pStyle w:val="30"/>
                    <w:rPr>
                      <w:color w:val="auto"/>
                    </w:rPr>
                  </w:pPr>
                </w:p>
              </w:tc>
              <w:tc>
                <w:tcPr>
                  <w:tcW w:w="326" w:type="pct"/>
                  <w:vMerge w:val="continue"/>
                  <w:vAlign w:val="center"/>
                </w:tcPr>
                <w:p w14:paraId="03C8ED84">
                  <w:pPr>
                    <w:pStyle w:val="30"/>
                    <w:rPr>
                      <w:color w:val="auto"/>
                    </w:rPr>
                  </w:pPr>
                </w:p>
              </w:tc>
              <w:tc>
                <w:tcPr>
                  <w:tcW w:w="226" w:type="pct"/>
                  <w:vMerge w:val="continue"/>
                  <w:vAlign w:val="center"/>
                </w:tcPr>
                <w:p w14:paraId="7FDCC8BE">
                  <w:pPr>
                    <w:pStyle w:val="30"/>
                    <w:rPr>
                      <w:color w:val="auto"/>
                    </w:rPr>
                  </w:pPr>
                </w:p>
              </w:tc>
              <w:tc>
                <w:tcPr>
                  <w:tcW w:w="351" w:type="pct"/>
                  <w:vAlign w:val="center"/>
                </w:tcPr>
                <w:p w14:paraId="7755E272">
                  <w:pPr>
                    <w:pStyle w:val="30"/>
                    <w:rPr>
                      <w:color w:val="auto"/>
                    </w:rPr>
                  </w:pPr>
                  <w:r>
                    <w:rPr>
                      <w:color w:val="auto"/>
                    </w:rPr>
                    <w:t>10</w:t>
                  </w:r>
                </w:p>
              </w:tc>
              <w:tc>
                <w:tcPr>
                  <w:tcW w:w="351" w:type="pct"/>
                  <w:vAlign w:val="center"/>
                </w:tcPr>
                <w:p w14:paraId="247DA303">
                  <w:pPr>
                    <w:pStyle w:val="30"/>
                    <w:rPr>
                      <w:color w:val="auto"/>
                    </w:rPr>
                  </w:pPr>
                  <w:r>
                    <w:rPr>
                      <w:color w:val="auto"/>
                    </w:rPr>
                    <w:t>20</w:t>
                  </w:r>
                </w:p>
              </w:tc>
              <w:tc>
                <w:tcPr>
                  <w:tcW w:w="351" w:type="pct"/>
                  <w:vAlign w:val="center"/>
                </w:tcPr>
                <w:p w14:paraId="2AB97986">
                  <w:pPr>
                    <w:pStyle w:val="30"/>
                    <w:rPr>
                      <w:color w:val="auto"/>
                    </w:rPr>
                  </w:pPr>
                  <w:r>
                    <w:rPr>
                      <w:color w:val="auto"/>
                    </w:rPr>
                    <w:t>30</w:t>
                  </w:r>
                </w:p>
              </w:tc>
              <w:tc>
                <w:tcPr>
                  <w:tcW w:w="351" w:type="pct"/>
                  <w:vAlign w:val="center"/>
                </w:tcPr>
                <w:p w14:paraId="38EFEFE1">
                  <w:pPr>
                    <w:pStyle w:val="30"/>
                    <w:rPr>
                      <w:color w:val="auto"/>
                    </w:rPr>
                  </w:pPr>
                  <w:r>
                    <w:rPr>
                      <w:color w:val="auto"/>
                    </w:rPr>
                    <w:t>40</w:t>
                  </w:r>
                </w:p>
              </w:tc>
              <w:tc>
                <w:tcPr>
                  <w:tcW w:w="351" w:type="pct"/>
                  <w:vAlign w:val="center"/>
                </w:tcPr>
                <w:p w14:paraId="67D25391">
                  <w:pPr>
                    <w:pStyle w:val="30"/>
                    <w:rPr>
                      <w:color w:val="auto"/>
                    </w:rPr>
                  </w:pPr>
                  <w:r>
                    <w:rPr>
                      <w:color w:val="auto"/>
                    </w:rPr>
                    <w:t>60</w:t>
                  </w:r>
                </w:p>
              </w:tc>
              <w:tc>
                <w:tcPr>
                  <w:tcW w:w="351" w:type="pct"/>
                  <w:vAlign w:val="center"/>
                </w:tcPr>
                <w:p w14:paraId="0ADCD0CC">
                  <w:pPr>
                    <w:pStyle w:val="30"/>
                    <w:rPr>
                      <w:color w:val="auto"/>
                    </w:rPr>
                  </w:pPr>
                  <w:r>
                    <w:rPr>
                      <w:color w:val="auto"/>
                    </w:rPr>
                    <w:t>80</w:t>
                  </w:r>
                </w:p>
              </w:tc>
              <w:tc>
                <w:tcPr>
                  <w:tcW w:w="351" w:type="pct"/>
                  <w:vAlign w:val="center"/>
                </w:tcPr>
                <w:p w14:paraId="5442E3E5">
                  <w:pPr>
                    <w:pStyle w:val="30"/>
                    <w:rPr>
                      <w:color w:val="auto"/>
                    </w:rPr>
                  </w:pPr>
                  <w:r>
                    <w:rPr>
                      <w:color w:val="auto"/>
                    </w:rPr>
                    <w:t>100</w:t>
                  </w:r>
                </w:p>
              </w:tc>
              <w:tc>
                <w:tcPr>
                  <w:tcW w:w="351" w:type="pct"/>
                  <w:vAlign w:val="center"/>
                </w:tcPr>
                <w:p w14:paraId="252DB477">
                  <w:pPr>
                    <w:pStyle w:val="30"/>
                    <w:rPr>
                      <w:color w:val="auto"/>
                    </w:rPr>
                  </w:pPr>
                  <w:r>
                    <w:rPr>
                      <w:color w:val="auto"/>
                    </w:rPr>
                    <w:t>120</w:t>
                  </w:r>
                </w:p>
              </w:tc>
              <w:tc>
                <w:tcPr>
                  <w:tcW w:w="351" w:type="pct"/>
                  <w:vAlign w:val="center"/>
                </w:tcPr>
                <w:p w14:paraId="6570FEC3">
                  <w:pPr>
                    <w:pStyle w:val="30"/>
                    <w:rPr>
                      <w:color w:val="auto"/>
                    </w:rPr>
                  </w:pPr>
                  <w:r>
                    <w:rPr>
                      <w:color w:val="auto"/>
                    </w:rPr>
                    <w:t>140</w:t>
                  </w:r>
                </w:p>
              </w:tc>
              <w:tc>
                <w:tcPr>
                  <w:tcW w:w="351" w:type="pct"/>
                  <w:vAlign w:val="center"/>
                </w:tcPr>
                <w:p w14:paraId="3AEA6E42">
                  <w:pPr>
                    <w:pStyle w:val="30"/>
                    <w:rPr>
                      <w:color w:val="auto"/>
                    </w:rPr>
                  </w:pPr>
                  <w:r>
                    <w:rPr>
                      <w:color w:val="auto"/>
                    </w:rPr>
                    <w:t>160</w:t>
                  </w:r>
                </w:p>
              </w:tc>
              <w:tc>
                <w:tcPr>
                  <w:tcW w:w="351" w:type="pct"/>
                  <w:vAlign w:val="center"/>
                </w:tcPr>
                <w:p w14:paraId="4E94B7A3">
                  <w:pPr>
                    <w:pStyle w:val="30"/>
                    <w:rPr>
                      <w:color w:val="auto"/>
                    </w:rPr>
                  </w:pPr>
                  <w:r>
                    <w:rPr>
                      <w:color w:val="auto"/>
                    </w:rPr>
                    <w:t>180</w:t>
                  </w:r>
                </w:p>
              </w:tc>
              <w:tc>
                <w:tcPr>
                  <w:tcW w:w="351" w:type="pct"/>
                  <w:vAlign w:val="center"/>
                </w:tcPr>
                <w:p w14:paraId="3A55C401">
                  <w:pPr>
                    <w:pStyle w:val="30"/>
                    <w:rPr>
                      <w:color w:val="auto"/>
                    </w:rPr>
                  </w:pPr>
                  <w:r>
                    <w:rPr>
                      <w:color w:val="auto"/>
                    </w:rPr>
                    <w:t>200</w:t>
                  </w:r>
                </w:p>
              </w:tc>
            </w:tr>
            <w:tr w14:paraId="7E935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26" w:type="pct"/>
                  <w:vMerge w:val="restart"/>
                  <w:vAlign w:val="center"/>
                </w:tcPr>
                <w:p w14:paraId="192B217F">
                  <w:pPr>
                    <w:pStyle w:val="30"/>
                    <w:rPr>
                      <w:color w:val="auto"/>
                    </w:rPr>
                  </w:pPr>
                  <w:r>
                    <w:rPr>
                      <w:color w:val="auto"/>
                    </w:rPr>
                    <w:t>全线</w:t>
                  </w:r>
                </w:p>
              </w:tc>
              <w:tc>
                <w:tcPr>
                  <w:tcW w:w="326" w:type="pct"/>
                  <w:vMerge w:val="restart"/>
                  <w:vAlign w:val="center"/>
                </w:tcPr>
                <w:p w14:paraId="3707EDAE">
                  <w:pPr>
                    <w:pStyle w:val="30"/>
                    <w:rPr>
                      <w:color w:val="auto"/>
                    </w:rPr>
                  </w:pPr>
                  <w:r>
                    <w:rPr>
                      <w:color w:val="auto"/>
                    </w:rPr>
                    <w:t>203</w:t>
                  </w:r>
                  <w:r>
                    <w:rPr>
                      <w:rFonts w:hint="eastAsia"/>
                      <w:color w:val="auto"/>
                    </w:rPr>
                    <w:t>0</w:t>
                  </w:r>
                </w:p>
              </w:tc>
              <w:tc>
                <w:tcPr>
                  <w:tcW w:w="226" w:type="pct"/>
                  <w:vAlign w:val="center"/>
                </w:tcPr>
                <w:p w14:paraId="7057EE3F">
                  <w:pPr>
                    <w:pStyle w:val="30"/>
                    <w:rPr>
                      <w:color w:val="auto"/>
                    </w:rPr>
                  </w:pPr>
                  <w:r>
                    <w:rPr>
                      <w:color w:val="auto"/>
                    </w:rPr>
                    <w:t>昼间</w:t>
                  </w:r>
                </w:p>
              </w:tc>
              <w:tc>
                <w:tcPr>
                  <w:tcW w:w="351" w:type="pct"/>
                  <w:vAlign w:val="center"/>
                </w:tcPr>
                <w:p w14:paraId="190CC249">
                  <w:pPr>
                    <w:pStyle w:val="30"/>
                    <w:rPr>
                      <w:color w:val="auto"/>
                    </w:rPr>
                  </w:pPr>
                  <w:r>
                    <w:rPr>
                      <w:color w:val="auto"/>
                    </w:rPr>
                    <w:t>68.</w:t>
                  </w:r>
                  <w:r>
                    <w:rPr>
                      <w:rFonts w:hint="eastAsia"/>
                      <w:color w:val="auto"/>
                    </w:rPr>
                    <w:t>1</w:t>
                  </w:r>
                </w:p>
              </w:tc>
              <w:tc>
                <w:tcPr>
                  <w:tcW w:w="351" w:type="pct"/>
                  <w:vAlign w:val="center"/>
                </w:tcPr>
                <w:p w14:paraId="6B535FFB">
                  <w:pPr>
                    <w:pStyle w:val="30"/>
                    <w:rPr>
                      <w:color w:val="auto"/>
                    </w:rPr>
                  </w:pPr>
                  <w:r>
                    <w:rPr>
                      <w:color w:val="auto"/>
                    </w:rPr>
                    <w:t>64.</w:t>
                  </w:r>
                  <w:r>
                    <w:rPr>
                      <w:rFonts w:hint="eastAsia"/>
                      <w:color w:val="auto"/>
                    </w:rPr>
                    <w:t>2</w:t>
                  </w:r>
                </w:p>
              </w:tc>
              <w:tc>
                <w:tcPr>
                  <w:tcW w:w="351" w:type="pct"/>
                  <w:vAlign w:val="center"/>
                </w:tcPr>
                <w:p w14:paraId="72A391D9">
                  <w:pPr>
                    <w:pStyle w:val="30"/>
                    <w:rPr>
                      <w:color w:val="auto"/>
                    </w:rPr>
                  </w:pPr>
                  <w:r>
                    <w:rPr>
                      <w:color w:val="auto"/>
                    </w:rPr>
                    <w:t>61.</w:t>
                  </w:r>
                  <w:r>
                    <w:rPr>
                      <w:rFonts w:hint="eastAsia"/>
                      <w:color w:val="auto"/>
                    </w:rPr>
                    <w:t>9</w:t>
                  </w:r>
                </w:p>
              </w:tc>
              <w:tc>
                <w:tcPr>
                  <w:tcW w:w="351" w:type="pct"/>
                  <w:vAlign w:val="center"/>
                </w:tcPr>
                <w:p w14:paraId="1C02F5FA">
                  <w:pPr>
                    <w:pStyle w:val="30"/>
                    <w:rPr>
                      <w:color w:val="auto"/>
                    </w:rPr>
                  </w:pPr>
                  <w:r>
                    <w:rPr>
                      <w:color w:val="auto"/>
                    </w:rPr>
                    <w:t>60.</w:t>
                  </w:r>
                  <w:r>
                    <w:rPr>
                      <w:rFonts w:hint="eastAsia"/>
                      <w:color w:val="auto"/>
                    </w:rPr>
                    <w:t>3</w:t>
                  </w:r>
                </w:p>
              </w:tc>
              <w:tc>
                <w:tcPr>
                  <w:tcW w:w="351" w:type="pct"/>
                  <w:vAlign w:val="center"/>
                </w:tcPr>
                <w:p w14:paraId="38A329F3">
                  <w:pPr>
                    <w:pStyle w:val="30"/>
                    <w:rPr>
                      <w:color w:val="auto"/>
                    </w:rPr>
                  </w:pPr>
                  <w:r>
                    <w:rPr>
                      <w:rFonts w:hint="eastAsia"/>
                      <w:color w:val="auto"/>
                    </w:rPr>
                    <w:t>58.0</w:t>
                  </w:r>
                </w:p>
              </w:tc>
              <w:tc>
                <w:tcPr>
                  <w:tcW w:w="351" w:type="pct"/>
                  <w:vAlign w:val="center"/>
                </w:tcPr>
                <w:p w14:paraId="668D169B">
                  <w:pPr>
                    <w:pStyle w:val="30"/>
                    <w:rPr>
                      <w:color w:val="auto"/>
                    </w:rPr>
                  </w:pPr>
                  <w:r>
                    <w:rPr>
                      <w:color w:val="auto"/>
                    </w:rPr>
                    <w:t>5</w:t>
                  </w:r>
                  <w:r>
                    <w:rPr>
                      <w:rFonts w:hint="eastAsia"/>
                      <w:color w:val="auto"/>
                    </w:rPr>
                    <w:t>6.5</w:t>
                  </w:r>
                </w:p>
              </w:tc>
              <w:tc>
                <w:tcPr>
                  <w:tcW w:w="351" w:type="pct"/>
                  <w:vAlign w:val="center"/>
                </w:tcPr>
                <w:p w14:paraId="4DA93583">
                  <w:pPr>
                    <w:pStyle w:val="30"/>
                    <w:rPr>
                      <w:color w:val="auto"/>
                    </w:rPr>
                  </w:pPr>
                  <w:r>
                    <w:rPr>
                      <w:rFonts w:hint="eastAsia"/>
                      <w:color w:val="auto"/>
                    </w:rPr>
                    <w:t>55.5</w:t>
                  </w:r>
                </w:p>
              </w:tc>
              <w:tc>
                <w:tcPr>
                  <w:tcW w:w="351" w:type="pct"/>
                  <w:vAlign w:val="center"/>
                </w:tcPr>
                <w:p w14:paraId="6F76D06F">
                  <w:pPr>
                    <w:pStyle w:val="30"/>
                    <w:rPr>
                      <w:color w:val="auto"/>
                    </w:rPr>
                  </w:pPr>
                  <w:r>
                    <w:rPr>
                      <w:color w:val="auto"/>
                    </w:rPr>
                    <w:t>5</w:t>
                  </w:r>
                  <w:r>
                    <w:rPr>
                      <w:rFonts w:hint="eastAsia"/>
                      <w:color w:val="auto"/>
                    </w:rPr>
                    <w:t>4.6</w:t>
                  </w:r>
                </w:p>
              </w:tc>
              <w:tc>
                <w:tcPr>
                  <w:tcW w:w="351" w:type="pct"/>
                  <w:vAlign w:val="center"/>
                </w:tcPr>
                <w:p w14:paraId="3C27171A">
                  <w:pPr>
                    <w:pStyle w:val="30"/>
                    <w:rPr>
                      <w:color w:val="auto"/>
                    </w:rPr>
                  </w:pPr>
                  <w:r>
                    <w:rPr>
                      <w:color w:val="auto"/>
                    </w:rPr>
                    <w:t>5</w:t>
                  </w:r>
                  <w:r>
                    <w:rPr>
                      <w:rFonts w:hint="eastAsia"/>
                      <w:color w:val="auto"/>
                    </w:rPr>
                    <w:t>4.0</w:t>
                  </w:r>
                </w:p>
              </w:tc>
              <w:tc>
                <w:tcPr>
                  <w:tcW w:w="351" w:type="pct"/>
                  <w:vAlign w:val="center"/>
                </w:tcPr>
                <w:p w14:paraId="42AE2620">
                  <w:pPr>
                    <w:pStyle w:val="30"/>
                    <w:rPr>
                      <w:color w:val="auto"/>
                    </w:rPr>
                  </w:pPr>
                  <w:r>
                    <w:rPr>
                      <w:color w:val="auto"/>
                    </w:rPr>
                    <w:t>5</w:t>
                  </w:r>
                  <w:r>
                    <w:rPr>
                      <w:rFonts w:hint="eastAsia"/>
                      <w:color w:val="auto"/>
                    </w:rPr>
                    <w:t>3.4</w:t>
                  </w:r>
                </w:p>
              </w:tc>
              <w:tc>
                <w:tcPr>
                  <w:tcW w:w="351" w:type="pct"/>
                  <w:vAlign w:val="center"/>
                </w:tcPr>
                <w:p w14:paraId="2DF95FC2">
                  <w:pPr>
                    <w:pStyle w:val="30"/>
                    <w:rPr>
                      <w:color w:val="auto"/>
                    </w:rPr>
                  </w:pPr>
                  <w:r>
                    <w:rPr>
                      <w:color w:val="auto"/>
                    </w:rPr>
                    <w:t>5</w:t>
                  </w:r>
                  <w:r>
                    <w:rPr>
                      <w:rFonts w:hint="eastAsia"/>
                      <w:color w:val="auto"/>
                    </w:rPr>
                    <w:t>3.0</w:t>
                  </w:r>
                </w:p>
              </w:tc>
              <w:tc>
                <w:tcPr>
                  <w:tcW w:w="351" w:type="pct"/>
                  <w:vAlign w:val="center"/>
                </w:tcPr>
                <w:p w14:paraId="52DB6FEA">
                  <w:pPr>
                    <w:pStyle w:val="30"/>
                    <w:rPr>
                      <w:color w:val="auto"/>
                    </w:rPr>
                  </w:pPr>
                  <w:r>
                    <w:rPr>
                      <w:color w:val="auto"/>
                    </w:rPr>
                    <w:t>5</w:t>
                  </w:r>
                  <w:r>
                    <w:rPr>
                      <w:rFonts w:hint="eastAsia"/>
                      <w:color w:val="auto"/>
                    </w:rPr>
                    <w:t>2.6</w:t>
                  </w:r>
                </w:p>
              </w:tc>
            </w:tr>
            <w:tr w14:paraId="5EACE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26" w:type="pct"/>
                  <w:vMerge w:val="continue"/>
                  <w:vAlign w:val="center"/>
                </w:tcPr>
                <w:p w14:paraId="51F32849">
                  <w:pPr>
                    <w:pStyle w:val="30"/>
                    <w:rPr>
                      <w:color w:val="auto"/>
                    </w:rPr>
                  </w:pPr>
                </w:p>
              </w:tc>
              <w:tc>
                <w:tcPr>
                  <w:tcW w:w="326" w:type="pct"/>
                  <w:vMerge w:val="continue"/>
                  <w:vAlign w:val="center"/>
                </w:tcPr>
                <w:p w14:paraId="36396A4B">
                  <w:pPr>
                    <w:pStyle w:val="30"/>
                    <w:rPr>
                      <w:color w:val="auto"/>
                    </w:rPr>
                  </w:pPr>
                </w:p>
              </w:tc>
              <w:tc>
                <w:tcPr>
                  <w:tcW w:w="226" w:type="pct"/>
                  <w:vAlign w:val="center"/>
                </w:tcPr>
                <w:p w14:paraId="27CA7BB7">
                  <w:pPr>
                    <w:pStyle w:val="30"/>
                    <w:rPr>
                      <w:color w:val="auto"/>
                    </w:rPr>
                  </w:pPr>
                  <w:r>
                    <w:rPr>
                      <w:color w:val="auto"/>
                    </w:rPr>
                    <w:t>夜间</w:t>
                  </w:r>
                </w:p>
              </w:tc>
              <w:tc>
                <w:tcPr>
                  <w:tcW w:w="599" w:type="dxa"/>
                  <w:vAlign w:val="center"/>
                </w:tcPr>
                <w:p w14:paraId="07D3427B">
                  <w:pPr>
                    <w:pStyle w:val="30"/>
                    <w:rPr>
                      <w:color w:val="auto"/>
                    </w:rPr>
                  </w:pPr>
                  <w:r>
                    <w:rPr>
                      <w:color w:val="auto"/>
                    </w:rPr>
                    <w:t>71.1</w:t>
                  </w:r>
                </w:p>
              </w:tc>
              <w:tc>
                <w:tcPr>
                  <w:tcW w:w="599" w:type="dxa"/>
                  <w:vAlign w:val="center"/>
                </w:tcPr>
                <w:p w14:paraId="70CF5BD7">
                  <w:pPr>
                    <w:pStyle w:val="30"/>
                    <w:rPr>
                      <w:color w:val="auto"/>
                    </w:rPr>
                  </w:pPr>
                  <w:r>
                    <w:rPr>
                      <w:color w:val="auto"/>
                    </w:rPr>
                    <w:t>67</w:t>
                  </w:r>
                  <w:r>
                    <w:rPr>
                      <w:rFonts w:hint="eastAsia"/>
                      <w:color w:val="auto"/>
                    </w:rPr>
                    <w:t>.1</w:t>
                  </w:r>
                </w:p>
              </w:tc>
              <w:tc>
                <w:tcPr>
                  <w:tcW w:w="599" w:type="dxa"/>
                  <w:vAlign w:val="center"/>
                </w:tcPr>
                <w:p w14:paraId="2A79E349">
                  <w:pPr>
                    <w:pStyle w:val="30"/>
                    <w:rPr>
                      <w:color w:val="auto"/>
                    </w:rPr>
                  </w:pPr>
                  <w:r>
                    <w:rPr>
                      <w:color w:val="auto"/>
                    </w:rPr>
                    <w:t>64.</w:t>
                  </w:r>
                  <w:r>
                    <w:rPr>
                      <w:rFonts w:hint="eastAsia"/>
                      <w:color w:val="auto"/>
                    </w:rPr>
                    <w:t>8</w:t>
                  </w:r>
                </w:p>
              </w:tc>
              <w:tc>
                <w:tcPr>
                  <w:tcW w:w="599" w:type="dxa"/>
                  <w:vAlign w:val="center"/>
                </w:tcPr>
                <w:p w14:paraId="51952087">
                  <w:pPr>
                    <w:pStyle w:val="30"/>
                    <w:rPr>
                      <w:color w:val="auto"/>
                    </w:rPr>
                  </w:pPr>
                  <w:r>
                    <w:rPr>
                      <w:color w:val="auto"/>
                    </w:rPr>
                    <w:t>63.</w:t>
                  </w:r>
                  <w:r>
                    <w:rPr>
                      <w:rFonts w:hint="eastAsia"/>
                      <w:color w:val="auto"/>
                    </w:rPr>
                    <w:t>1</w:t>
                  </w:r>
                </w:p>
              </w:tc>
              <w:tc>
                <w:tcPr>
                  <w:tcW w:w="599" w:type="dxa"/>
                  <w:vAlign w:val="center"/>
                </w:tcPr>
                <w:p w14:paraId="610DCB6F">
                  <w:pPr>
                    <w:pStyle w:val="30"/>
                    <w:rPr>
                      <w:color w:val="auto"/>
                    </w:rPr>
                  </w:pPr>
                  <w:r>
                    <w:rPr>
                      <w:color w:val="auto"/>
                    </w:rPr>
                    <w:t>60.</w:t>
                  </w:r>
                  <w:r>
                    <w:rPr>
                      <w:rFonts w:hint="eastAsia"/>
                      <w:color w:val="auto"/>
                    </w:rPr>
                    <w:t>7</w:t>
                  </w:r>
                </w:p>
              </w:tc>
              <w:tc>
                <w:tcPr>
                  <w:tcW w:w="599" w:type="dxa"/>
                  <w:vAlign w:val="center"/>
                </w:tcPr>
                <w:p w14:paraId="69424CD8">
                  <w:pPr>
                    <w:pStyle w:val="30"/>
                    <w:rPr>
                      <w:color w:val="auto"/>
                    </w:rPr>
                  </w:pPr>
                  <w:r>
                    <w:rPr>
                      <w:color w:val="auto"/>
                    </w:rPr>
                    <w:t>5</w:t>
                  </w:r>
                  <w:r>
                    <w:rPr>
                      <w:rFonts w:hint="eastAsia"/>
                      <w:color w:val="auto"/>
                    </w:rPr>
                    <w:t>9.1</w:t>
                  </w:r>
                </w:p>
              </w:tc>
              <w:tc>
                <w:tcPr>
                  <w:tcW w:w="599" w:type="dxa"/>
                  <w:vAlign w:val="center"/>
                </w:tcPr>
                <w:p w14:paraId="2F8AED69">
                  <w:pPr>
                    <w:pStyle w:val="30"/>
                    <w:rPr>
                      <w:color w:val="auto"/>
                    </w:rPr>
                  </w:pPr>
                  <w:r>
                    <w:rPr>
                      <w:color w:val="auto"/>
                    </w:rPr>
                    <w:t>57.</w:t>
                  </w:r>
                  <w:r>
                    <w:rPr>
                      <w:rFonts w:hint="eastAsia"/>
                      <w:color w:val="auto"/>
                    </w:rPr>
                    <w:t>8</w:t>
                  </w:r>
                </w:p>
              </w:tc>
              <w:tc>
                <w:tcPr>
                  <w:tcW w:w="599" w:type="dxa"/>
                  <w:vAlign w:val="center"/>
                </w:tcPr>
                <w:p w14:paraId="7FC2A10B">
                  <w:pPr>
                    <w:pStyle w:val="30"/>
                    <w:rPr>
                      <w:color w:val="auto"/>
                    </w:rPr>
                  </w:pPr>
                  <w:r>
                    <w:rPr>
                      <w:color w:val="auto"/>
                    </w:rPr>
                    <w:t>56.</w:t>
                  </w:r>
                  <w:r>
                    <w:rPr>
                      <w:rFonts w:hint="eastAsia"/>
                      <w:color w:val="auto"/>
                    </w:rPr>
                    <w:t>9</w:t>
                  </w:r>
                </w:p>
              </w:tc>
              <w:tc>
                <w:tcPr>
                  <w:tcW w:w="599" w:type="dxa"/>
                  <w:vAlign w:val="center"/>
                </w:tcPr>
                <w:p w14:paraId="68A92345">
                  <w:pPr>
                    <w:pStyle w:val="30"/>
                    <w:rPr>
                      <w:color w:val="auto"/>
                    </w:rPr>
                  </w:pPr>
                  <w:r>
                    <w:rPr>
                      <w:color w:val="auto"/>
                    </w:rPr>
                    <w:t>5</w:t>
                  </w:r>
                  <w:r>
                    <w:rPr>
                      <w:rFonts w:hint="eastAsia"/>
                      <w:color w:val="auto"/>
                    </w:rPr>
                    <w:t>6.1</w:t>
                  </w:r>
                </w:p>
              </w:tc>
              <w:tc>
                <w:tcPr>
                  <w:tcW w:w="599" w:type="dxa"/>
                  <w:vAlign w:val="center"/>
                </w:tcPr>
                <w:p w14:paraId="3BBB0D12">
                  <w:pPr>
                    <w:pStyle w:val="30"/>
                    <w:rPr>
                      <w:color w:val="auto"/>
                    </w:rPr>
                  </w:pPr>
                  <w:r>
                    <w:rPr>
                      <w:color w:val="auto"/>
                    </w:rPr>
                    <w:t>55.</w:t>
                  </w:r>
                  <w:r>
                    <w:rPr>
                      <w:rFonts w:hint="eastAsia"/>
                      <w:color w:val="auto"/>
                    </w:rPr>
                    <w:t>4</w:t>
                  </w:r>
                </w:p>
              </w:tc>
              <w:tc>
                <w:tcPr>
                  <w:tcW w:w="599" w:type="dxa"/>
                  <w:vAlign w:val="center"/>
                </w:tcPr>
                <w:p w14:paraId="11F140D0">
                  <w:pPr>
                    <w:pStyle w:val="30"/>
                    <w:rPr>
                      <w:color w:val="auto"/>
                    </w:rPr>
                  </w:pPr>
                  <w:r>
                    <w:rPr>
                      <w:color w:val="auto"/>
                    </w:rPr>
                    <w:t>54.</w:t>
                  </w:r>
                  <w:r>
                    <w:rPr>
                      <w:rFonts w:hint="eastAsia"/>
                      <w:color w:val="auto"/>
                    </w:rPr>
                    <w:t>8</w:t>
                  </w:r>
                </w:p>
              </w:tc>
              <w:tc>
                <w:tcPr>
                  <w:tcW w:w="599" w:type="dxa"/>
                  <w:vAlign w:val="center"/>
                </w:tcPr>
                <w:p w14:paraId="6F5013CC">
                  <w:pPr>
                    <w:pStyle w:val="30"/>
                    <w:rPr>
                      <w:color w:val="auto"/>
                    </w:rPr>
                  </w:pPr>
                  <w:r>
                    <w:rPr>
                      <w:color w:val="auto"/>
                    </w:rPr>
                    <w:t>5</w:t>
                  </w:r>
                  <w:r>
                    <w:rPr>
                      <w:rFonts w:hint="eastAsia"/>
                      <w:color w:val="auto"/>
                    </w:rPr>
                    <w:t>4.2</w:t>
                  </w:r>
                </w:p>
              </w:tc>
            </w:tr>
            <w:tr w14:paraId="74B34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26" w:type="pct"/>
                  <w:vMerge w:val="continue"/>
                  <w:vAlign w:val="center"/>
                </w:tcPr>
                <w:p w14:paraId="28C10135">
                  <w:pPr>
                    <w:pStyle w:val="30"/>
                    <w:rPr>
                      <w:color w:val="auto"/>
                    </w:rPr>
                  </w:pPr>
                </w:p>
              </w:tc>
              <w:tc>
                <w:tcPr>
                  <w:tcW w:w="326" w:type="pct"/>
                  <w:vMerge w:val="restart"/>
                  <w:vAlign w:val="center"/>
                </w:tcPr>
                <w:p w14:paraId="4DD331AC">
                  <w:pPr>
                    <w:pStyle w:val="30"/>
                    <w:rPr>
                      <w:color w:val="auto"/>
                    </w:rPr>
                  </w:pPr>
                  <w:r>
                    <w:rPr>
                      <w:color w:val="auto"/>
                    </w:rPr>
                    <w:t>204</w:t>
                  </w:r>
                  <w:r>
                    <w:rPr>
                      <w:rFonts w:hint="eastAsia"/>
                      <w:color w:val="auto"/>
                    </w:rPr>
                    <w:t>0</w:t>
                  </w:r>
                </w:p>
              </w:tc>
              <w:tc>
                <w:tcPr>
                  <w:tcW w:w="226" w:type="pct"/>
                  <w:vAlign w:val="center"/>
                </w:tcPr>
                <w:p w14:paraId="2556E126">
                  <w:pPr>
                    <w:pStyle w:val="30"/>
                    <w:rPr>
                      <w:color w:val="auto"/>
                    </w:rPr>
                  </w:pPr>
                  <w:r>
                    <w:rPr>
                      <w:color w:val="auto"/>
                    </w:rPr>
                    <w:t>昼间</w:t>
                  </w:r>
                </w:p>
              </w:tc>
              <w:tc>
                <w:tcPr>
                  <w:tcW w:w="599" w:type="dxa"/>
                  <w:vAlign w:val="center"/>
                </w:tcPr>
                <w:p w14:paraId="4AF5E5CF">
                  <w:pPr>
                    <w:pStyle w:val="30"/>
                    <w:rPr>
                      <w:color w:val="auto"/>
                    </w:rPr>
                  </w:pPr>
                  <w:r>
                    <w:rPr>
                      <w:color w:val="auto"/>
                    </w:rPr>
                    <w:t>68.1</w:t>
                  </w:r>
                </w:p>
              </w:tc>
              <w:tc>
                <w:tcPr>
                  <w:tcW w:w="599" w:type="dxa"/>
                  <w:vAlign w:val="center"/>
                </w:tcPr>
                <w:p w14:paraId="1DFEE300">
                  <w:pPr>
                    <w:pStyle w:val="30"/>
                    <w:rPr>
                      <w:color w:val="auto"/>
                    </w:rPr>
                  </w:pPr>
                  <w:r>
                    <w:rPr>
                      <w:color w:val="auto"/>
                    </w:rPr>
                    <w:t>64.</w:t>
                  </w:r>
                  <w:r>
                    <w:rPr>
                      <w:rFonts w:hint="eastAsia"/>
                      <w:color w:val="auto"/>
                    </w:rPr>
                    <w:t>2</w:t>
                  </w:r>
                </w:p>
              </w:tc>
              <w:tc>
                <w:tcPr>
                  <w:tcW w:w="599" w:type="dxa"/>
                  <w:vAlign w:val="center"/>
                </w:tcPr>
                <w:p w14:paraId="615D2DE6">
                  <w:pPr>
                    <w:pStyle w:val="30"/>
                    <w:rPr>
                      <w:color w:val="auto"/>
                    </w:rPr>
                  </w:pPr>
                  <w:r>
                    <w:rPr>
                      <w:color w:val="auto"/>
                    </w:rPr>
                    <w:t>61.</w:t>
                  </w:r>
                  <w:r>
                    <w:rPr>
                      <w:rFonts w:hint="eastAsia"/>
                      <w:color w:val="auto"/>
                    </w:rPr>
                    <w:t>9</w:t>
                  </w:r>
                </w:p>
              </w:tc>
              <w:tc>
                <w:tcPr>
                  <w:tcW w:w="599" w:type="dxa"/>
                  <w:vAlign w:val="center"/>
                </w:tcPr>
                <w:p w14:paraId="0C1056F3">
                  <w:pPr>
                    <w:pStyle w:val="30"/>
                    <w:rPr>
                      <w:color w:val="auto"/>
                    </w:rPr>
                  </w:pPr>
                  <w:r>
                    <w:rPr>
                      <w:color w:val="auto"/>
                    </w:rPr>
                    <w:t>60.</w:t>
                  </w:r>
                  <w:r>
                    <w:rPr>
                      <w:rFonts w:hint="eastAsia"/>
                      <w:color w:val="auto"/>
                    </w:rPr>
                    <w:t>3</w:t>
                  </w:r>
                </w:p>
              </w:tc>
              <w:tc>
                <w:tcPr>
                  <w:tcW w:w="599" w:type="dxa"/>
                  <w:vAlign w:val="center"/>
                </w:tcPr>
                <w:p w14:paraId="69E45D66">
                  <w:pPr>
                    <w:pStyle w:val="30"/>
                    <w:rPr>
                      <w:color w:val="auto"/>
                    </w:rPr>
                  </w:pPr>
                  <w:r>
                    <w:rPr>
                      <w:rFonts w:hint="eastAsia"/>
                      <w:color w:val="auto"/>
                    </w:rPr>
                    <w:t>58.0</w:t>
                  </w:r>
                </w:p>
              </w:tc>
              <w:tc>
                <w:tcPr>
                  <w:tcW w:w="599" w:type="dxa"/>
                  <w:vAlign w:val="center"/>
                </w:tcPr>
                <w:p w14:paraId="78E009F0">
                  <w:pPr>
                    <w:pStyle w:val="30"/>
                    <w:rPr>
                      <w:color w:val="auto"/>
                    </w:rPr>
                  </w:pPr>
                  <w:r>
                    <w:rPr>
                      <w:color w:val="auto"/>
                    </w:rPr>
                    <w:t>5</w:t>
                  </w:r>
                  <w:r>
                    <w:rPr>
                      <w:rFonts w:hint="eastAsia"/>
                      <w:color w:val="auto"/>
                    </w:rPr>
                    <w:t>6.5</w:t>
                  </w:r>
                </w:p>
              </w:tc>
              <w:tc>
                <w:tcPr>
                  <w:tcW w:w="599" w:type="dxa"/>
                  <w:vAlign w:val="center"/>
                </w:tcPr>
                <w:p w14:paraId="45EA2E01">
                  <w:pPr>
                    <w:pStyle w:val="30"/>
                    <w:rPr>
                      <w:color w:val="auto"/>
                    </w:rPr>
                  </w:pPr>
                  <w:r>
                    <w:rPr>
                      <w:rFonts w:hint="eastAsia"/>
                      <w:color w:val="auto"/>
                    </w:rPr>
                    <w:t>55.5</w:t>
                  </w:r>
                </w:p>
              </w:tc>
              <w:tc>
                <w:tcPr>
                  <w:tcW w:w="599" w:type="dxa"/>
                  <w:vAlign w:val="center"/>
                </w:tcPr>
                <w:p w14:paraId="43F3B2E8">
                  <w:pPr>
                    <w:pStyle w:val="30"/>
                    <w:rPr>
                      <w:color w:val="auto"/>
                    </w:rPr>
                  </w:pPr>
                  <w:r>
                    <w:rPr>
                      <w:color w:val="auto"/>
                    </w:rPr>
                    <w:t>5</w:t>
                  </w:r>
                  <w:r>
                    <w:rPr>
                      <w:rFonts w:hint="eastAsia"/>
                      <w:color w:val="auto"/>
                    </w:rPr>
                    <w:t>4.6</w:t>
                  </w:r>
                </w:p>
              </w:tc>
              <w:tc>
                <w:tcPr>
                  <w:tcW w:w="599" w:type="dxa"/>
                  <w:vAlign w:val="center"/>
                </w:tcPr>
                <w:p w14:paraId="77234040">
                  <w:pPr>
                    <w:pStyle w:val="30"/>
                    <w:rPr>
                      <w:color w:val="auto"/>
                    </w:rPr>
                  </w:pPr>
                  <w:r>
                    <w:rPr>
                      <w:color w:val="auto"/>
                    </w:rPr>
                    <w:t>5</w:t>
                  </w:r>
                  <w:r>
                    <w:rPr>
                      <w:rFonts w:hint="eastAsia"/>
                      <w:color w:val="auto"/>
                    </w:rPr>
                    <w:t>4.0</w:t>
                  </w:r>
                </w:p>
              </w:tc>
              <w:tc>
                <w:tcPr>
                  <w:tcW w:w="599" w:type="dxa"/>
                  <w:vAlign w:val="center"/>
                </w:tcPr>
                <w:p w14:paraId="1E64CC84">
                  <w:pPr>
                    <w:pStyle w:val="30"/>
                    <w:rPr>
                      <w:color w:val="auto"/>
                    </w:rPr>
                  </w:pPr>
                  <w:r>
                    <w:rPr>
                      <w:color w:val="auto"/>
                    </w:rPr>
                    <w:t>5</w:t>
                  </w:r>
                  <w:r>
                    <w:rPr>
                      <w:rFonts w:hint="eastAsia"/>
                      <w:color w:val="auto"/>
                    </w:rPr>
                    <w:t>3.4</w:t>
                  </w:r>
                </w:p>
              </w:tc>
              <w:tc>
                <w:tcPr>
                  <w:tcW w:w="599" w:type="dxa"/>
                  <w:vAlign w:val="center"/>
                </w:tcPr>
                <w:p w14:paraId="1C06A1C6">
                  <w:pPr>
                    <w:pStyle w:val="30"/>
                    <w:rPr>
                      <w:color w:val="auto"/>
                    </w:rPr>
                  </w:pPr>
                  <w:r>
                    <w:rPr>
                      <w:color w:val="auto"/>
                    </w:rPr>
                    <w:t>5</w:t>
                  </w:r>
                  <w:r>
                    <w:rPr>
                      <w:rFonts w:hint="eastAsia"/>
                      <w:color w:val="auto"/>
                    </w:rPr>
                    <w:t>3.0</w:t>
                  </w:r>
                </w:p>
              </w:tc>
              <w:tc>
                <w:tcPr>
                  <w:tcW w:w="599" w:type="dxa"/>
                  <w:vAlign w:val="center"/>
                </w:tcPr>
                <w:p w14:paraId="4578D6C9">
                  <w:pPr>
                    <w:pStyle w:val="30"/>
                    <w:rPr>
                      <w:color w:val="auto"/>
                    </w:rPr>
                  </w:pPr>
                  <w:r>
                    <w:rPr>
                      <w:color w:val="auto"/>
                    </w:rPr>
                    <w:t>5</w:t>
                  </w:r>
                  <w:r>
                    <w:rPr>
                      <w:rFonts w:hint="eastAsia"/>
                      <w:color w:val="auto"/>
                    </w:rPr>
                    <w:t>2.6</w:t>
                  </w:r>
                </w:p>
              </w:tc>
            </w:tr>
            <w:tr w14:paraId="02208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26" w:type="pct"/>
                  <w:vMerge w:val="continue"/>
                  <w:vAlign w:val="center"/>
                </w:tcPr>
                <w:p w14:paraId="2DC26AEB">
                  <w:pPr>
                    <w:pStyle w:val="30"/>
                    <w:rPr>
                      <w:color w:val="auto"/>
                    </w:rPr>
                  </w:pPr>
                </w:p>
              </w:tc>
              <w:tc>
                <w:tcPr>
                  <w:tcW w:w="326" w:type="pct"/>
                  <w:vMerge w:val="continue"/>
                  <w:vAlign w:val="center"/>
                </w:tcPr>
                <w:p w14:paraId="29365FDA">
                  <w:pPr>
                    <w:pStyle w:val="30"/>
                    <w:rPr>
                      <w:color w:val="auto"/>
                    </w:rPr>
                  </w:pPr>
                </w:p>
              </w:tc>
              <w:tc>
                <w:tcPr>
                  <w:tcW w:w="226" w:type="pct"/>
                  <w:vAlign w:val="center"/>
                </w:tcPr>
                <w:p w14:paraId="55B1FFFC">
                  <w:pPr>
                    <w:pStyle w:val="30"/>
                    <w:rPr>
                      <w:color w:val="auto"/>
                    </w:rPr>
                  </w:pPr>
                  <w:r>
                    <w:rPr>
                      <w:color w:val="auto"/>
                    </w:rPr>
                    <w:t>夜间</w:t>
                  </w:r>
                </w:p>
              </w:tc>
              <w:tc>
                <w:tcPr>
                  <w:tcW w:w="599" w:type="dxa"/>
                  <w:vAlign w:val="center"/>
                </w:tcPr>
                <w:p w14:paraId="67BCC87B">
                  <w:pPr>
                    <w:pStyle w:val="30"/>
                    <w:rPr>
                      <w:color w:val="auto"/>
                    </w:rPr>
                  </w:pPr>
                  <w:r>
                    <w:rPr>
                      <w:color w:val="auto"/>
                    </w:rPr>
                    <w:t>71.1</w:t>
                  </w:r>
                </w:p>
              </w:tc>
              <w:tc>
                <w:tcPr>
                  <w:tcW w:w="599" w:type="dxa"/>
                  <w:vAlign w:val="center"/>
                </w:tcPr>
                <w:p w14:paraId="7FB0AA77">
                  <w:pPr>
                    <w:pStyle w:val="30"/>
                    <w:rPr>
                      <w:color w:val="auto"/>
                    </w:rPr>
                  </w:pPr>
                  <w:r>
                    <w:rPr>
                      <w:color w:val="auto"/>
                    </w:rPr>
                    <w:t>67</w:t>
                  </w:r>
                  <w:r>
                    <w:rPr>
                      <w:rFonts w:hint="eastAsia"/>
                      <w:color w:val="auto"/>
                    </w:rPr>
                    <w:t>.1</w:t>
                  </w:r>
                </w:p>
              </w:tc>
              <w:tc>
                <w:tcPr>
                  <w:tcW w:w="599" w:type="dxa"/>
                  <w:vAlign w:val="center"/>
                </w:tcPr>
                <w:p w14:paraId="2B52E7E4">
                  <w:pPr>
                    <w:pStyle w:val="30"/>
                    <w:rPr>
                      <w:color w:val="auto"/>
                    </w:rPr>
                  </w:pPr>
                  <w:r>
                    <w:rPr>
                      <w:color w:val="auto"/>
                    </w:rPr>
                    <w:t>64.</w:t>
                  </w:r>
                  <w:r>
                    <w:rPr>
                      <w:rFonts w:hint="eastAsia"/>
                      <w:color w:val="auto"/>
                    </w:rPr>
                    <w:t>8</w:t>
                  </w:r>
                </w:p>
              </w:tc>
              <w:tc>
                <w:tcPr>
                  <w:tcW w:w="599" w:type="dxa"/>
                  <w:vAlign w:val="center"/>
                </w:tcPr>
                <w:p w14:paraId="2DFB8ED0">
                  <w:pPr>
                    <w:pStyle w:val="30"/>
                    <w:rPr>
                      <w:color w:val="auto"/>
                    </w:rPr>
                  </w:pPr>
                  <w:r>
                    <w:rPr>
                      <w:color w:val="auto"/>
                    </w:rPr>
                    <w:t>63.</w:t>
                  </w:r>
                  <w:r>
                    <w:rPr>
                      <w:rFonts w:hint="eastAsia"/>
                      <w:color w:val="auto"/>
                    </w:rPr>
                    <w:t>1</w:t>
                  </w:r>
                </w:p>
              </w:tc>
              <w:tc>
                <w:tcPr>
                  <w:tcW w:w="599" w:type="dxa"/>
                  <w:vAlign w:val="center"/>
                </w:tcPr>
                <w:p w14:paraId="26A27F75">
                  <w:pPr>
                    <w:pStyle w:val="30"/>
                    <w:rPr>
                      <w:color w:val="auto"/>
                    </w:rPr>
                  </w:pPr>
                  <w:r>
                    <w:rPr>
                      <w:color w:val="auto"/>
                    </w:rPr>
                    <w:t>60.</w:t>
                  </w:r>
                  <w:r>
                    <w:rPr>
                      <w:rFonts w:hint="eastAsia"/>
                      <w:color w:val="auto"/>
                    </w:rPr>
                    <w:t>7</w:t>
                  </w:r>
                </w:p>
              </w:tc>
              <w:tc>
                <w:tcPr>
                  <w:tcW w:w="599" w:type="dxa"/>
                  <w:vAlign w:val="center"/>
                </w:tcPr>
                <w:p w14:paraId="43006054">
                  <w:pPr>
                    <w:pStyle w:val="30"/>
                    <w:rPr>
                      <w:color w:val="auto"/>
                    </w:rPr>
                  </w:pPr>
                  <w:r>
                    <w:rPr>
                      <w:color w:val="auto"/>
                    </w:rPr>
                    <w:t>5</w:t>
                  </w:r>
                  <w:r>
                    <w:rPr>
                      <w:rFonts w:hint="eastAsia"/>
                      <w:color w:val="auto"/>
                    </w:rPr>
                    <w:t>9.1</w:t>
                  </w:r>
                </w:p>
              </w:tc>
              <w:tc>
                <w:tcPr>
                  <w:tcW w:w="599" w:type="dxa"/>
                  <w:vAlign w:val="center"/>
                </w:tcPr>
                <w:p w14:paraId="007C5288">
                  <w:pPr>
                    <w:pStyle w:val="30"/>
                    <w:rPr>
                      <w:color w:val="auto"/>
                    </w:rPr>
                  </w:pPr>
                  <w:r>
                    <w:rPr>
                      <w:color w:val="auto"/>
                    </w:rPr>
                    <w:t>57.</w:t>
                  </w:r>
                  <w:r>
                    <w:rPr>
                      <w:rFonts w:hint="eastAsia"/>
                      <w:color w:val="auto"/>
                    </w:rPr>
                    <w:t>8</w:t>
                  </w:r>
                </w:p>
              </w:tc>
              <w:tc>
                <w:tcPr>
                  <w:tcW w:w="599" w:type="dxa"/>
                  <w:vAlign w:val="center"/>
                </w:tcPr>
                <w:p w14:paraId="3C76E0FB">
                  <w:pPr>
                    <w:pStyle w:val="30"/>
                    <w:rPr>
                      <w:color w:val="auto"/>
                    </w:rPr>
                  </w:pPr>
                  <w:r>
                    <w:rPr>
                      <w:color w:val="auto"/>
                    </w:rPr>
                    <w:t>56.</w:t>
                  </w:r>
                  <w:r>
                    <w:rPr>
                      <w:rFonts w:hint="eastAsia"/>
                      <w:color w:val="auto"/>
                    </w:rPr>
                    <w:t>9</w:t>
                  </w:r>
                </w:p>
              </w:tc>
              <w:tc>
                <w:tcPr>
                  <w:tcW w:w="599" w:type="dxa"/>
                  <w:vAlign w:val="center"/>
                </w:tcPr>
                <w:p w14:paraId="37A1D227">
                  <w:pPr>
                    <w:pStyle w:val="30"/>
                    <w:rPr>
                      <w:color w:val="auto"/>
                    </w:rPr>
                  </w:pPr>
                  <w:r>
                    <w:rPr>
                      <w:color w:val="auto"/>
                    </w:rPr>
                    <w:t>5</w:t>
                  </w:r>
                  <w:r>
                    <w:rPr>
                      <w:rFonts w:hint="eastAsia"/>
                      <w:color w:val="auto"/>
                    </w:rPr>
                    <w:t>6.1</w:t>
                  </w:r>
                </w:p>
              </w:tc>
              <w:tc>
                <w:tcPr>
                  <w:tcW w:w="599" w:type="dxa"/>
                  <w:vAlign w:val="center"/>
                </w:tcPr>
                <w:p w14:paraId="560806B9">
                  <w:pPr>
                    <w:pStyle w:val="30"/>
                    <w:rPr>
                      <w:color w:val="auto"/>
                    </w:rPr>
                  </w:pPr>
                  <w:r>
                    <w:rPr>
                      <w:color w:val="auto"/>
                    </w:rPr>
                    <w:t>55.</w:t>
                  </w:r>
                  <w:r>
                    <w:rPr>
                      <w:rFonts w:hint="eastAsia"/>
                      <w:color w:val="auto"/>
                    </w:rPr>
                    <w:t>4</w:t>
                  </w:r>
                </w:p>
              </w:tc>
              <w:tc>
                <w:tcPr>
                  <w:tcW w:w="599" w:type="dxa"/>
                  <w:vAlign w:val="center"/>
                </w:tcPr>
                <w:p w14:paraId="0CF6B7E9">
                  <w:pPr>
                    <w:pStyle w:val="30"/>
                    <w:rPr>
                      <w:color w:val="auto"/>
                    </w:rPr>
                  </w:pPr>
                  <w:r>
                    <w:rPr>
                      <w:color w:val="auto"/>
                    </w:rPr>
                    <w:t>54.</w:t>
                  </w:r>
                  <w:r>
                    <w:rPr>
                      <w:rFonts w:hint="eastAsia"/>
                      <w:color w:val="auto"/>
                    </w:rPr>
                    <w:t>8</w:t>
                  </w:r>
                </w:p>
              </w:tc>
              <w:tc>
                <w:tcPr>
                  <w:tcW w:w="599" w:type="dxa"/>
                  <w:vAlign w:val="center"/>
                </w:tcPr>
                <w:p w14:paraId="6FFA0ACE">
                  <w:pPr>
                    <w:pStyle w:val="30"/>
                    <w:rPr>
                      <w:color w:val="auto"/>
                    </w:rPr>
                  </w:pPr>
                  <w:r>
                    <w:rPr>
                      <w:color w:val="auto"/>
                    </w:rPr>
                    <w:t>5</w:t>
                  </w:r>
                  <w:r>
                    <w:rPr>
                      <w:rFonts w:hint="eastAsia"/>
                      <w:color w:val="auto"/>
                    </w:rPr>
                    <w:t>4.2</w:t>
                  </w:r>
                </w:p>
              </w:tc>
            </w:tr>
          </w:tbl>
          <w:p w14:paraId="7856282B">
            <w:pPr>
              <w:ind w:left="0" w:leftChars="0" w:firstLine="0" w:firstLineChars="0"/>
              <w:rPr>
                <w:color w:val="auto"/>
              </w:rPr>
            </w:pPr>
          </w:p>
          <w:p w14:paraId="1C4FFA5A">
            <w:pPr>
              <w:ind w:firstLine="0" w:firstLineChars="0"/>
              <w:jc w:val="center"/>
              <w:rPr>
                <w:color w:val="auto"/>
              </w:rPr>
            </w:pPr>
            <w:r>
              <w:rPr>
                <w:color w:val="auto"/>
              </w:rPr>
              <w:drawing>
                <wp:inline distT="0" distB="0" distL="114300" distR="114300">
                  <wp:extent cx="4319905" cy="3293110"/>
                  <wp:effectExtent l="0" t="0" r="4445" b="2540"/>
                  <wp:docPr id="1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4"/>
                          <pic:cNvPicPr>
                            <a:picLocks noChangeAspect="1"/>
                          </pic:cNvPicPr>
                        </pic:nvPicPr>
                        <pic:blipFill>
                          <a:blip r:embed="rId34"/>
                          <a:stretch>
                            <a:fillRect/>
                          </a:stretch>
                        </pic:blipFill>
                        <pic:spPr>
                          <a:xfrm>
                            <a:off x="0" y="0"/>
                            <a:ext cx="4319905" cy="3293110"/>
                          </a:xfrm>
                          <a:prstGeom prst="rect">
                            <a:avLst/>
                          </a:prstGeom>
                          <a:noFill/>
                          <a:ln>
                            <a:noFill/>
                          </a:ln>
                        </pic:spPr>
                      </pic:pic>
                    </a:graphicData>
                  </a:graphic>
                </wp:inline>
              </w:drawing>
            </w:r>
          </w:p>
          <w:p w14:paraId="43440492">
            <w:pPr>
              <w:pStyle w:val="33"/>
              <w:rPr>
                <w:color w:val="auto"/>
              </w:rPr>
            </w:pPr>
            <w:r>
              <w:rPr>
                <w:color w:val="auto"/>
              </w:rPr>
              <w:t>图4-1 近期昼间贡献值水平声场预测结果</w:t>
            </w:r>
          </w:p>
          <w:p w14:paraId="0C01ACF4">
            <w:pPr>
              <w:ind w:firstLine="0" w:firstLineChars="0"/>
              <w:jc w:val="center"/>
              <w:rPr>
                <w:color w:val="auto"/>
              </w:rPr>
            </w:pPr>
            <w:r>
              <w:rPr>
                <w:color w:val="auto"/>
              </w:rPr>
              <w:drawing>
                <wp:inline distT="0" distB="0" distL="114300" distR="114300">
                  <wp:extent cx="4319905" cy="3268980"/>
                  <wp:effectExtent l="0" t="0" r="4445" b="7620"/>
                  <wp:docPr id="1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6"/>
                          <pic:cNvPicPr>
                            <a:picLocks noChangeAspect="1"/>
                          </pic:cNvPicPr>
                        </pic:nvPicPr>
                        <pic:blipFill>
                          <a:blip r:embed="rId35"/>
                          <a:stretch>
                            <a:fillRect/>
                          </a:stretch>
                        </pic:blipFill>
                        <pic:spPr>
                          <a:xfrm>
                            <a:off x="0" y="0"/>
                            <a:ext cx="4319905" cy="3268980"/>
                          </a:xfrm>
                          <a:prstGeom prst="rect">
                            <a:avLst/>
                          </a:prstGeom>
                          <a:noFill/>
                          <a:ln>
                            <a:noFill/>
                          </a:ln>
                        </pic:spPr>
                      </pic:pic>
                    </a:graphicData>
                  </a:graphic>
                </wp:inline>
              </w:drawing>
            </w:r>
          </w:p>
          <w:p w14:paraId="3754B46E">
            <w:pPr>
              <w:pStyle w:val="33"/>
              <w:rPr>
                <w:color w:val="auto"/>
              </w:rPr>
            </w:pPr>
            <w:r>
              <w:rPr>
                <w:color w:val="auto"/>
              </w:rPr>
              <w:t>图4-</w:t>
            </w:r>
            <w:r>
              <w:rPr>
                <w:rFonts w:hint="eastAsia"/>
                <w:color w:val="auto"/>
                <w:lang w:val="en-US" w:eastAsia="zh-CN"/>
              </w:rPr>
              <w:t>2</w:t>
            </w:r>
            <w:r>
              <w:rPr>
                <w:color w:val="auto"/>
              </w:rPr>
              <w:t xml:space="preserve"> 远期昼间贡献值水平声场预测结果</w:t>
            </w:r>
          </w:p>
          <w:p w14:paraId="5F258C8E">
            <w:pPr>
              <w:ind w:firstLine="480"/>
              <w:rPr>
                <w:color w:val="auto"/>
              </w:rPr>
            </w:pPr>
            <w:r>
              <w:rPr>
                <w:color w:val="auto"/>
              </w:rPr>
              <w:t>（2）铁路边界线处噪声达标情况</w:t>
            </w:r>
          </w:p>
          <w:p w14:paraId="3E8DFBA1">
            <w:pPr>
              <w:ind w:firstLine="480"/>
              <w:rPr>
                <w:color w:val="auto"/>
              </w:rPr>
            </w:pPr>
            <w:r>
              <w:rPr>
                <w:color w:val="auto"/>
              </w:rPr>
              <w:t>根据预测，运营近期、远期昼间铁路边界线处噪声</w:t>
            </w:r>
            <w:r>
              <w:rPr>
                <w:rFonts w:hint="eastAsia"/>
                <w:color w:val="auto"/>
                <w:lang w:val="en-US" w:eastAsia="zh-CN"/>
              </w:rPr>
              <w:t>贡献最大值</w:t>
            </w:r>
            <w:r>
              <w:rPr>
                <w:color w:val="auto"/>
              </w:rPr>
              <w:t>为</w:t>
            </w:r>
            <w:r>
              <w:rPr>
                <w:rFonts w:hint="eastAsia"/>
                <w:color w:val="auto"/>
                <w:lang w:val="en-US" w:eastAsia="zh-CN"/>
              </w:rPr>
              <w:t>61.8</w:t>
            </w:r>
            <w:r>
              <w:rPr>
                <w:color w:val="auto"/>
              </w:rPr>
              <w:t>dB（A）</w:t>
            </w:r>
            <w:r>
              <w:rPr>
                <w:rFonts w:hint="eastAsia"/>
                <w:color w:val="auto"/>
                <w:lang w:eastAsia="zh-CN"/>
              </w:rPr>
              <w:t>，</w:t>
            </w:r>
            <w:r>
              <w:rPr>
                <w:rFonts w:hint="eastAsia"/>
                <w:color w:val="auto"/>
                <w:lang w:val="en-US" w:eastAsia="zh-CN"/>
              </w:rPr>
              <w:t>64.8dB（A）</w:t>
            </w:r>
            <w:r>
              <w:rPr>
                <w:color w:val="auto"/>
              </w:rPr>
              <w:t>，本项目专用线近、远期昼夜间噪声排放值均满足《铁路边界噪声限值及其测量方法》（GB12525-90）（修改方案）中</w:t>
            </w:r>
            <w:r>
              <w:rPr>
                <w:rFonts w:hint="eastAsia"/>
                <w:color w:val="auto"/>
                <w:lang w:val="en-US" w:eastAsia="zh-CN"/>
              </w:rPr>
              <w:t>改扩建既有</w:t>
            </w:r>
            <w:r>
              <w:rPr>
                <w:color w:val="auto"/>
              </w:rPr>
              <w:t>铁路边界噪声限值昼间70dB（A），夜间</w:t>
            </w:r>
            <w:r>
              <w:rPr>
                <w:rFonts w:hint="eastAsia"/>
                <w:color w:val="auto"/>
                <w:lang w:val="en-US" w:eastAsia="zh-CN"/>
              </w:rPr>
              <w:t>7</w:t>
            </w:r>
            <w:r>
              <w:rPr>
                <w:color w:val="auto"/>
              </w:rPr>
              <w:t>0dB（A）的要求。</w:t>
            </w:r>
          </w:p>
          <w:p w14:paraId="67FB135F">
            <w:pPr>
              <w:ind w:firstLine="480"/>
              <w:rPr>
                <w:color w:val="auto"/>
              </w:rPr>
            </w:pPr>
            <w:r>
              <w:rPr>
                <w:color w:val="auto"/>
              </w:rPr>
              <w:t>（3）功能区达标分析</w:t>
            </w:r>
          </w:p>
          <w:p w14:paraId="2A9FD1DD">
            <w:pPr>
              <w:ind w:firstLine="480"/>
              <w:rPr>
                <w:color w:val="auto"/>
              </w:rPr>
            </w:pPr>
            <w:r>
              <w:rPr>
                <w:rFonts w:hint="eastAsia"/>
                <w:color w:val="auto"/>
              </w:rPr>
              <w:t>经预测，本专用线建成后其两侧的声环境距外轨中心线距离45m处昼间可满足《声环境质量标准》（GB 3096-2008）中的2类声功能区昼间60dB（A）标准要求，夜间不运行。项目评价范围内无声环境保护目标，对周边环境影响较低。</w:t>
            </w:r>
          </w:p>
          <w:p w14:paraId="5042DED4">
            <w:pPr>
              <w:ind w:firstLine="482"/>
              <w:rPr>
                <w:color w:val="auto"/>
              </w:rPr>
            </w:pPr>
            <w:r>
              <w:rPr>
                <w:rFonts w:hint="eastAsia"/>
                <w:b/>
                <w:bCs/>
                <w:color w:val="auto"/>
              </w:rPr>
              <w:t>5、振动影响预测与评价</w:t>
            </w:r>
          </w:p>
          <w:p w14:paraId="306B5929">
            <w:pPr>
              <w:ind w:firstLine="480"/>
              <w:rPr>
                <w:color w:val="auto"/>
              </w:rPr>
            </w:pPr>
            <w:r>
              <w:rPr>
                <w:color w:val="auto"/>
              </w:rPr>
              <w:t>列车运行振动产生机理为车轮与钢轨撞击产生振动，经轨枕、道床、路基（或桥梁结构）传递至地面，再经地面传播到建筑物，引起建筑物的振动，使其成为影响铁路沿线环境质量的重要因素之一。铁路振动源强主要与轨道结构、列车运行速度、轴重、地质条件等因素有关；而列车振动扩散衰减规律则受地质、地形、地貌等条件的影响，并随着距离的增加振动逐渐衰减降低。</w:t>
            </w:r>
          </w:p>
          <w:p w14:paraId="1E58C241">
            <w:pPr>
              <w:ind w:firstLine="480"/>
              <w:rPr>
                <w:rFonts w:hint="eastAsia"/>
                <w:color w:val="auto"/>
                <w:lang w:val="en-US" w:eastAsia="zh-CN"/>
              </w:rPr>
            </w:pPr>
            <w:r>
              <w:rPr>
                <w:color w:val="auto"/>
              </w:rPr>
              <w:t>本次振动预测采用的列车振动源强</w:t>
            </w:r>
            <w:r>
              <w:rPr>
                <w:rFonts w:hint="eastAsia"/>
                <w:color w:val="auto"/>
                <w:lang w:val="en-US" w:eastAsia="zh-CN"/>
              </w:rPr>
              <w:t>根据铁计〔2010〕44号《铁路建设项目环境影响评价噪声振动源强取值和治理原则指导意见（2010年修订稿）》，文件中的振动源强适用于无缝线路的</w:t>
            </w:r>
            <w:r>
              <w:rPr>
                <w:rFonts w:hint="default" w:ascii="Times New Roman" w:hAnsi="Times New Roman" w:cs="Times New Roman"/>
                <w:color w:val="auto"/>
                <w:lang w:val="en-US" w:eastAsia="zh-CN"/>
              </w:rPr>
              <w:t>Ⅰ</w:t>
            </w:r>
            <w:r>
              <w:rPr>
                <w:rFonts w:hint="eastAsia"/>
                <w:color w:val="auto"/>
                <w:lang w:val="en-US" w:eastAsia="zh-CN"/>
              </w:rPr>
              <w:t>级铁路或高速铁路，而本项目为设计时速40km/h的专用线铁路，本次按照同类工程的类比监测。</w:t>
            </w:r>
          </w:p>
          <w:p w14:paraId="3008526C">
            <w:pPr>
              <w:ind w:firstLine="480"/>
              <w:rPr>
                <w:rFonts w:hint="eastAsia"/>
                <w:color w:val="auto"/>
                <w:lang w:val="en-US" w:eastAsia="zh-CN"/>
              </w:rPr>
            </w:pPr>
            <w:r>
              <w:rPr>
                <w:rFonts w:hint="eastAsia"/>
                <w:color w:val="auto"/>
                <w:lang w:val="en-US" w:eastAsia="zh-CN"/>
              </w:rPr>
              <w:t>为此，本次铁路噪声源强引用《长株潭生产服务型物流枢纽（湘潭九华）铁路专用线工程环境影响报告表》中对长安益阳发电有限公司铁路专用线的实测数据。监测时间为2023年9月20日~9月28日，监测点位具体为益阳电厂铁路专用线鹅公桥村段（路堤路段），监测期间益阳电厂铁路专用线每日有2~3列列车由益阳西站上行进入益阳电厂企业站，且现有村道无车辆经过也无其他振动源，避免监测结果受到现有村道交通振动和其他振动源的干扰。监测位置的线路类型是低矮路堤，直线。</w:t>
            </w:r>
          </w:p>
          <w:p w14:paraId="59F8DB28">
            <w:pPr>
              <w:ind w:firstLine="480"/>
              <w:rPr>
                <w:rFonts w:hint="default"/>
                <w:color w:val="auto"/>
                <w:lang w:val="en-US" w:eastAsia="zh-CN"/>
              </w:rPr>
            </w:pPr>
            <w:r>
              <w:rPr>
                <w:rFonts w:hint="eastAsia"/>
                <w:color w:val="auto"/>
                <w:lang w:val="en-US" w:eastAsia="zh-CN"/>
              </w:rPr>
              <w:t>本项目列车振动监测结果</w:t>
            </w:r>
            <w:r>
              <w:rPr>
                <w:rFonts w:hint="default"/>
                <w:color w:val="auto"/>
                <w:lang w:val="en-US" w:eastAsia="zh-CN"/>
              </w:rPr>
              <w:t>，其中最小值为</w:t>
            </w:r>
            <w:r>
              <w:rPr>
                <w:rFonts w:hint="eastAsia"/>
                <w:color w:val="auto"/>
                <w:lang w:val="en-US" w:eastAsia="zh-CN"/>
              </w:rPr>
              <w:t>54.5</w:t>
            </w:r>
            <w:r>
              <w:rPr>
                <w:rFonts w:hint="default"/>
                <w:color w:val="auto"/>
                <w:lang w:val="en-US" w:eastAsia="zh-CN"/>
              </w:rPr>
              <w:t>B，最大值为</w:t>
            </w:r>
            <w:r>
              <w:rPr>
                <w:rFonts w:hint="eastAsia"/>
                <w:color w:val="auto"/>
                <w:lang w:val="en-US" w:eastAsia="zh-CN"/>
              </w:rPr>
              <w:t>58.9</w:t>
            </w:r>
            <w:r>
              <w:rPr>
                <w:rFonts w:hint="default"/>
                <w:color w:val="auto"/>
                <w:lang w:val="en-US" w:eastAsia="zh-CN"/>
              </w:rPr>
              <w:t>dB，最大值与最小值波动较小。另外，本次评价收集了《陕煤石门2×660MW燃煤发电工程升级替代项目铁路专用线工程环境影响报告书》中对常德市石门电厂一期铁路专用线振动源强（40km/h、Ⅲ级、有缝）实测结果（</w:t>
            </w:r>
            <w:r>
              <w:rPr>
                <w:rFonts w:hint="eastAsia"/>
                <w:color w:val="auto"/>
                <w:lang w:val="en-US" w:eastAsia="zh-CN"/>
              </w:rPr>
              <w:t>6</w:t>
            </w:r>
            <w:r>
              <w:rPr>
                <w:rFonts w:hint="default"/>
                <w:color w:val="auto"/>
                <w:lang w:val="en-US" w:eastAsia="zh-CN"/>
              </w:rPr>
              <w:t>8.3dB）进行对比，</w:t>
            </w:r>
            <w:r>
              <w:rPr>
                <w:rFonts w:hint="eastAsia"/>
                <w:color w:val="auto"/>
                <w:lang w:val="en-US" w:eastAsia="zh-CN"/>
              </w:rPr>
              <w:t>本项目油库</w:t>
            </w:r>
            <w:r>
              <w:rPr>
                <w:rFonts w:hint="default"/>
                <w:color w:val="auto"/>
                <w:lang w:val="en-US" w:eastAsia="zh-CN"/>
              </w:rPr>
              <w:t>铁路专用线实测结果</w:t>
            </w:r>
            <w:r>
              <w:rPr>
                <w:rFonts w:hint="eastAsia"/>
                <w:color w:val="auto"/>
                <w:lang w:val="en-US" w:eastAsia="zh-CN"/>
              </w:rPr>
              <w:t>低</w:t>
            </w:r>
            <w:r>
              <w:rPr>
                <w:rFonts w:hint="default"/>
                <w:color w:val="auto"/>
                <w:lang w:val="en-US" w:eastAsia="zh-CN"/>
              </w:rPr>
              <w:t>于石门电厂一期铁路专用线的实测结果。综合考虑两个项目的实测结果，本项目类比监测结果取最大值</w:t>
            </w:r>
            <w:r>
              <w:rPr>
                <w:rFonts w:hint="eastAsia"/>
                <w:color w:val="auto"/>
                <w:lang w:val="en-US" w:eastAsia="zh-CN"/>
              </w:rPr>
              <w:t>68.3</w:t>
            </w:r>
            <w:r>
              <w:rPr>
                <w:rFonts w:hint="default"/>
                <w:color w:val="auto"/>
                <w:lang w:val="en-US" w:eastAsia="zh-CN"/>
              </w:rPr>
              <w:t>B，属于保守取值。因此，类比监测结果取最大值</w:t>
            </w:r>
            <w:r>
              <w:rPr>
                <w:rFonts w:hint="eastAsia"/>
                <w:color w:val="auto"/>
                <w:lang w:val="en-US" w:eastAsia="zh-CN"/>
              </w:rPr>
              <w:t>68.3</w:t>
            </w:r>
            <w:r>
              <w:rPr>
                <w:rFonts w:hint="default"/>
                <w:color w:val="auto"/>
                <w:lang w:val="en-US" w:eastAsia="zh-CN"/>
              </w:rPr>
              <w:t>dB是合理的。</w:t>
            </w:r>
          </w:p>
          <w:p w14:paraId="6ED26431">
            <w:pPr>
              <w:ind w:firstLine="480"/>
              <w:rPr>
                <w:color w:val="auto"/>
              </w:rPr>
            </w:pPr>
            <w:r>
              <w:rPr>
                <w:color w:val="auto"/>
              </w:rPr>
              <w:t>（1）预测公式</w:t>
            </w:r>
          </w:p>
          <w:p w14:paraId="185A92D4">
            <w:pPr>
              <w:ind w:firstLine="480"/>
              <w:rPr>
                <w:color w:val="auto"/>
              </w:rPr>
            </w:pPr>
            <w:r>
              <w:rPr>
                <w:color w:val="auto"/>
              </w:rPr>
              <w:t>列车所产生的列车振动Z振级，在评价范围内可用下式计算：</w:t>
            </w:r>
          </w:p>
          <w:p w14:paraId="65BF9F90">
            <w:pPr>
              <w:ind w:firstLine="0" w:firstLineChars="0"/>
              <w:jc w:val="center"/>
              <w:rPr>
                <w:color w:val="auto"/>
              </w:rPr>
            </w:pPr>
            <w:r>
              <w:rPr>
                <w:color w:val="auto"/>
              </w:rPr>
              <w:t xml:space="preserve">   </w:t>
            </w:r>
            <w:r>
              <w:rPr>
                <w:color w:val="auto"/>
              </w:rPr>
              <w:object>
                <v:shape id="_x0000_i1026" o:spt="75" type="#_x0000_t75" style="height:41.95pt;width:157.15pt;" o:ole="t" filled="f" o:preferrelative="t" stroked="f" coordsize="21600,21600">
                  <v:path/>
                  <v:fill on="f" focussize="0,0"/>
                  <v:stroke on="f" joinstyle="miter"/>
                  <v:imagedata r:id="rId37" o:title=""/>
                  <o:lock v:ext="edit" aspectratio="t"/>
                  <w10:wrap type="none"/>
                  <w10:anchorlock/>
                </v:shape>
                <o:OLEObject Type="Embed" ProgID="Equation.3" ShapeID="_x0000_i1026" DrawAspect="Content" ObjectID="_1468075726" r:id="rId36">
                  <o:LockedField>false</o:LockedField>
                </o:OLEObject>
              </w:object>
            </w:r>
            <w:r>
              <w:rPr>
                <w:color w:val="auto"/>
              </w:rPr>
              <w:t xml:space="preserve">      （式5.4-1）</w:t>
            </w:r>
          </w:p>
          <w:p w14:paraId="03593B45">
            <w:pPr>
              <w:ind w:firstLine="480"/>
              <w:rPr>
                <w:rFonts w:hint="default" w:eastAsia="宋体"/>
                <w:color w:val="auto"/>
                <w:lang w:val="en-US" w:eastAsia="zh-CN"/>
              </w:rPr>
            </w:pPr>
            <w:r>
              <w:rPr>
                <w:color w:val="auto"/>
              </w:rPr>
              <w:t>式中：VLZ0,i—振动源强，列车通过时段的最大Z计权振动级（dB）；</w:t>
            </w:r>
            <w:r>
              <w:rPr>
                <w:rFonts w:hint="eastAsia"/>
                <w:color w:val="auto"/>
                <w:lang w:val="en-US" w:eastAsia="zh-CN"/>
              </w:rPr>
              <w:t>68.3dB</w:t>
            </w:r>
          </w:p>
          <w:p w14:paraId="11438562">
            <w:pPr>
              <w:ind w:firstLine="480"/>
              <w:rPr>
                <w:color w:val="auto"/>
              </w:rPr>
            </w:pPr>
            <w:r>
              <w:rPr>
                <w:color w:val="auto"/>
              </w:rPr>
              <w:t>Ci—第i列列车的振动修正项（dB）；</w:t>
            </w:r>
          </w:p>
          <w:p w14:paraId="6660C6BC">
            <w:pPr>
              <w:ind w:firstLine="480"/>
              <w:rPr>
                <w:color w:val="auto"/>
              </w:rPr>
            </w:pPr>
            <w:r>
              <w:rPr>
                <w:color w:val="auto"/>
              </w:rPr>
              <w:t>n—列车通过的列数。</w:t>
            </w:r>
          </w:p>
          <w:p w14:paraId="29B4F4BD">
            <w:pPr>
              <w:ind w:firstLine="480"/>
              <w:rPr>
                <w:color w:val="auto"/>
              </w:rPr>
            </w:pPr>
            <w:r>
              <w:rPr>
                <w:color w:val="auto"/>
              </w:rPr>
              <w:t>（2）振动修正项计算</w:t>
            </w:r>
          </w:p>
          <w:p w14:paraId="1E1DB35B">
            <w:pPr>
              <w:ind w:firstLine="480"/>
              <w:rPr>
                <w:color w:val="auto"/>
              </w:rPr>
            </w:pPr>
            <w:r>
              <w:rPr>
                <w:color w:val="auto"/>
              </w:rPr>
              <w:t>振动修正项按下式计算</w:t>
            </w:r>
          </w:p>
          <w:p w14:paraId="7476627A">
            <w:pPr>
              <w:ind w:firstLine="480"/>
              <w:rPr>
                <w:color w:val="auto"/>
              </w:rPr>
            </w:pPr>
            <w:r>
              <w:rPr>
                <w:color w:val="auto"/>
              </w:rPr>
              <w:t xml:space="preserve">  Ci = CV+CD + CW +CG + CL + CR + CB         （式5.4-2）</w:t>
            </w:r>
          </w:p>
          <w:p w14:paraId="7CACD9E7">
            <w:pPr>
              <w:ind w:firstLine="480"/>
              <w:rPr>
                <w:color w:val="auto"/>
              </w:rPr>
            </w:pPr>
            <w:r>
              <w:rPr>
                <w:color w:val="auto"/>
              </w:rPr>
              <w:t>式中：</w:t>
            </w:r>
          </w:p>
          <w:p w14:paraId="0E306F3A">
            <w:pPr>
              <w:ind w:firstLine="480"/>
              <w:rPr>
                <w:color w:val="auto"/>
              </w:rPr>
            </w:pPr>
            <w:r>
              <w:rPr>
                <w:color w:val="auto"/>
              </w:rPr>
              <w:t>CV—速度修正（dB）；</w:t>
            </w:r>
          </w:p>
          <w:p w14:paraId="7327C4BB">
            <w:pPr>
              <w:ind w:firstLine="480"/>
              <w:rPr>
                <w:color w:val="auto"/>
              </w:rPr>
            </w:pPr>
            <w:r>
              <w:rPr>
                <w:color w:val="auto"/>
              </w:rPr>
              <w:t>CD—距离修正（dB）；</w:t>
            </w:r>
          </w:p>
          <w:p w14:paraId="57B330C5">
            <w:pPr>
              <w:ind w:firstLine="480"/>
              <w:rPr>
                <w:color w:val="auto"/>
              </w:rPr>
            </w:pPr>
            <w:r>
              <w:rPr>
                <w:color w:val="auto"/>
              </w:rPr>
              <w:t>CW—轴重修正（dB）；</w:t>
            </w:r>
          </w:p>
          <w:p w14:paraId="1062D2B5">
            <w:pPr>
              <w:ind w:firstLine="480"/>
              <w:rPr>
                <w:color w:val="auto"/>
              </w:rPr>
            </w:pPr>
            <w:r>
              <w:rPr>
                <w:color w:val="auto"/>
              </w:rPr>
              <w:t>CG—地质修正（dB）；</w:t>
            </w:r>
          </w:p>
          <w:p w14:paraId="3A3A14C3">
            <w:pPr>
              <w:ind w:firstLine="480"/>
              <w:rPr>
                <w:color w:val="auto"/>
              </w:rPr>
            </w:pPr>
            <w:r>
              <w:rPr>
                <w:color w:val="auto"/>
              </w:rPr>
              <w:t>CL—线路类型修正（dB）；</w:t>
            </w:r>
          </w:p>
          <w:p w14:paraId="613B60B8">
            <w:pPr>
              <w:ind w:firstLine="480"/>
              <w:rPr>
                <w:color w:val="auto"/>
              </w:rPr>
            </w:pPr>
            <w:r>
              <w:rPr>
                <w:color w:val="auto"/>
              </w:rPr>
              <w:t>CR—轨道类型修正（dB）；</w:t>
            </w:r>
          </w:p>
          <w:p w14:paraId="3DFA518E">
            <w:pPr>
              <w:ind w:firstLine="480"/>
              <w:rPr>
                <w:color w:val="auto"/>
              </w:rPr>
            </w:pPr>
            <w:r>
              <w:rPr>
                <w:color w:val="auto"/>
              </w:rPr>
              <w:t>CB—建筑物类型修正（dB）。</w:t>
            </w:r>
          </w:p>
          <w:p w14:paraId="47177ED7">
            <w:pPr>
              <w:ind w:firstLine="480"/>
              <w:rPr>
                <w:color w:val="auto"/>
              </w:rPr>
            </w:pPr>
            <w:r>
              <w:rPr>
                <w:color w:val="auto"/>
              </w:rPr>
              <w:t>1）速度修正CV</w:t>
            </w:r>
          </w:p>
          <w:p w14:paraId="6B69D82B">
            <w:pPr>
              <w:ind w:firstLine="480"/>
              <w:rPr>
                <w:color w:val="auto"/>
              </w:rPr>
            </w:pPr>
            <w:r>
              <w:rPr>
                <w:color w:val="auto"/>
              </w:rPr>
              <w:t>速度修正CV关系式见下式:</w:t>
            </w:r>
          </w:p>
          <w:p w14:paraId="5696D032">
            <w:pPr>
              <w:ind w:firstLine="480"/>
              <w:rPr>
                <w:color w:val="auto"/>
              </w:rPr>
            </w:pPr>
            <w:r>
              <w:rPr>
                <w:color w:val="auto"/>
              </w:rPr>
              <w:t xml:space="preserve">          </w:t>
            </w:r>
            <w:r>
              <w:rPr>
                <w:color w:val="auto"/>
              </w:rPr>
              <w:object>
                <v:shape id="_x0000_i1027" o:spt="75" type="#_x0000_t75" style="height:41.3pt;width:85.75pt;" o:ole="t" filled="f" o:preferrelative="t" stroked="f" coordsize="21600,21600">
                  <v:path/>
                  <v:fill on="f" focussize="0,0"/>
                  <v:stroke on="f" joinstyle="miter"/>
                  <v:imagedata r:id="rId39" o:title=""/>
                  <o:lock v:ext="edit" aspectratio="t"/>
                  <w10:wrap type="none"/>
                  <w10:anchorlock/>
                </v:shape>
                <o:OLEObject Type="Embed" ProgID="Equation.2" ShapeID="_x0000_i1027" DrawAspect="Content" ObjectID="_1468075727" r:id="rId38">
                  <o:LockedField>false</o:LockedField>
                </o:OLEObject>
              </w:object>
            </w:r>
            <w:r>
              <w:rPr>
                <w:color w:val="auto"/>
              </w:rPr>
              <w:t xml:space="preserve">                      （式5.4-3）</w:t>
            </w:r>
          </w:p>
          <w:p w14:paraId="72BE01A0">
            <w:pPr>
              <w:ind w:firstLine="480"/>
              <w:rPr>
                <w:color w:val="auto"/>
              </w:rPr>
            </w:pPr>
            <w:r>
              <w:rPr>
                <w:color w:val="auto"/>
              </w:rPr>
              <w:t>其中：</w:t>
            </w:r>
            <w:r>
              <w:rPr>
                <w:color w:val="auto"/>
              </w:rPr>
              <w:object>
                <v:shape id="_x0000_i1028" o:spt="75" type="#_x0000_t75" style="height:17.55pt;width:16.3pt;" o:ole="t" filled="f" o:preferrelative="t" stroked="f" coordsize="21600,21600">
                  <v:path/>
                  <v:fill on="f" focussize="0,0"/>
                  <v:stroke on="f" joinstyle="miter"/>
                  <v:imagedata r:id="rId41" o:title=""/>
                  <o:lock v:ext="edit" aspectratio="t"/>
                  <w10:wrap type="none"/>
                  <w10:anchorlock/>
                </v:shape>
                <o:OLEObject Type="Embed" ProgID="Equation.3" ShapeID="_x0000_i1028" DrawAspect="Content" ObjectID="_1468075728" r:id="rId40">
                  <o:LockedField>false</o:LockedField>
                </o:OLEObject>
              </w:object>
            </w:r>
            <w:r>
              <w:rPr>
                <w:color w:val="auto"/>
              </w:rPr>
              <w:t>——速度引起的振动修正量（dB）；</w:t>
            </w:r>
          </w:p>
          <w:p w14:paraId="7E5153CD">
            <w:pPr>
              <w:ind w:firstLine="480"/>
              <w:rPr>
                <w:color w:val="auto"/>
              </w:rPr>
            </w:pPr>
            <w:r>
              <w:rPr>
                <w:color w:val="auto"/>
              </w:rPr>
              <w:t>n——速度修正参数，车速20～200km/h时，n＝2；</w:t>
            </w:r>
          </w:p>
          <w:p w14:paraId="1108E945">
            <w:pPr>
              <w:ind w:firstLine="480"/>
              <w:rPr>
                <w:color w:val="auto"/>
              </w:rPr>
            </w:pPr>
            <w:r>
              <w:rPr>
                <w:color w:val="auto"/>
              </w:rPr>
              <w:t>V——列车运行速度（km/h）；</w:t>
            </w:r>
          </w:p>
          <w:p w14:paraId="1DE9B10B">
            <w:pPr>
              <w:ind w:firstLine="480"/>
              <w:rPr>
                <w:color w:val="auto"/>
              </w:rPr>
            </w:pPr>
            <w:r>
              <w:rPr>
                <w:color w:val="auto"/>
              </w:rPr>
              <w:t>V0——参考速度（km/h）。</w:t>
            </w:r>
          </w:p>
          <w:p w14:paraId="2939B695">
            <w:pPr>
              <w:ind w:firstLine="480"/>
              <w:rPr>
                <w:color w:val="auto"/>
              </w:rPr>
            </w:pPr>
            <w:r>
              <w:rPr>
                <w:color w:val="auto"/>
              </w:rPr>
              <w:t>预测计算速度可按设计最高速度的90%确定，根据设计资料，专用线货车设计速度为</w:t>
            </w:r>
            <w:r>
              <w:rPr>
                <w:rFonts w:hint="eastAsia"/>
                <w:color w:val="auto"/>
                <w:lang w:val="en-US" w:eastAsia="zh-CN"/>
              </w:rPr>
              <w:t>4</w:t>
            </w:r>
            <w:r>
              <w:rPr>
                <w:color w:val="auto"/>
              </w:rPr>
              <w:t>0km/h，运行速度为</w:t>
            </w:r>
            <w:r>
              <w:rPr>
                <w:rFonts w:hint="eastAsia"/>
                <w:color w:val="auto"/>
                <w:lang w:val="en-US" w:eastAsia="zh-CN"/>
              </w:rPr>
              <w:t>36</w:t>
            </w:r>
            <w:r>
              <w:rPr>
                <w:color w:val="auto"/>
              </w:rPr>
              <w:t>km/h预测，因此速度修正为-0.92dB。</w:t>
            </w:r>
          </w:p>
          <w:p w14:paraId="261E45D3">
            <w:pPr>
              <w:ind w:firstLine="480"/>
              <w:rPr>
                <w:color w:val="auto"/>
              </w:rPr>
            </w:pPr>
            <w:r>
              <w:rPr>
                <w:color w:val="auto"/>
              </w:rPr>
              <w:t>2）距离修正CD</w:t>
            </w:r>
          </w:p>
          <w:p w14:paraId="7269855E">
            <w:pPr>
              <w:ind w:firstLine="480"/>
              <w:rPr>
                <w:color w:val="auto"/>
              </w:rPr>
            </w:pPr>
            <w:r>
              <w:rPr>
                <w:color w:val="auto"/>
              </w:rPr>
              <w:t>铁路环境振动随距离的增加而衰减，其衰减值与地质、地貌条件密切相关。距离修正CD关系式见下式。</w:t>
            </w:r>
          </w:p>
          <w:p w14:paraId="552E5F8F">
            <w:pPr>
              <w:ind w:firstLine="480"/>
              <w:rPr>
                <w:color w:val="auto"/>
              </w:rPr>
            </w:pPr>
            <w:r>
              <w:rPr>
                <w:color w:val="auto"/>
              </w:rPr>
              <w:t xml:space="preserve">             </w:t>
            </w:r>
            <w:r>
              <w:rPr>
                <w:color w:val="auto"/>
              </w:rPr>
              <w:object>
                <v:shape id="_x0000_i1029" o:spt="75" type="#_x0000_t75" style="height:43.85pt;width:108.95pt;" o:ole="t" filled="f" o:preferrelative="t" stroked="f" coordsize="21600,21600">
                  <v:path/>
                  <v:fill on="f" focussize="0,0"/>
                  <v:stroke on="f" joinstyle="miter"/>
                  <v:imagedata r:id="rId43" o:title=""/>
                  <o:lock v:ext="edit" aspectratio="t"/>
                  <w10:wrap type="none"/>
                  <w10:anchorlock/>
                </v:shape>
                <o:OLEObject Type="Embed" ProgID="Equation.3" ShapeID="_x0000_i1029" DrawAspect="Content" ObjectID="_1468075729" r:id="rId42">
                  <o:LockedField>false</o:LockedField>
                </o:OLEObject>
              </w:object>
            </w:r>
            <w:r>
              <w:rPr>
                <w:color w:val="auto"/>
              </w:rPr>
              <w:t xml:space="preserve">                （式5.4-4）</w:t>
            </w:r>
          </w:p>
          <w:p w14:paraId="6F14C6E4">
            <w:pPr>
              <w:ind w:firstLine="480"/>
              <w:rPr>
                <w:color w:val="auto"/>
              </w:rPr>
            </w:pPr>
            <w:r>
              <w:rPr>
                <w:color w:val="auto"/>
              </w:rPr>
              <w:t>式中：d0 —— 参考距离，30m；</w:t>
            </w:r>
          </w:p>
          <w:p w14:paraId="0B1EFFC8">
            <w:pPr>
              <w:ind w:firstLine="480"/>
              <w:rPr>
                <w:color w:val="auto"/>
              </w:rPr>
            </w:pPr>
            <w:r>
              <w:rPr>
                <w:color w:val="auto"/>
              </w:rPr>
              <w:t>d ——预测点到线路中心线的距离（m）；</w:t>
            </w:r>
          </w:p>
          <w:p w14:paraId="3F476550">
            <w:pPr>
              <w:ind w:firstLine="480"/>
              <w:rPr>
                <w:color w:val="auto"/>
              </w:rPr>
            </w:pPr>
            <w:r>
              <w:rPr>
                <w:color w:val="auto"/>
              </w:rPr>
              <w:t>k ——距离修正系数，路基线路，当d&lt;=30m时，k取1；当30m&lt;d&lt;=60m时，k取2。桥梁线路，当d&lt;=60m时，k取1。</w:t>
            </w:r>
          </w:p>
          <w:p w14:paraId="310676BF">
            <w:pPr>
              <w:ind w:firstLine="480"/>
              <w:rPr>
                <w:color w:val="auto"/>
              </w:rPr>
            </w:pPr>
            <w:r>
              <w:rPr>
                <w:color w:val="auto"/>
              </w:rPr>
              <w:t>3）轴重修正CW</w:t>
            </w:r>
          </w:p>
          <w:p w14:paraId="60063834">
            <w:pPr>
              <w:ind w:firstLine="480"/>
              <w:rPr>
                <w:color w:val="auto"/>
              </w:rPr>
            </w:pPr>
            <w:r>
              <w:rPr>
                <w:color w:val="auto"/>
              </w:rPr>
              <w:t xml:space="preserve">              </w:t>
            </w:r>
            <w:r>
              <w:rPr>
                <w:color w:val="auto"/>
              </w:rPr>
              <w:drawing>
                <wp:inline distT="0" distB="0" distL="114300" distR="114300">
                  <wp:extent cx="1035050" cy="500380"/>
                  <wp:effectExtent l="0" t="0" r="12700" b="14605"/>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44"/>
                          <a:stretch>
                            <a:fillRect/>
                          </a:stretch>
                        </pic:blipFill>
                        <pic:spPr>
                          <a:xfrm>
                            <a:off x="0" y="0"/>
                            <a:ext cx="1035050" cy="500380"/>
                          </a:xfrm>
                          <a:prstGeom prst="rect">
                            <a:avLst/>
                          </a:prstGeom>
                          <a:noFill/>
                          <a:ln>
                            <a:noFill/>
                          </a:ln>
                        </pic:spPr>
                      </pic:pic>
                    </a:graphicData>
                  </a:graphic>
                </wp:inline>
              </w:drawing>
            </w:r>
            <w:r>
              <w:rPr>
                <w:color w:val="auto"/>
              </w:rPr>
              <w:t xml:space="preserve">                    （式5.4-5）</w:t>
            </w:r>
          </w:p>
          <w:p w14:paraId="69A71348">
            <w:pPr>
              <w:ind w:firstLine="480"/>
              <w:rPr>
                <w:color w:val="auto"/>
              </w:rPr>
            </w:pPr>
            <w:r>
              <w:rPr>
                <w:color w:val="auto"/>
              </w:rPr>
              <w:t>式中，Wo为参考轴重，W为预测车辆的轴重。</w:t>
            </w:r>
          </w:p>
          <w:p w14:paraId="499B9CAE">
            <w:pPr>
              <w:ind w:firstLine="480"/>
              <w:rPr>
                <w:color w:val="auto"/>
              </w:rPr>
            </w:pPr>
            <w:r>
              <w:rPr>
                <w:color w:val="auto"/>
              </w:rPr>
              <w:t>评价采取的轴重：货车21t，不做修正。</w:t>
            </w:r>
          </w:p>
          <w:p w14:paraId="71D68BC9">
            <w:pPr>
              <w:ind w:firstLine="480"/>
              <w:rPr>
                <w:color w:val="auto"/>
              </w:rPr>
            </w:pPr>
            <w:r>
              <w:rPr>
                <w:color w:val="auto"/>
              </w:rPr>
              <w:t>4）地质修正CG</w:t>
            </w:r>
          </w:p>
          <w:p w14:paraId="4EBD9049">
            <w:pPr>
              <w:ind w:firstLine="480"/>
              <w:rPr>
                <w:color w:val="auto"/>
              </w:rPr>
            </w:pPr>
            <w:r>
              <w:rPr>
                <w:color w:val="auto"/>
              </w:rPr>
              <w:t>相对于冲积层地质，洪积层地质修正：CG =﹣4（dB）；</w:t>
            </w:r>
          </w:p>
          <w:p w14:paraId="59551A82">
            <w:pPr>
              <w:ind w:firstLine="480"/>
              <w:rPr>
                <w:color w:val="auto"/>
              </w:rPr>
            </w:pPr>
            <w:r>
              <w:rPr>
                <w:color w:val="auto"/>
              </w:rPr>
              <w:t>相对于冲积层地质，软土地质修正：CG = 4（dB）。</w:t>
            </w:r>
          </w:p>
          <w:p w14:paraId="30E6CCD6">
            <w:pPr>
              <w:ind w:firstLine="480"/>
              <w:rPr>
                <w:color w:val="auto"/>
              </w:rPr>
            </w:pPr>
            <w:r>
              <w:rPr>
                <w:color w:val="auto"/>
              </w:rPr>
              <w:t>本次评价采用冲基层地质，不做修正。</w:t>
            </w:r>
          </w:p>
          <w:p w14:paraId="214CFEE4">
            <w:pPr>
              <w:ind w:firstLine="480"/>
              <w:rPr>
                <w:color w:val="auto"/>
              </w:rPr>
            </w:pPr>
            <w:r>
              <w:rPr>
                <w:color w:val="auto"/>
              </w:rPr>
              <w:t>5）线路类型修正Cl</w:t>
            </w:r>
          </w:p>
          <w:p w14:paraId="21DB3FCE">
            <w:pPr>
              <w:ind w:firstLine="480"/>
              <w:rPr>
                <w:color w:val="auto"/>
              </w:rPr>
            </w:pPr>
            <w:r>
              <w:rPr>
                <w:color w:val="auto"/>
              </w:rPr>
              <w:t>距线路中心线30～60m范围内，对于冲积层地质，普速铁路路堑振动相对于路堤线路CL取2.5dB，高速铁路路堑振动相对于路堤线路CL取0dB。</w:t>
            </w:r>
          </w:p>
          <w:p w14:paraId="732B868B">
            <w:pPr>
              <w:ind w:firstLine="480"/>
              <w:rPr>
                <w:color w:val="auto"/>
              </w:rPr>
            </w:pPr>
            <w:r>
              <w:rPr>
                <w:color w:val="auto"/>
              </w:rPr>
              <w:t>本次评价为路基，不做修正。</w:t>
            </w:r>
          </w:p>
          <w:p w14:paraId="67D571FD">
            <w:pPr>
              <w:ind w:firstLine="480"/>
              <w:rPr>
                <w:color w:val="auto"/>
              </w:rPr>
            </w:pPr>
            <w:r>
              <w:rPr>
                <w:color w:val="auto"/>
              </w:rPr>
              <w:t>6）轨道类型修正CR</w:t>
            </w:r>
          </w:p>
          <w:p w14:paraId="0282DB8B">
            <w:pPr>
              <w:ind w:firstLine="480"/>
              <w:rPr>
                <w:color w:val="auto"/>
              </w:rPr>
            </w:pPr>
            <w:r>
              <w:rPr>
                <w:color w:val="auto"/>
              </w:rPr>
              <w:t>根据《铁路建设项目环境影响评价噪声振动源强取值和治理原则指导意见(2010年修订稿)》（铁计[2010]44号），有缝线路路段较无缝线路路段货运列车-3dB修正，CR =-3dB</w:t>
            </w:r>
          </w:p>
          <w:p w14:paraId="712D14CC">
            <w:pPr>
              <w:ind w:firstLine="480"/>
              <w:rPr>
                <w:color w:val="auto"/>
              </w:rPr>
            </w:pPr>
            <w:r>
              <w:rPr>
                <w:color w:val="auto"/>
              </w:rPr>
              <w:t>7）建筑修正CB</w:t>
            </w:r>
          </w:p>
          <w:p w14:paraId="6983C3E1">
            <w:pPr>
              <w:ind w:firstLine="480"/>
              <w:rPr>
                <w:color w:val="auto"/>
              </w:rPr>
            </w:pPr>
            <w:r>
              <w:rPr>
                <w:color w:val="auto"/>
              </w:rPr>
              <w:t>预测建筑物室外振动时，应根据建筑物类型进行修正。不同建筑物室外对振动响应不同。一般将各类建筑物划分为三种类型进行修正：</w:t>
            </w:r>
          </w:p>
          <w:p w14:paraId="7EFE838C">
            <w:pPr>
              <w:ind w:firstLine="480"/>
              <w:rPr>
                <w:color w:val="auto"/>
              </w:rPr>
            </w:pPr>
            <w:r>
              <w:rPr>
                <w:color w:val="auto"/>
              </w:rPr>
              <w:t>I类建筑为良好基础、框架结构的高层建筑：</w:t>
            </w:r>
          </w:p>
          <w:p w14:paraId="050998E2">
            <w:pPr>
              <w:ind w:firstLine="480"/>
              <w:rPr>
                <w:color w:val="auto"/>
              </w:rPr>
            </w:pPr>
            <w:r>
              <w:rPr>
                <w:color w:val="auto"/>
              </w:rPr>
              <w:t>CB=-10dB</w:t>
            </w:r>
          </w:p>
          <w:p w14:paraId="5C3AD5DD">
            <w:pPr>
              <w:ind w:firstLine="480"/>
              <w:rPr>
                <w:color w:val="auto"/>
              </w:rPr>
            </w:pPr>
            <w:r>
              <w:rPr>
                <w:color w:val="auto"/>
              </w:rPr>
              <w:t>II类建筑为较好基础、砖墙结构的中层建筑：</w:t>
            </w:r>
          </w:p>
          <w:p w14:paraId="582B6F3A">
            <w:pPr>
              <w:ind w:firstLine="480"/>
              <w:rPr>
                <w:color w:val="auto"/>
              </w:rPr>
            </w:pPr>
            <w:r>
              <w:rPr>
                <w:color w:val="auto"/>
              </w:rPr>
              <w:t>CB=-5dB</w:t>
            </w:r>
          </w:p>
          <w:p w14:paraId="1556EC26">
            <w:pPr>
              <w:ind w:firstLine="480"/>
              <w:rPr>
                <w:color w:val="auto"/>
              </w:rPr>
            </w:pPr>
            <w:r>
              <w:rPr>
                <w:color w:val="auto"/>
              </w:rPr>
              <w:t>III类建筑为一般基础的平房建筑：</w:t>
            </w:r>
          </w:p>
          <w:p w14:paraId="42AE2CBF">
            <w:pPr>
              <w:ind w:firstLine="480"/>
              <w:rPr>
                <w:color w:val="auto"/>
              </w:rPr>
            </w:pPr>
            <w:r>
              <w:rPr>
                <w:color w:val="auto"/>
              </w:rPr>
              <w:t xml:space="preserve">CB=0dB               </w:t>
            </w:r>
          </w:p>
          <w:p w14:paraId="2EF7650B">
            <w:pPr>
              <w:ind w:firstLine="480"/>
              <w:rPr>
                <w:color w:val="auto"/>
              </w:rPr>
            </w:pPr>
            <w:r>
              <w:rPr>
                <w:color w:val="auto"/>
              </w:rPr>
              <w:t>（3）振动预测技术条件</w:t>
            </w:r>
          </w:p>
          <w:p w14:paraId="63EC1FAD">
            <w:pPr>
              <w:ind w:firstLine="480"/>
              <w:rPr>
                <w:color w:val="auto"/>
              </w:rPr>
            </w:pPr>
            <w:r>
              <w:rPr>
                <w:color w:val="auto"/>
              </w:rPr>
              <w:t>1）预测年度</w:t>
            </w:r>
          </w:p>
          <w:p w14:paraId="74881107">
            <w:pPr>
              <w:ind w:firstLine="480"/>
              <w:rPr>
                <w:color w:val="auto"/>
              </w:rPr>
            </w:pPr>
            <w:r>
              <w:rPr>
                <w:color w:val="auto"/>
              </w:rPr>
              <w:t>近期2030年，远期2040年。</w:t>
            </w:r>
          </w:p>
          <w:p w14:paraId="230229F0">
            <w:pPr>
              <w:ind w:firstLine="480"/>
              <w:rPr>
                <w:color w:val="auto"/>
              </w:rPr>
            </w:pPr>
            <w:r>
              <w:rPr>
                <w:color w:val="auto"/>
              </w:rPr>
              <w:t>2）牵引种类</w:t>
            </w:r>
          </w:p>
          <w:p w14:paraId="250FA159">
            <w:pPr>
              <w:ind w:firstLine="480"/>
              <w:rPr>
                <w:color w:val="auto"/>
              </w:rPr>
            </w:pPr>
            <w:r>
              <w:rPr>
                <w:color w:val="auto"/>
              </w:rPr>
              <w:t>牵引种类为内燃</w:t>
            </w:r>
            <w:r>
              <w:rPr>
                <w:rFonts w:hint="eastAsia"/>
                <w:color w:val="auto"/>
              </w:rPr>
              <w:t>，内燃机种类为柴油</w:t>
            </w:r>
            <w:r>
              <w:rPr>
                <w:color w:val="auto"/>
              </w:rPr>
              <w:t>。</w:t>
            </w:r>
          </w:p>
          <w:p w14:paraId="63AD9FE8">
            <w:pPr>
              <w:ind w:firstLine="480"/>
              <w:rPr>
                <w:color w:val="auto"/>
              </w:rPr>
            </w:pPr>
            <w:r>
              <w:rPr>
                <w:color w:val="auto"/>
              </w:rPr>
              <w:t>3）列车运行速度</w:t>
            </w:r>
          </w:p>
          <w:p w14:paraId="16DC798D">
            <w:pPr>
              <w:ind w:firstLine="480"/>
              <w:rPr>
                <w:color w:val="auto"/>
              </w:rPr>
            </w:pPr>
            <w:r>
              <w:rPr>
                <w:color w:val="auto"/>
              </w:rPr>
              <w:t>本次区间线路速度按</w:t>
            </w:r>
            <w:r>
              <w:rPr>
                <w:rFonts w:hint="eastAsia"/>
                <w:color w:val="auto"/>
                <w:lang w:val="en-US" w:eastAsia="zh-CN"/>
              </w:rPr>
              <w:t>36</w:t>
            </w:r>
            <w:r>
              <w:rPr>
                <w:color w:val="auto"/>
              </w:rPr>
              <w:t>km/h计。</w:t>
            </w:r>
          </w:p>
          <w:p w14:paraId="232FC9C7">
            <w:pPr>
              <w:ind w:firstLine="480"/>
              <w:rPr>
                <w:color w:val="auto"/>
              </w:rPr>
            </w:pPr>
            <w:r>
              <w:rPr>
                <w:color w:val="auto"/>
              </w:rPr>
              <w:t>4）列车对数</w:t>
            </w:r>
          </w:p>
          <w:p w14:paraId="7B5C8991">
            <w:pPr>
              <w:ind w:firstLine="480"/>
              <w:rPr>
                <w:color w:val="auto"/>
              </w:rPr>
            </w:pPr>
            <w:r>
              <w:rPr>
                <w:color w:val="auto"/>
              </w:rPr>
              <w:t>本项目列车对数</w:t>
            </w:r>
            <w:r>
              <w:rPr>
                <w:rFonts w:hint="eastAsia"/>
                <w:color w:val="auto"/>
              </w:rPr>
              <w:t>近期远期均为1次/天</w:t>
            </w:r>
          </w:p>
          <w:p w14:paraId="28167B4F">
            <w:pPr>
              <w:numPr>
                <w:ilvl w:val="0"/>
                <w:numId w:val="2"/>
              </w:numPr>
              <w:ind w:firstLine="480"/>
              <w:rPr>
                <w:color w:val="auto"/>
              </w:rPr>
            </w:pPr>
            <w:r>
              <w:rPr>
                <w:rFonts w:hint="eastAsia"/>
                <w:color w:val="auto"/>
              </w:rPr>
              <w:t>轨道：为50kg/m-25m钢轨，采用弹条I型扣件。</w:t>
            </w:r>
          </w:p>
          <w:p w14:paraId="01855474">
            <w:pPr>
              <w:ind w:firstLine="480"/>
              <w:rPr>
                <w:color w:val="auto"/>
              </w:rPr>
            </w:pPr>
            <w:r>
              <w:rPr>
                <w:rFonts w:hint="eastAsia"/>
                <w:color w:val="auto"/>
              </w:rPr>
              <w:t>（4）振动预测结果</w:t>
            </w:r>
          </w:p>
          <w:p w14:paraId="730595F1">
            <w:pPr>
              <w:ind w:left="480" w:leftChars="200" w:firstLine="0" w:firstLineChars="0"/>
              <w:rPr>
                <w:color w:val="auto"/>
              </w:rPr>
            </w:pPr>
            <w:r>
              <w:rPr>
                <w:rFonts w:hint="eastAsia"/>
                <w:color w:val="auto"/>
              </w:rPr>
              <w:t>本项目两侧环境振动预测结果见下表。</w:t>
            </w:r>
          </w:p>
          <w:p w14:paraId="38563A69">
            <w:pPr>
              <w:pStyle w:val="33"/>
              <w:rPr>
                <w:color w:val="auto"/>
              </w:rPr>
            </w:pPr>
            <w:r>
              <w:rPr>
                <w:rFonts w:hint="eastAsia"/>
                <w:color w:val="auto"/>
              </w:rPr>
              <w:t>表4-11 运营期振动预测结果</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3"/>
              <w:gridCol w:w="773"/>
              <w:gridCol w:w="652"/>
              <w:gridCol w:w="623"/>
              <w:gridCol w:w="682"/>
              <w:gridCol w:w="623"/>
              <w:gridCol w:w="652"/>
              <w:gridCol w:w="653"/>
              <w:gridCol w:w="698"/>
              <w:gridCol w:w="578"/>
              <w:gridCol w:w="572"/>
            </w:tblGrid>
            <w:tr w14:paraId="1B4E2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519" w:type="pct"/>
                  <w:vMerge w:val="restart"/>
                  <w:tcBorders>
                    <w:tl2br w:val="nil"/>
                    <w:tr2bl w:val="nil"/>
                  </w:tcBorders>
                  <w:vAlign w:val="center"/>
                </w:tcPr>
                <w:p w14:paraId="5F0B96E6">
                  <w:pPr>
                    <w:pStyle w:val="30"/>
                    <w:rPr>
                      <w:color w:val="auto"/>
                    </w:rPr>
                  </w:pPr>
                  <w:r>
                    <w:rPr>
                      <w:rFonts w:hint="eastAsia"/>
                      <w:color w:val="auto"/>
                    </w:rPr>
                    <w:t>类别</w:t>
                  </w:r>
                </w:p>
              </w:tc>
              <w:tc>
                <w:tcPr>
                  <w:tcW w:w="4480" w:type="pct"/>
                  <w:gridSpan w:val="10"/>
                  <w:tcBorders>
                    <w:tl2br w:val="nil"/>
                    <w:tr2bl w:val="nil"/>
                  </w:tcBorders>
                  <w:vAlign w:val="center"/>
                </w:tcPr>
                <w:p w14:paraId="5AA8DDB4">
                  <w:pPr>
                    <w:pStyle w:val="30"/>
                    <w:rPr>
                      <w:color w:val="auto"/>
                    </w:rPr>
                  </w:pPr>
                  <w:r>
                    <w:rPr>
                      <w:rFonts w:hint="eastAsia"/>
                      <w:color w:val="auto"/>
                    </w:rPr>
                    <w:t>铁路外轨中心线外不同距离下的振动贡献值（dB）</w:t>
                  </w:r>
                </w:p>
              </w:tc>
            </w:tr>
            <w:tr w14:paraId="49732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519" w:type="pct"/>
                  <w:vMerge w:val="continue"/>
                  <w:tcBorders>
                    <w:tl2br w:val="nil"/>
                    <w:tr2bl w:val="nil"/>
                  </w:tcBorders>
                  <w:vAlign w:val="center"/>
                </w:tcPr>
                <w:p w14:paraId="2160F54B">
                  <w:pPr>
                    <w:pStyle w:val="30"/>
                    <w:rPr>
                      <w:color w:val="auto"/>
                    </w:rPr>
                  </w:pPr>
                </w:p>
              </w:tc>
              <w:tc>
                <w:tcPr>
                  <w:tcW w:w="532" w:type="pct"/>
                  <w:tcBorders>
                    <w:tl2br w:val="nil"/>
                    <w:tr2bl w:val="nil"/>
                  </w:tcBorders>
                  <w:vAlign w:val="center"/>
                </w:tcPr>
                <w:p w14:paraId="1FAF074E">
                  <w:pPr>
                    <w:pStyle w:val="30"/>
                    <w:rPr>
                      <w:color w:val="auto"/>
                    </w:rPr>
                  </w:pPr>
                  <w:r>
                    <w:rPr>
                      <w:rFonts w:hint="eastAsia"/>
                      <w:color w:val="auto"/>
                    </w:rPr>
                    <w:t>10m</w:t>
                  </w:r>
                </w:p>
              </w:tc>
              <w:tc>
                <w:tcPr>
                  <w:tcW w:w="449" w:type="pct"/>
                  <w:tcBorders>
                    <w:tl2br w:val="nil"/>
                    <w:tr2bl w:val="nil"/>
                  </w:tcBorders>
                  <w:vAlign w:val="center"/>
                </w:tcPr>
                <w:p w14:paraId="18B7F2A3">
                  <w:pPr>
                    <w:pStyle w:val="30"/>
                    <w:rPr>
                      <w:color w:val="auto"/>
                    </w:rPr>
                  </w:pPr>
                  <w:r>
                    <w:rPr>
                      <w:rFonts w:hint="eastAsia"/>
                      <w:color w:val="auto"/>
                    </w:rPr>
                    <w:t>15m</w:t>
                  </w:r>
                </w:p>
              </w:tc>
              <w:tc>
                <w:tcPr>
                  <w:tcW w:w="429" w:type="pct"/>
                  <w:tcBorders>
                    <w:tl2br w:val="nil"/>
                    <w:tr2bl w:val="nil"/>
                  </w:tcBorders>
                  <w:vAlign w:val="center"/>
                </w:tcPr>
                <w:p w14:paraId="63E40CA3">
                  <w:pPr>
                    <w:pStyle w:val="30"/>
                    <w:rPr>
                      <w:color w:val="auto"/>
                    </w:rPr>
                  </w:pPr>
                  <w:r>
                    <w:rPr>
                      <w:rFonts w:hint="eastAsia"/>
                      <w:color w:val="auto"/>
                    </w:rPr>
                    <w:t>20m</w:t>
                  </w:r>
                </w:p>
              </w:tc>
              <w:tc>
                <w:tcPr>
                  <w:tcW w:w="470" w:type="pct"/>
                  <w:tcBorders>
                    <w:tl2br w:val="nil"/>
                    <w:tr2bl w:val="nil"/>
                  </w:tcBorders>
                  <w:vAlign w:val="center"/>
                </w:tcPr>
                <w:p w14:paraId="3EC5B69C">
                  <w:pPr>
                    <w:pStyle w:val="30"/>
                    <w:rPr>
                      <w:color w:val="auto"/>
                    </w:rPr>
                  </w:pPr>
                  <w:r>
                    <w:rPr>
                      <w:rFonts w:hint="eastAsia"/>
                      <w:color w:val="auto"/>
                    </w:rPr>
                    <w:t>25m</w:t>
                  </w:r>
                </w:p>
              </w:tc>
              <w:tc>
                <w:tcPr>
                  <w:tcW w:w="429" w:type="pct"/>
                  <w:tcBorders>
                    <w:tl2br w:val="nil"/>
                    <w:tr2bl w:val="nil"/>
                  </w:tcBorders>
                  <w:vAlign w:val="center"/>
                </w:tcPr>
                <w:p w14:paraId="41FB6001">
                  <w:pPr>
                    <w:pStyle w:val="30"/>
                    <w:rPr>
                      <w:color w:val="auto"/>
                    </w:rPr>
                  </w:pPr>
                  <w:r>
                    <w:rPr>
                      <w:rFonts w:hint="eastAsia"/>
                      <w:color w:val="auto"/>
                    </w:rPr>
                    <w:t>30m</w:t>
                  </w:r>
                </w:p>
              </w:tc>
              <w:tc>
                <w:tcPr>
                  <w:tcW w:w="449" w:type="pct"/>
                  <w:tcBorders>
                    <w:tl2br w:val="nil"/>
                    <w:tr2bl w:val="nil"/>
                  </w:tcBorders>
                  <w:vAlign w:val="center"/>
                </w:tcPr>
                <w:p w14:paraId="639EDE54">
                  <w:pPr>
                    <w:pStyle w:val="30"/>
                    <w:rPr>
                      <w:color w:val="auto"/>
                    </w:rPr>
                  </w:pPr>
                  <w:r>
                    <w:rPr>
                      <w:rFonts w:hint="eastAsia"/>
                      <w:color w:val="auto"/>
                    </w:rPr>
                    <w:t>35m</w:t>
                  </w:r>
                </w:p>
              </w:tc>
              <w:tc>
                <w:tcPr>
                  <w:tcW w:w="450" w:type="pct"/>
                  <w:tcBorders>
                    <w:tl2br w:val="nil"/>
                    <w:tr2bl w:val="nil"/>
                  </w:tcBorders>
                  <w:vAlign w:val="center"/>
                </w:tcPr>
                <w:p w14:paraId="60C41FCB">
                  <w:pPr>
                    <w:pStyle w:val="30"/>
                    <w:rPr>
                      <w:color w:val="auto"/>
                    </w:rPr>
                  </w:pPr>
                  <w:r>
                    <w:rPr>
                      <w:rFonts w:hint="eastAsia"/>
                      <w:color w:val="auto"/>
                    </w:rPr>
                    <w:t>40m</w:t>
                  </w:r>
                </w:p>
              </w:tc>
              <w:tc>
                <w:tcPr>
                  <w:tcW w:w="480" w:type="pct"/>
                  <w:tcBorders>
                    <w:tl2br w:val="nil"/>
                    <w:tr2bl w:val="nil"/>
                  </w:tcBorders>
                  <w:vAlign w:val="center"/>
                </w:tcPr>
                <w:p w14:paraId="5F04A26F">
                  <w:pPr>
                    <w:pStyle w:val="30"/>
                    <w:rPr>
                      <w:color w:val="auto"/>
                    </w:rPr>
                  </w:pPr>
                  <w:r>
                    <w:rPr>
                      <w:rFonts w:hint="eastAsia"/>
                      <w:color w:val="auto"/>
                    </w:rPr>
                    <w:t>45m</w:t>
                  </w:r>
                </w:p>
              </w:tc>
              <w:tc>
                <w:tcPr>
                  <w:tcW w:w="398" w:type="pct"/>
                  <w:tcBorders>
                    <w:tl2br w:val="nil"/>
                    <w:tr2bl w:val="nil"/>
                  </w:tcBorders>
                  <w:vAlign w:val="center"/>
                </w:tcPr>
                <w:p w14:paraId="4FD8678C">
                  <w:pPr>
                    <w:pStyle w:val="30"/>
                    <w:rPr>
                      <w:color w:val="auto"/>
                    </w:rPr>
                  </w:pPr>
                  <w:r>
                    <w:rPr>
                      <w:rFonts w:hint="eastAsia"/>
                      <w:color w:val="auto"/>
                    </w:rPr>
                    <w:t>50m</w:t>
                  </w:r>
                </w:p>
              </w:tc>
              <w:tc>
                <w:tcPr>
                  <w:tcW w:w="388" w:type="pct"/>
                  <w:tcBorders>
                    <w:tl2br w:val="nil"/>
                    <w:tr2bl w:val="nil"/>
                  </w:tcBorders>
                  <w:vAlign w:val="center"/>
                </w:tcPr>
                <w:p w14:paraId="3C093CED">
                  <w:pPr>
                    <w:pStyle w:val="30"/>
                    <w:rPr>
                      <w:color w:val="auto"/>
                    </w:rPr>
                  </w:pPr>
                  <w:r>
                    <w:rPr>
                      <w:rFonts w:hint="eastAsia"/>
                      <w:color w:val="auto"/>
                    </w:rPr>
                    <w:t>60m</w:t>
                  </w:r>
                </w:p>
              </w:tc>
            </w:tr>
            <w:tr w14:paraId="6174D3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519" w:type="pct"/>
                  <w:tcBorders>
                    <w:tl2br w:val="nil"/>
                    <w:tr2bl w:val="nil"/>
                  </w:tcBorders>
                  <w:vAlign w:val="center"/>
                </w:tcPr>
                <w:p w14:paraId="627E6976">
                  <w:pPr>
                    <w:pStyle w:val="30"/>
                    <w:rPr>
                      <w:color w:val="auto"/>
                    </w:rPr>
                  </w:pPr>
                  <w:r>
                    <w:rPr>
                      <w:rFonts w:hint="eastAsia"/>
                      <w:color w:val="auto"/>
                    </w:rPr>
                    <w:t>专用线</w:t>
                  </w:r>
                </w:p>
              </w:tc>
              <w:tc>
                <w:tcPr>
                  <w:tcW w:w="532" w:type="pct"/>
                  <w:tcBorders>
                    <w:tl2br w:val="nil"/>
                    <w:tr2bl w:val="nil"/>
                  </w:tcBorders>
                  <w:vAlign w:val="center"/>
                </w:tcPr>
                <w:p w14:paraId="26A0BA99">
                  <w:pPr>
                    <w:pStyle w:val="30"/>
                    <w:rPr>
                      <w:color w:val="auto"/>
                    </w:rPr>
                  </w:pPr>
                  <w:r>
                    <w:rPr>
                      <w:rFonts w:hint="eastAsia"/>
                      <w:color w:val="auto"/>
                    </w:rPr>
                    <w:t>68.6</w:t>
                  </w:r>
                </w:p>
              </w:tc>
              <w:tc>
                <w:tcPr>
                  <w:tcW w:w="449" w:type="pct"/>
                  <w:tcBorders>
                    <w:tl2br w:val="nil"/>
                    <w:tr2bl w:val="nil"/>
                  </w:tcBorders>
                  <w:vAlign w:val="center"/>
                </w:tcPr>
                <w:p w14:paraId="7F23342E">
                  <w:pPr>
                    <w:pStyle w:val="30"/>
                    <w:rPr>
                      <w:color w:val="auto"/>
                    </w:rPr>
                  </w:pPr>
                  <w:r>
                    <w:rPr>
                      <w:rFonts w:hint="eastAsia"/>
                      <w:color w:val="auto"/>
                    </w:rPr>
                    <w:t>66.3</w:t>
                  </w:r>
                </w:p>
              </w:tc>
              <w:tc>
                <w:tcPr>
                  <w:tcW w:w="429" w:type="pct"/>
                  <w:tcBorders>
                    <w:tl2br w:val="nil"/>
                    <w:tr2bl w:val="nil"/>
                  </w:tcBorders>
                  <w:vAlign w:val="center"/>
                </w:tcPr>
                <w:p w14:paraId="0495B62F">
                  <w:pPr>
                    <w:pStyle w:val="30"/>
                    <w:rPr>
                      <w:rFonts w:hint="eastAsia" w:eastAsia="宋体"/>
                      <w:color w:val="auto"/>
                      <w:lang w:val="en-US" w:eastAsia="zh-CN"/>
                    </w:rPr>
                  </w:pPr>
                  <w:r>
                    <w:rPr>
                      <w:rFonts w:hint="eastAsia"/>
                      <w:color w:val="auto"/>
                    </w:rPr>
                    <w:t>65.</w:t>
                  </w:r>
                  <w:r>
                    <w:rPr>
                      <w:rFonts w:hint="eastAsia"/>
                      <w:color w:val="auto"/>
                      <w:lang w:val="en-US" w:eastAsia="zh-CN"/>
                    </w:rPr>
                    <w:t>5</w:t>
                  </w:r>
                </w:p>
              </w:tc>
              <w:tc>
                <w:tcPr>
                  <w:tcW w:w="470" w:type="pct"/>
                  <w:tcBorders>
                    <w:tl2br w:val="nil"/>
                    <w:tr2bl w:val="nil"/>
                  </w:tcBorders>
                  <w:vAlign w:val="center"/>
                </w:tcPr>
                <w:p w14:paraId="7E7AEB15">
                  <w:pPr>
                    <w:pStyle w:val="30"/>
                    <w:rPr>
                      <w:rFonts w:hint="eastAsia" w:eastAsia="宋体"/>
                      <w:color w:val="auto"/>
                      <w:lang w:val="en-US" w:eastAsia="zh-CN"/>
                    </w:rPr>
                  </w:pPr>
                  <w:r>
                    <w:rPr>
                      <w:rFonts w:hint="eastAsia"/>
                      <w:color w:val="auto"/>
                    </w:rPr>
                    <w:t>65.</w:t>
                  </w:r>
                  <w:r>
                    <w:rPr>
                      <w:rFonts w:hint="eastAsia"/>
                      <w:color w:val="auto"/>
                      <w:lang w:val="en-US" w:eastAsia="zh-CN"/>
                    </w:rPr>
                    <w:t>2</w:t>
                  </w:r>
                </w:p>
              </w:tc>
              <w:tc>
                <w:tcPr>
                  <w:tcW w:w="429" w:type="pct"/>
                  <w:tcBorders>
                    <w:tl2br w:val="nil"/>
                    <w:tr2bl w:val="nil"/>
                  </w:tcBorders>
                  <w:vAlign w:val="center"/>
                </w:tcPr>
                <w:p w14:paraId="4C9985CE">
                  <w:pPr>
                    <w:pStyle w:val="30"/>
                    <w:rPr>
                      <w:rFonts w:hint="eastAsia" w:eastAsia="宋体"/>
                      <w:color w:val="auto"/>
                      <w:lang w:val="en-US" w:eastAsia="zh-CN"/>
                    </w:rPr>
                  </w:pPr>
                  <w:r>
                    <w:rPr>
                      <w:rFonts w:hint="eastAsia"/>
                      <w:color w:val="auto"/>
                    </w:rPr>
                    <w:t>64.</w:t>
                  </w:r>
                  <w:r>
                    <w:rPr>
                      <w:rFonts w:hint="eastAsia"/>
                      <w:color w:val="auto"/>
                      <w:lang w:val="en-US" w:eastAsia="zh-CN"/>
                    </w:rPr>
                    <w:t>3</w:t>
                  </w:r>
                </w:p>
              </w:tc>
              <w:tc>
                <w:tcPr>
                  <w:tcW w:w="449" w:type="pct"/>
                  <w:tcBorders>
                    <w:tl2br w:val="nil"/>
                    <w:tr2bl w:val="nil"/>
                  </w:tcBorders>
                  <w:vAlign w:val="center"/>
                </w:tcPr>
                <w:p w14:paraId="38AF0F5F">
                  <w:pPr>
                    <w:pStyle w:val="30"/>
                    <w:rPr>
                      <w:rFonts w:hint="eastAsia" w:eastAsia="宋体"/>
                      <w:color w:val="auto"/>
                      <w:lang w:val="en-US" w:eastAsia="zh-CN"/>
                    </w:rPr>
                  </w:pPr>
                  <w:r>
                    <w:rPr>
                      <w:rFonts w:hint="eastAsia"/>
                      <w:color w:val="auto"/>
                    </w:rPr>
                    <w:t>63.</w:t>
                  </w:r>
                  <w:r>
                    <w:rPr>
                      <w:rFonts w:hint="eastAsia"/>
                      <w:color w:val="auto"/>
                      <w:lang w:val="en-US" w:eastAsia="zh-CN"/>
                    </w:rPr>
                    <w:t>8</w:t>
                  </w:r>
                </w:p>
              </w:tc>
              <w:tc>
                <w:tcPr>
                  <w:tcW w:w="450" w:type="pct"/>
                  <w:tcBorders>
                    <w:tl2br w:val="nil"/>
                    <w:tr2bl w:val="nil"/>
                  </w:tcBorders>
                  <w:vAlign w:val="center"/>
                </w:tcPr>
                <w:p w14:paraId="2EED79B1">
                  <w:pPr>
                    <w:pStyle w:val="30"/>
                    <w:rPr>
                      <w:color w:val="auto"/>
                    </w:rPr>
                  </w:pPr>
                  <w:r>
                    <w:rPr>
                      <w:rFonts w:hint="eastAsia"/>
                      <w:color w:val="auto"/>
                    </w:rPr>
                    <w:t>61.8</w:t>
                  </w:r>
                </w:p>
              </w:tc>
              <w:tc>
                <w:tcPr>
                  <w:tcW w:w="480" w:type="pct"/>
                  <w:tcBorders>
                    <w:tl2br w:val="nil"/>
                    <w:tr2bl w:val="nil"/>
                  </w:tcBorders>
                  <w:vAlign w:val="center"/>
                </w:tcPr>
                <w:p w14:paraId="67624E65">
                  <w:pPr>
                    <w:pStyle w:val="30"/>
                    <w:rPr>
                      <w:color w:val="auto"/>
                    </w:rPr>
                  </w:pPr>
                  <w:r>
                    <w:rPr>
                      <w:rFonts w:hint="eastAsia"/>
                      <w:color w:val="auto"/>
                    </w:rPr>
                    <w:t>60.5</w:t>
                  </w:r>
                </w:p>
              </w:tc>
              <w:tc>
                <w:tcPr>
                  <w:tcW w:w="398" w:type="pct"/>
                  <w:tcBorders>
                    <w:tl2br w:val="nil"/>
                    <w:tr2bl w:val="nil"/>
                  </w:tcBorders>
                  <w:vAlign w:val="center"/>
                </w:tcPr>
                <w:p w14:paraId="41666364">
                  <w:pPr>
                    <w:pStyle w:val="30"/>
                    <w:rPr>
                      <w:color w:val="auto"/>
                    </w:rPr>
                  </w:pPr>
                  <w:r>
                    <w:rPr>
                      <w:rFonts w:hint="eastAsia"/>
                      <w:color w:val="auto"/>
                    </w:rPr>
                    <w:t>58.1</w:t>
                  </w:r>
                </w:p>
              </w:tc>
              <w:tc>
                <w:tcPr>
                  <w:tcW w:w="388" w:type="pct"/>
                  <w:tcBorders>
                    <w:tl2br w:val="nil"/>
                    <w:tr2bl w:val="nil"/>
                  </w:tcBorders>
                  <w:vAlign w:val="center"/>
                </w:tcPr>
                <w:p w14:paraId="0FFFBFFC">
                  <w:pPr>
                    <w:pStyle w:val="30"/>
                    <w:rPr>
                      <w:rFonts w:hint="eastAsia" w:eastAsia="宋体"/>
                      <w:color w:val="auto"/>
                      <w:lang w:val="en-US" w:eastAsia="zh-CN"/>
                    </w:rPr>
                  </w:pPr>
                  <w:r>
                    <w:rPr>
                      <w:rFonts w:hint="eastAsia"/>
                      <w:color w:val="auto"/>
                    </w:rPr>
                    <w:t>56.</w:t>
                  </w:r>
                  <w:r>
                    <w:rPr>
                      <w:rFonts w:hint="eastAsia"/>
                      <w:color w:val="auto"/>
                      <w:lang w:val="en-US" w:eastAsia="zh-CN"/>
                    </w:rPr>
                    <w:t>5</w:t>
                  </w:r>
                </w:p>
              </w:tc>
            </w:tr>
          </w:tbl>
          <w:p w14:paraId="59D195E1">
            <w:pPr>
              <w:ind w:left="480" w:leftChars="200" w:firstLine="0" w:firstLineChars="0"/>
              <w:rPr>
                <w:color w:val="auto"/>
              </w:rPr>
            </w:pPr>
          </w:p>
          <w:p w14:paraId="586FB1C0">
            <w:pPr>
              <w:ind w:firstLine="480"/>
              <w:rPr>
                <w:color w:val="auto"/>
              </w:rPr>
            </w:pPr>
            <w:r>
              <w:rPr>
                <w:rFonts w:hint="eastAsia"/>
                <w:color w:val="auto"/>
              </w:rPr>
              <w:t>由上表可知，距铁路专用线外轨中心线30m处振动贡献值为64.</w:t>
            </w:r>
            <w:r>
              <w:rPr>
                <w:rFonts w:hint="eastAsia"/>
                <w:color w:val="auto"/>
                <w:lang w:val="en-US" w:eastAsia="zh-CN"/>
              </w:rPr>
              <w:t>3</w:t>
            </w:r>
            <w:r>
              <w:rPr>
                <w:rFonts w:hint="eastAsia"/>
                <w:color w:val="auto"/>
              </w:rPr>
              <w:t>dB，</w:t>
            </w:r>
            <w:r>
              <w:rPr>
                <w:rFonts w:hint="eastAsia"/>
                <w:color w:val="auto"/>
                <w:lang w:val="en-US" w:eastAsia="zh-CN"/>
              </w:rPr>
              <w:t>本项目评价范围内无敏感点，改建前后对区域环境影响不大。</w:t>
            </w:r>
          </w:p>
          <w:p w14:paraId="50030ADC">
            <w:pPr>
              <w:ind w:firstLine="480"/>
              <w:rPr>
                <w:color w:val="auto"/>
              </w:rPr>
            </w:pPr>
            <w:r>
              <w:rPr>
                <w:rFonts w:hint="eastAsia"/>
                <w:color w:val="auto"/>
              </w:rPr>
              <w:t>6、固体废物影响分析</w:t>
            </w:r>
          </w:p>
          <w:p w14:paraId="1FC47A48">
            <w:pPr>
              <w:ind w:firstLine="480"/>
              <w:rPr>
                <w:color w:val="auto"/>
              </w:rPr>
            </w:pPr>
            <w:r>
              <w:rPr>
                <w:color w:val="auto"/>
              </w:rPr>
              <w:t>本铁路专用线不设置车辆机务段，站场不涉及车辆维修，机车维修由租用的机车车务段承担，因此本项目无机修废物产生。本项目为铁路专用线项目，无旅客列车垃圾及候车旅客垃圾，</w:t>
            </w:r>
            <w:r>
              <w:rPr>
                <w:rFonts w:hint="eastAsia"/>
                <w:color w:val="auto"/>
              </w:rPr>
              <w:t>且本工程运营后无新增工作人员，不新增固体废物。</w:t>
            </w:r>
          </w:p>
        </w:tc>
      </w:tr>
      <w:tr w14:paraId="7CD377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pct"/>
            <w:vAlign w:val="center"/>
          </w:tcPr>
          <w:p w14:paraId="77F56477">
            <w:pPr>
              <w:pStyle w:val="21"/>
              <w:adjustRightInd w:val="0"/>
              <w:snapToGrid w:val="0"/>
              <w:spacing w:before="0" w:beforeAutospacing="0" w:after="0" w:afterAutospacing="0"/>
              <w:ind w:firstLine="0" w:firstLineChars="0"/>
              <w:jc w:val="center"/>
              <w:rPr>
                <w:rFonts w:ascii="Times New Roman" w:hAnsi="Times New Roman"/>
                <w:bCs/>
                <w:kern w:val="2"/>
              </w:rPr>
            </w:pPr>
            <w:r>
              <w:rPr>
                <w:rFonts w:ascii="Times New Roman" w:hAnsi="Times New Roman"/>
                <w:bCs/>
                <w:kern w:val="2"/>
              </w:rPr>
              <w:t>选址选线环境合理性分析</w:t>
            </w:r>
          </w:p>
        </w:tc>
        <w:tc>
          <w:tcPr>
            <w:tcW w:w="4346" w:type="pct"/>
            <w:vAlign w:val="center"/>
          </w:tcPr>
          <w:p w14:paraId="4800320D">
            <w:pPr>
              <w:ind w:firstLine="480"/>
              <w:rPr>
                <w:rFonts w:hint="eastAsia" w:eastAsia="宋体"/>
                <w:color w:val="auto"/>
                <w:lang w:eastAsia="zh-CN"/>
              </w:rPr>
            </w:pPr>
            <w:r>
              <w:rPr>
                <w:rFonts w:hint="eastAsia"/>
                <w:color w:val="auto"/>
              </w:rPr>
              <w:t>本次研究在油库专用线走行线上重新插入17#和19#道岔，分别连通3道和4道。本项目全部在原有铁路用地范围内进行建设</w:t>
            </w:r>
            <w:r>
              <w:rPr>
                <w:rFonts w:hint="eastAsia"/>
                <w:color w:val="auto"/>
                <w:lang w:eastAsia="zh-CN"/>
              </w:rPr>
              <w:t>。</w:t>
            </w:r>
          </w:p>
          <w:p w14:paraId="1C1C180D">
            <w:pPr>
              <w:ind w:firstLine="480"/>
              <w:rPr>
                <w:rFonts w:hint="default" w:eastAsia="宋体"/>
                <w:lang w:val="en-US" w:eastAsia="zh-CN"/>
              </w:rPr>
            </w:pPr>
            <w:r>
              <w:rPr>
                <w:rFonts w:hint="eastAsia"/>
                <w:color w:val="auto"/>
                <w:lang w:val="en-US" w:eastAsia="zh-CN"/>
              </w:rPr>
              <w:t>临时工程选址合理性：</w:t>
            </w:r>
            <w:r>
              <w:rPr>
                <w:rFonts w:hint="eastAsia"/>
                <w:color w:val="auto"/>
              </w:rPr>
              <w:t>本项目不设置取、弃土场、拌合站，本项目临时占地共计19267m</w:t>
            </w:r>
            <w:r>
              <w:rPr>
                <w:rFonts w:hint="eastAsia"/>
                <w:color w:val="auto"/>
                <w:vertAlign w:val="superscript"/>
              </w:rPr>
              <w:t>2</w:t>
            </w:r>
            <w:r>
              <w:rPr>
                <w:rFonts w:hint="eastAsia"/>
                <w:color w:val="auto"/>
              </w:rPr>
              <w:t>，其中施工场地7027m</w:t>
            </w:r>
            <w:r>
              <w:rPr>
                <w:rFonts w:hint="eastAsia"/>
                <w:color w:val="auto"/>
                <w:vertAlign w:val="superscript"/>
              </w:rPr>
              <w:t>2</w:t>
            </w:r>
            <w:r>
              <w:rPr>
                <w:rFonts w:hint="eastAsia"/>
                <w:color w:val="auto"/>
              </w:rPr>
              <w:t>，在专用线一侧设置，占地类型为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；临时堆土场6300m</w:t>
            </w:r>
            <w:r>
              <w:rPr>
                <w:rFonts w:hint="eastAsia"/>
                <w:color w:val="auto"/>
                <w:vertAlign w:val="superscript"/>
              </w:rPr>
              <w:t>2</w:t>
            </w:r>
            <w:r>
              <w:rPr>
                <w:rFonts w:hint="eastAsia"/>
                <w:color w:val="auto"/>
              </w:rPr>
              <w:t>，设在铁路两侧，占地类型为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；临时施工便道5940m</w:t>
            </w:r>
            <w:r>
              <w:rPr>
                <w:rFonts w:hint="eastAsia"/>
                <w:color w:val="auto"/>
                <w:vertAlign w:val="superscript"/>
              </w:rPr>
              <w:t>2</w:t>
            </w:r>
            <w:r>
              <w:rPr>
                <w:rFonts w:hint="eastAsia"/>
                <w:color w:val="auto"/>
              </w:rPr>
              <w:t>，长度850m，占地类型为耕地，施工结束后恢复为耕地。不需要新征土地，无选址问题。</w:t>
            </w:r>
            <w:r>
              <w:rPr>
                <w:rFonts w:hint="eastAsia"/>
                <w:color w:val="auto"/>
                <w:lang w:val="en-US" w:eastAsia="zh-CN"/>
              </w:rPr>
              <w:t>评价范围内不涉及生态红线、自然保护区、风景名胜区等环境敏感点，施工结束后，通过工程、植被等综合防护措施，将有效治理取土场的裸露并恢复景观环境。因此，本项目的取、弃土场选址合理。</w:t>
            </w:r>
          </w:p>
        </w:tc>
      </w:tr>
    </w:tbl>
    <w:p w14:paraId="578BF143">
      <w:pPr>
        <w:pStyle w:val="21"/>
        <w:jc w:val="center"/>
        <w:rPr>
          <w:rFonts w:ascii="Times New Roman" w:hAnsi="Times New Roman" w:eastAsia="黑体"/>
          <w:snapToGrid w:val="0"/>
          <w:sz w:val="36"/>
          <w:szCs w:val="36"/>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2EB37DC5">
      <w:pPr>
        <w:pStyle w:val="21"/>
        <w:adjustRightInd w:val="0"/>
        <w:snapToGrid w:val="0"/>
        <w:spacing w:before="0" w:beforeAutospacing="0" w:after="0" w:afterAutospacing="0" w:line="14" w:lineRule="auto"/>
        <w:ind w:firstLine="600"/>
        <w:jc w:val="center"/>
        <w:rPr>
          <w:rFonts w:ascii="Times New Roman" w:hAnsi="Times New Roman" w:eastAsia="黑体"/>
          <w:snapToGrid w:val="0"/>
          <w:sz w:val="30"/>
          <w:szCs w:val="30"/>
        </w:rPr>
      </w:pPr>
    </w:p>
    <w:p w14:paraId="36ECADA8">
      <w:pPr>
        <w:pStyle w:val="21"/>
        <w:ind w:firstLine="0" w:firstLineChars="0"/>
        <w:jc w:val="center"/>
        <w:outlineLvl w:val="0"/>
        <w:rPr>
          <w:rFonts w:ascii="Times New Roman" w:hAnsi="Times New Roman" w:eastAsia="黑体"/>
          <w:snapToGrid w:val="0"/>
          <w:sz w:val="30"/>
          <w:szCs w:val="30"/>
        </w:rPr>
      </w:pPr>
      <w:bookmarkStart w:id="16" w:name="_Toc4193"/>
      <w:r>
        <w:rPr>
          <w:rFonts w:ascii="Times New Roman" w:hAnsi="Times New Roman" w:eastAsia="黑体"/>
          <w:snapToGrid w:val="0"/>
          <w:sz w:val="30"/>
          <w:szCs w:val="30"/>
        </w:rPr>
        <w:t>五、主要生态环境保护措施</w:t>
      </w:r>
      <w:bookmarkEnd w:id="16"/>
    </w:p>
    <w:tbl>
      <w:tblPr>
        <w:tblStyle w:val="25"/>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23"/>
        <w:gridCol w:w="8087"/>
      </w:tblGrid>
      <w:tr w14:paraId="1ED057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23" w:type="dxa"/>
            <w:tcMar>
              <w:left w:w="28" w:type="dxa"/>
              <w:right w:w="28" w:type="dxa"/>
            </w:tcMar>
            <w:vAlign w:val="center"/>
          </w:tcPr>
          <w:p w14:paraId="30CEDDA0">
            <w:pPr>
              <w:adjustRightInd w:val="0"/>
              <w:snapToGrid w:val="0"/>
              <w:ind w:firstLine="0" w:firstLineChars="0"/>
              <w:jc w:val="center"/>
              <w:rPr>
                <w:bCs/>
              </w:rPr>
            </w:pPr>
            <w:r>
              <w:rPr>
                <w:bCs/>
                <w:spacing w:val="10"/>
              </w:rPr>
              <w:t>施工期生态环境保护措施</w:t>
            </w:r>
          </w:p>
        </w:tc>
        <w:tc>
          <w:tcPr>
            <w:tcW w:w="8087" w:type="dxa"/>
          </w:tcPr>
          <w:p w14:paraId="0B190391">
            <w:pPr>
              <w:ind w:firstLine="482"/>
            </w:pPr>
            <w:r>
              <w:rPr>
                <w:rFonts w:hint="eastAsia"/>
                <w:b/>
                <w:bCs/>
              </w:rPr>
              <w:t>1、施工期生态环境保护措施</w:t>
            </w:r>
          </w:p>
          <w:p w14:paraId="59AA8D3E">
            <w:pPr>
              <w:ind w:firstLine="480"/>
              <w:rPr>
                <w:color w:val="auto"/>
              </w:rPr>
            </w:pPr>
            <w:r>
              <w:rPr>
                <w:rFonts w:hint="eastAsia"/>
                <w:color w:val="auto"/>
              </w:rPr>
              <w:t>1.保护土地的措施</w:t>
            </w:r>
          </w:p>
          <w:p w14:paraId="7EF96CDE">
            <w:pPr>
              <w:ind w:firstLine="480"/>
              <w:rPr>
                <w:color w:val="auto"/>
              </w:rPr>
            </w:pPr>
            <w:r>
              <w:rPr>
                <w:rFonts w:hint="eastAsia"/>
                <w:color w:val="auto"/>
              </w:rPr>
              <w:t>（1）路基开挖产生的弃方尽量移挖作填，用于路基的填筑及桥涵的填料，以减少取土和弃方的数量。建议在下一阶段的设计工作中做好土石方调配，加大利用量，既可减少弃方占地，又可减少取土对原生地表的破坏面积，对生态环境的影响大大降低。</w:t>
            </w:r>
          </w:p>
          <w:p w14:paraId="41D28FB0">
            <w:pPr>
              <w:ind w:firstLine="480"/>
              <w:rPr>
                <w:color w:val="auto"/>
              </w:rPr>
            </w:pPr>
            <w:r>
              <w:rPr>
                <w:rFonts w:hint="eastAsia"/>
                <w:color w:val="auto"/>
              </w:rPr>
              <w:t>（2）工程用土统一规划，集中外购土方。</w:t>
            </w:r>
          </w:p>
          <w:p w14:paraId="45DF2356">
            <w:pPr>
              <w:ind w:firstLine="480"/>
              <w:rPr>
                <w:color w:val="auto"/>
              </w:rPr>
            </w:pPr>
            <w:r>
              <w:rPr>
                <w:rFonts w:hint="eastAsia"/>
                <w:color w:val="auto"/>
              </w:rPr>
              <w:t>（3）临时工程优先考虑永临结合，铺轨基地的设置地点考虑轨料的来源，场地平整的工程量大小，水源、电源、公路运输等条件便利与否，并尽可能减少临时工程。工程施工便道的设置充分考虑到永临结合，寻求与乡间道路、铁路维修道路相结合的利用途径。本项目临时用地均设置在已征用地内，临时工程结束后应进行土地平整恢复原地貌。</w:t>
            </w:r>
          </w:p>
          <w:p w14:paraId="1C5B7043">
            <w:pPr>
              <w:ind w:firstLine="480"/>
              <w:rPr>
                <w:color w:val="auto"/>
              </w:rPr>
            </w:pPr>
            <w:r>
              <w:rPr>
                <w:rFonts w:hint="eastAsia"/>
                <w:color w:val="auto"/>
              </w:rPr>
              <w:t>2.土壤、植被保护措施</w:t>
            </w:r>
          </w:p>
          <w:p w14:paraId="7AEE81E5">
            <w:pPr>
              <w:ind w:firstLine="480"/>
              <w:rPr>
                <w:color w:val="auto"/>
              </w:rPr>
            </w:pPr>
            <w:r>
              <w:rPr>
                <w:rFonts w:hint="eastAsia"/>
                <w:color w:val="auto"/>
              </w:rPr>
              <w:t>（1）施工车辆利用现有地方道路，并严格按设计施工便道走行，避免碾压农作物和地表植被。</w:t>
            </w:r>
          </w:p>
          <w:p w14:paraId="2AFA19F1">
            <w:pPr>
              <w:ind w:firstLine="480"/>
              <w:rPr>
                <w:color w:val="auto"/>
              </w:rPr>
            </w:pPr>
            <w:r>
              <w:rPr>
                <w:rFonts w:hint="eastAsia"/>
                <w:color w:val="auto"/>
              </w:rPr>
              <w:t>（2）施工中应加强管理，保护好施工场地周围的农作物和植被，临时设施应进行整体部署，不得随意修建。</w:t>
            </w:r>
          </w:p>
          <w:p w14:paraId="57C1EDD1">
            <w:pPr>
              <w:ind w:firstLine="480"/>
              <w:rPr>
                <w:color w:val="auto"/>
              </w:rPr>
            </w:pPr>
            <w:r>
              <w:rPr>
                <w:rFonts w:hint="eastAsia"/>
                <w:color w:val="auto"/>
              </w:rPr>
              <w:t>（3）在运输砂、土、灰等容易产生扬尘的建筑材料时，运输车辆应采取撒水或加盖蓬布等措施，防止扬尘的发生；施工道路应加强管理养护，保持路面平整，砂石土路应经常洒水，防止运输扬尘对植被和农作物产生不利影响同时，做好施工便道的排水工作，最大限度的降低水土流失量。</w:t>
            </w:r>
          </w:p>
          <w:p w14:paraId="45CD5EC4">
            <w:pPr>
              <w:ind w:firstLine="480"/>
              <w:rPr>
                <w:color w:val="auto"/>
              </w:rPr>
            </w:pPr>
            <w:r>
              <w:rPr>
                <w:rFonts w:hint="eastAsia"/>
                <w:color w:val="auto"/>
              </w:rPr>
              <w:t>（4）施工道路应加强管理养护，保持路面平整，建设工程施工现场主要道路进行泥结碎石硬化处理。建设工程施工现场应有专人负责保洁工作，配备相应的洒水设备，砂石土路应经常撒水，防止运输扬尘对植被和农作物产生不利影响。</w:t>
            </w:r>
          </w:p>
          <w:p w14:paraId="72B957FF">
            <w:pPr>
              <w:ind w:firstLine="480"/>
              <w:rPr>
                <w:color w:val="auto"/>
              </w:rPr>
            </w:pPr>
            <w:r>
              <w:rPr>
                <w:rFonts w:hint="eastAsia"/>
                <w:color w:val="auto"/>
              </w:rPr>
              <w:t>（5）临时工程结束后由施工单位进行生态恢复。</w:t>
            </w:r>
          </w:p>
          <w:p w14:paraId="62B736B5">
            <w:pPr>
              <w:ind w:firstLine="480"/>
              <w:rPr>
                <w:rFonts w:hint="eastAsia"/>
                <w:color w:val="auto"/>
              </w:rPr>
            </w:pPr>
            <w:r>
              <w:rPr>
                <w:rFonts w:hint="eastAsia"/>
                <w:color w:val="auto"/>
                <w:lang w:val="en-US" w:eastAsia="zh-CN"/>
              </w:rPr>
              <w:t>本项目不设集中取、弃土场，拆除后的混凝土及残土等土石方破碎后部分用于路基填筑及桥涵的填料，拆除专用线道岔的钢筋、钢材部分可回收利用；部分不能回收利用的建筑垃圾去往填埋场。</w:t>
            </w:r>
          </w:p>
          <w:p w14:paraId="231CDC8E">
            <w:pPr>
              <w:ind w:firstLine="480"/>
              <w:rPr>
                <w:color w:val="auto"/>
              </w:rPr>
            </w:pPr>
            <w:r>
              <w:rPr>
                <w:rFonts w:hint="eastAsia"/>
                <w:color w:val="auto"/>
              </w:rPr>
              <w:t>本项目临时占地共计19267m</w:t>
            </w:r>
            <w:r>
              <w:rPr>
                <w:rFonts w:hint="eastAsia"/>
                <w:color w:val="auto"/>
                <w:vertAlign w:val="superscript"/>
              </w:rPr>
              <w:t>2</w:t>
            </w:r>
            <w:r>
              <w:rPr>
                <w:rFonts w:hint="eastAsia"/>
                <w:color w:val="auto"/>
              </w:rPr>
              <w:t>，其中施工场地7027m</w:t>
            </w:r>
            <w:r>
              <w:rPr>
                <w:rFonts w:hint="eastAsia"/>
                <w:color w:val="auto"/>
                <w:vertAlign w:val="superscript"/>
              </w:rPr>
              <w:t>2</w:t>
            </w:r>
            <w:r>
              <w:rPr>
                <w:rFonts w:hint="eastAsia"/>
                <w:color w:val="auto"/>
              </w:rPr>
              <w:t>，在专用线一侧设置，占地类型为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；临时堆土场6300m</w:t>
            </w:r>
            <w:r>
              <w:rPr>
                <w:rFonts w:hint="eastAsia"/>
                <w:color w:val="auto"/>
                <w:vertAlign w:val="superscript"/>
              </w:rPr>
              <w:t>2</w:t>
            </w:r>
            <w:r>
              <w:rPr>
                <w:rFonts w:hint="eastAsia"/>
                <w:color w:val="auto"/>
              </w:rPr>
              <w:t>，设在铁路</w:t>
            </w:r>
            <w:r>
              <w:rPr>
                <w:rFonts w:hint="eastAsia"/>
                <w:color w:val="auto"/>
                <w:lang w:val="en-US" w:eastAsia="zh-CN"/>
              </w:rPr>
              <w:t>一</w:t>
            </w:r>
            <w:r>
              <w:rPr>
                <w:rFonts w:hint="eastAsia"/>
                <w:color w:val="auto"/>
              </w:rPr>
              <w:t>侧，占地类型为</w:t>
            </w:r>
            <w:r>
              <w:rPr>
                <w:rFonts w:hint="eastAsia"/>
                <w:color w:val="auto"/>
                <w:lang w:val="en-US" w:eastAsia="zh-CN"/>
              </w:rPr>
              <w:t>铁路用地</w:t>
            </w:r>
            <w:r>
              <w:rPr>
                <w:rFonts w:hint="eastAsia"/>
                <w:color w:val="auto"/>
              </w:rPr>
              <w:t>，施工结束后恢复为</w:t>
            </w:r>
            <w:r>
              <w:rPr>
                <w:rFonts w:hint="eastAsia"/>
                <w:color w:val="auto"/>
                <w:lang w:val="en-US" w:eastAsia="zh-CN"/>
              </w:rPr>
              <w:t>原地类</w:t>
            </w:r>
            <w:r>
              <w:rPr>
                <w:rFonts w:hint="eastAsia"/>
                <w:color w:val="auto"/>
              </w:rPr>
              <w:t>，确保耕地面积不减少、质量不降低；临时施工便道5940m</w:t>
            </w:r>
            <w:r>
              <w:rPr>
                <w:rFonts w:hint="eastAsia"/>
                <w:color w:val="auto"/>
                <w:vertAlign w:val="superscript"/>
              </w:rPr>
              <w:t>2</w:t>
            </w:r>
            <w:r>
              <w:rPr>
                <w:rFonts w:hint="eastAsia"/>
                <w:color w:val="auto"/>
              </w:rPr>
              <w:t>，长度850m，占地类型为耕地，施工结束后恢复为耕地。</w:t>
            </w:r>
          </w:p>
          <w:p w14:paraId="2545F586">
            <w:pPr>
              <w:ind w:firstLine="480"/>
              <w:rPr>
                <w:color w:val="auto"/>
              </w:rPr>
            </w:pPr>
            <w:r>
              <w:rPr>
                <w:rFonts w:hint="eastAsia"/>
                <w:color w:val="auto"/>
              </w:rPr>
              <w:t>3.绿化措施</w:t>
            </w:r>
          </w:p>
          <w:p w14:paraId="07E8E987">
            <w:pPr>
              <w:ind w:firstLine="480"/>
              <w:rPr>
                <w:color w:val="auto"/>
              </w:rPr>
            </w:pPr>
            <w:r>
              <w:rPr>
                <w:rFonts w:hint="eastAsia"/>
                <w:color w:val="auto"/>
              </w:rPr>
              <w:t>在路基段两侧、路基边坡栽种适宜的灌木及草皮，用于防护边坡和美化改善生态环境。新植树木、草皮应选用适宜当地土壤、气候的材种，并选择适当的季节栽种，以保证其较高的成活率；边坡植物防护绿化应与主体工程同时实施，路基外植树绿化应在主体工程完工以后的适宜季节尽快实施。临时工程使用时加强维护管理，施工结束后，尽量恢复其原有功能。</w:t>
            </w:r>
          </w:p>
          <w:p w14:paraId="0D539D56">
            <w:pPr>
              <w:ind w:firstLine="480"/>
              <w:rPr>
                <w:color w:val="auto"/>
              </w:rPr>
            </w:pPr>
            <w:r>
              <w:rPr>
                <w:rFonts w:hint="eastAsia"/>
                <w:color w:val="auto"/>
              </w:rPr>
              <w:t>4.黑土地保护措施</w:t>
            </w:r>
          </w:p>
          <w:p w14:paraId="5BC7B60C">
            <w:pPr>
              <w:ind w:firstLine="480"/>
              <w:rPr>
                <w:color w:val="auto"/>
              </w:rPr>
            </w:pPr>
            <w:r>
              <w:rPr>
                <w:color w:val="auto"/>
              </w:rPr>
              <w:t>根据《黑龙江省黑土地保护工程方案（2021-2025年）》，《黑龙江省黑土地保护利用条例》（2024年3月1日施行）和《黑龙江省</w:t>
            </w:r>
            <w:r>
              <w:rPr>
                <w:rFonts w:hint="eastAsia" w:ascii="宋体" w:hAnsi="宋体" w:eastAsia="宋体" w:cs="宋体"/>
                <w:color w:val="auto"/>
              </w:rPr>
              <w:t>“十四五”</w:t>
            </w:r>
            <w:r>
              <w:rPr>
                <w:color w:val="auto"/>
              </w:rPr>
              <w:t>黑土地保护规划》中要求，项目对黑土地的保护措施主要如下：</w:t>
            </w:r>
          </w:p>
          <w:p w14:paraId="66BB0FC2">
            <w:pPr>
              <w:ind w:firstLine="480"/>
              <w:rPr>
                <w:color w:val="auto"/>
              </w:rPr>
            </w:pPr>
            <w:r>
              <w:rPr>
                <w:color w:val="auto"/>
              </w:rPr>
              <w:t>（</w:t>
            </w:r>
            <w:r>
              <w:rPr>
                <w:rFonts w:hint="eastAsia"/>
                <w:color w:val="auto"/>
                <w:lang w:val="en-US" w:eastAsia="zh-CN"/>
              </w:rPr>
              <w:t>1</w:t>
            </w:r>
            <w:r>
              <w:rPr>
                <w:color w:val="auto"/>
              </w:rPr>
              <w:t>）临时堆土采用棱台堆放形式，临时堆土堆高3m，坡比1:1。土方堆置期间，对其堆体表面采取撒播草籽或密目网苫盖措施，在临时堆土区四周设置装土编织袋拦挡，并设置临时排水沟。撒播草籽密度80kg/hm</w:t>
            </w:r>
            <w:r>
              <w:rPr>
                <w:color w:val="auto"/>
                <w:vertAlign w:val="superscript"/>
              </w:rPr>
              <w:t>2</w:t>
            </w:r>
            <w:r>
              <w:rPr>
                <w:color w:val="auto"/>
              </w:rPr>
              <w:t>。装土编织袋堆置在堆土区土边缘，防止散土随地表径流流失，编织袋装土断面为矩形，宽0.3m，高0.3m，每延米编织袋填装土工程量为0.09m</w:t>
            </w:r>
            <w:r>
              <w:rPr>
                <w:color w:val="auto"/>
                <w:vertAlign w:val="superscript"/>
              </w:rPr>
              <w:t>3</w:t>
            </w:r>
            <w:r>
              <w:rPr>
                <w:color w:val="auto"/>
              </w:rPr>
              <w:t>。采用土质排水沟进行排水，避免降水对土堆产生侵蚀，土质排水沟采用挖土夯实的方式，排水沟尺寸为下底宽0.3m，高0.3m，顶宽0.9m，沟壁坡比1：1，布设排水沟300m。</w:t>
            </w:r>
          </w:p>
          <w:p w14:paraId="3158769F">
            <w:pPr>
              <w:ind w:firstLine="480"/>
              <w:rPr>
                <w:color w:val="0000FF"/>
              </w:rPr>
            </w:pPr>
            <w:r>
              <w:rPr>
                <w:color w:val="auto"/>
              </w:rPr>
              <w:t>（</w:t>
            </w:r>
            <w:r>
              <w:rPr>
                <w:rFonts w:hint="eastAsia"/>
                <w:color w:val="auto"/>
                <w:lang w:val="en-US" w:eastAsia="zh-CN"/>
              </w:rPr>
              <w:t>2</w:t>
            </w:r>
            <w:r>
              <w:rPr>
                <w:color w:val="auto"/>
              </w:rPr>
              <w:t>）剥离后肥力较高表土层（0～30cm）施工结束后交由地方政府用于新开垦耕地和低质耕地改良、被污染耕地的治理、高标准农田建设、土地复垦等。剥离后肥力较低表土层（30～50cm）的土壤用于本项目绿化用土。</w:t>
            </w:r>
          </w:p>
          <w:p w14:paraId="29CB6FE1">
            <w:pPr>
              <w:ind w:firstLine="482"/>
            </w:pPr>
            <w:r>
              <w:rPr>
                <w:rFonts w:hint="eastAsia"/>
                <w:b/>
                <w:bCs/>
              </w:rPr>
              <w:t>2、施工期大气环境保护措施</w:t>
            </w:r>
          </w:p>
          <w:p w14:paraId="7C8FD477">
            <w:pPr>
              <w:ind w:firstLine="480"/>
            </w:pPr>
            <w:r>
              <w:rPr>
                <w:rFonts w:hint="eastAsia"/>
              </w:rPr>
              <w:t>（1）施工中应强化施工人员的环保意识，加强环境管理，严格执行当地政府和有关部门颁布的环境保护方面的有关规定；</w:t>
            </w:r>
          </w:p>
          <w:p w14:paraId="34D6CF3E">
            <w:pPr>
              <w:ind w:firstLine="480"/>
            </w:pPr>
            <w:r>
              <w:rPr>
                <w:rFonts w:hint="eastAsia"/>
              </w:rPr>
              <w:t>（2）施工现场采用喷水、遮盖、压实等措施；临时堆土采取围挡、防尘网遮盖措施，弃土及时清运，避免二次扬尘。施工现场建立洒水清扫抑尘制度，配备洒水设备。每天洒水不少于2次，并有专人负责；隧道两端防护墙破拆过程中采取洒水抑尘措施，降低粉尘的产生量。</w:t>
            </w:r>
          </w:p>
          <w:p w14:paraId="2FD95AA9">
            <w:pPr>
              <w:ind w:firstLine="480"/>
            </w:pPr>
            <w:r>
              <w:rPr>
                <w:rFonts w:hint="eastAsia"/>
              </w:rPr>
              <w:t>（3）施工期间，装卸和运输渣土、砂石、建筑垃圾等易产生扬尘污染物料的车辆，采用苫盖措施遮盖，避免产生扬尘污染；</w:t>
            </w:r>
          </w:p>
          <w:p w14:paraId="4077D6C4">
            <w:pPr>
              <w:ind w:firstLine="480"/>
            </w:pPr>
            <w:r>
              <w:rPr>
                <w:rFonts w:hint="eastAsia"/>
              </w:rPr>
              <w:t>（4）遇有4级以上大风或重污染天气预警时，必须采取扬尘防治应急措施，应停止土石方挖掘、运输、装卸及其他有可能产生扬尘的作业，建设单位必须加强对建筑垃圾堆放、运输过程的管理，以便最大程度减少扬尘对周围大气环境的影响。</w:t>
            </w:r>
          </w:p>
          <w:p w14:paraId="50770115">
            <w:pPr>
              <w:ind w:firstLine="480"/>
            </w:pPr>
            <w:r>
              <w:rPr>
                <w:rFonts w:hint="eastAsia"/>
              </w:rPr>
              <w:t>（5）施工机械采用符合标准的燃油，减少燃油尾气对大气环境的影响。合理安排物料运输线路，减少车辆往返次数，减少燃油尾气排放量。</w:t>
            </w:r>
          </w:p>
          <w:p w14:paraId="00716158">
            <w:pPr>
              <w:ind w:firstLine="480"/>
            </w:pPr>
            <w:r>
              <w:rPr>
                <w:rFonts w:hint="eastAsia"/>
              </w:rPr>
              <w:t>以上防止扬尘污染措施，技术可行性、经济合理性、运行稳定，可使施工期对周围环境的大气污染降到最小，扬尘浓度贡献值能够低于《大气污染物综合排放标准》（GB16297-1996）规定的颗粒物无组织排放监控浓度限值1.0mg/m</w:t>
            </w:r>
            <w:r>
              <w:rPr>
                <w:rFonts w:hint="eastAsia"/>
                <w:vertAlign w:val="superscript"/>
              </w:rPr>
              <w:t>3</w:t>
            </w:r>
            <w:r>
              <w:rPr>
                <w:rFonts w:hint="eastAsia"/>
              </w:rPr>
              <w:t>，施工场地周边的大气环境质量能够满足《环境空气质量标准》（GB3095-2012）（修改）二级标准要求，可被周围环境所接受。</w:t>
            </w:r>
          </w:p>
          <w:p w14:paraId="18B010DD">
            <w:pPr>
              <w:ind w:firstLine="482"/>
            </w:pPr>
            <w:r>
              <w:rPr>
                <w:rFonts w:hint="eastAsia"/>
                <w:b/>
                <w:bCs/>
              </w:rPr>
              <w:t>3、施工期水环境污染防治措施</w:t>
            </w:r>
          </w:p>
          <w:p w14:paraId="3583A1FD">
            <w:pPr>
              <w:ind w:firstLine="480"/>
            </w:pPr>
            <w:r>
              <w:rPr>
                <w:rFonts w:hint="eastAsia"/>
              </w:rPr>
              <w:t>（1）施工人员生活污水排入租住民房的防渗旱厕，定期清掏外运堆肥利用。</w:t>
            </w:r>
          </w:p>
          <w:p w14:paraId="15EA32A1">
            <w:pPr>
              <w:ind w:firstLine="480"/>
            </w:pPr>
            <w:r>
              <w:rPr>
                <w:rFonts w:hint="eastAsia"/>
              </w:rPr>
              <w:t>（2）施工机械和车辆冲洗过程产生冲洗废水，经设置的沉淀池集中处理后，用于施工场地洒水降尘，不外排。</w:t>
            </w:r>
          </w:p>
          <w:p w14:paraId="54A4FFD6">
            <w:pPr>
              <w:ind w:firstLine="480"/>
            </w:pPr>
            <w:r>
              <w:rPr>
                <w:rFonts w:hint="eastAsia"/>
              </w:rPr>
              <w:t>采取上述措施，本项目施工对地表水体影响较小。</w:t>
            </w:r>
          </w:p>
          <w:p w14:paraId="58F79B2B">
            <w:pPr>
              <w:ind w:firstLine="482"/>
            </w:pPr>
            <w:r>
              <w:rPr>
                <w:rFonts w:hint="eastAsia"/>
                <w:b/>
                <w:bCs/>
              </w:rPr>
              <w:t>4、施工期声环境保护措施</w:t>
            </w:r>
          </w:p>
          <w:p w14:paraId="2E08A613">
            <w:pPr>
              <w:ind w:firstLine="480"/>
            </w:pPr>
            <w:r>
              <w:rPr>
                <w:rFonts w:hint="eastAsia"/>
              </w:rPr>
              <w:t>施工期噪声控制可从声源、传播途径、接受者防护、以及控制施工时间等方面来考虑。</w:t>
            </w:r>
          </w:p>
          <w:p w14:paraId="1CD7FE7F">
            <w:pPr>
              <w:ind w:firstLine="480"/>
            </w:pPr>
            <w:r>
              <w:rPr>
                <w:rFonts w:hint="eastAsia"/>
              </w:rPr>
              <w:t>（1）优先选用噪声影响小的施工机械设备；</w:t>
            </w:r>
          </w:p>
          <w:p w14:paraId="254B0E94">
            <w:pPr>
              <w:ind w:firstLine="480"/>
            </w:pPr>
            <w:r>
              <w:rPr>
                <w:rFonts w:hint="eastAsia"/>
              </w:rPr>
              <w:t>（2）合理布局，制定施工计划时，应尽可能避免高噪声设备同时使用，临近居民区时夜间（22:00-6:00）不施工。</w:t>
            </w:r>
          </w:p>
          <w:p w14:paraId="4B7AFF55">
            <w:pPr>
              <w:ind w:firstLine="480"/>
            </w:pPr>
            <w:r>
              <w:rPr>
                <w:rFonts w:hint="eastAsia"/>
              </w:rPr>
              <w:t>（3）物料运输车辆通过村镇时尽量避开居民休息时间，须控制车辆行车速度并尽量保持匀速行驶，不鸣笛或少鸣笛，夜间（22:00-6:00）不进行运输作业。</w:t>
            </w:r>
          </w:p>
          <w:p w14:paraId="48A2493A">
            <w:pPr>
              <w:ind w:firstLine="480"/>
            </w:pPr>
            <w:r>
              <w:rPr>
                <w:rFonts w:hint="eastAsia"/>
              </w:rPr>
              <w:t>采取上述措施后，本项目物料运输对沿线声环境影响可以得到控制。施工场界噪声排放能够满足《建筑施工场界环境噪声排放标准》（GB12523-2011），昼间70dB(A)、夜间55dB(A)的要求，治理措施可行。</w:t>
            </w:r>
          </w:p>
          <w:p w14:paraId="14E01EC0">
            <w:pPr>
              <w:ind w:firstLine="482"/>
            </w:pPr>
            <w:r>
              <w:rPr>
                <w:rFonts w:hint="eastAsia"/>
                <w:b/>
                <w:bCs/>
              </w:rPr>
              <w:t>5、施工期固体废物污染防治措施</w:t>
            </w:r>
          </w:p>
          <w:p w14:paraId="750855B5">
            <w:pPr>
              <w:ind w:firstLine="480"/>
            </w:pPr>
            <w:r>
              <w:rPr>
                <w:rFonts w:hint="eastAsia"/>
              </w:rPr>
              <w:t>（1）施工现场和施工便道上撒落的泥土应及时清除，避免产生扬尘导致二 次污染；</w:t>
            </w:r>
          </w:p>
          <w:p w14:paraId="5BCCF62A">
            <w:pPr>
              <w:ind w:firstLine="480"/>
            </w:pPr>
            <w:r>
              <w:rPr>
                <w:rFonts w:hint="eastAsia"/>
              </w:rPr>
              <w:t>（2）对施工产生的建筑垃圾、工程弃土和砂石废料及时进行清理，做到随产随清，贯彻清洁生产的思想。</w:t>
            </w:r>
          </w:p>
          <w:p w14:paraId="610C9B5F">
            <w:pPr>
              <w:ind w:firstLine="480"/>
            </w:pPr>
            <w:r>
              <w:rPr>
                <w:rFonts w:hint="eastAsia"/>
              </w:rPr>
              <w:t>（3）施工人员生活垃圾必须集中堆放，及时清运，严禁乱扔乱弃，污染环境。根据租用民房分布情况，设置若干垃圾桶，由施工单位安排专人负责施工人员生活垃圾的清扫工作，并配套必要的清扫工具。垃圾清运可委托当地环卫部门进行，由环卫部门定期清运至城市垃圾处理场进行处理。</w:t>
            </w:r>
          </w:p>
          <w:p w14:paraId="3BB17DDA">
            <w:pPr>
              <w:ind w:firstLine="482"/>
            </w:pPr>
            <w:r>
              <w:rPr>
                <w:rFonts w:hint="eastAsia"/>
                <w:b/>
                <w:bCs/>
              </w:rPr>
              <w:t>6、水土保持方案</w:t>
            </w:r>
          </w:p>
          <w:p w14:paraId="2335F514">
            <w:pPr>
              <w:ind w:firstLine="480"/>
            </w:pPr>
            <w:r>
              <w:rPr>
                <w:rFonts w:hint="eastAsia"/>
              </w:rPr>
              <w:t>（1）工程施工中要做好土石方平衡工作，土石方移挖作填土回填利用。加强施工管理，加强对工人关于水土保持的教育，暴雨和大风天气时不进行土石方工程施工。</w:t>
            </w:r>
          </w:p>
          <w:p w14:paraId="6807D4C8">
            <w:pPr>
              <w:ind w:firstLine="480"/>
            </w:pPr>
            <w:r>
              <w:rPr>
                <w:rFonts w:hint="eastAsia"/>
              </w:rPr>
              <w:t>（2）开挖裸露面要有防治措施，尽量缩短暴露时间，减少水土流失。</w:t>
            </w:r>
          </w:p>
          <w:p w14:paraId="0F7AF8AA">
            <w:pPr>
              <w:ind w:firstLine="480"/>
            </w:pPr>
            <w:r>
              <w:rPr>
                <w:rFonts w:hint="eastAsia"/>
              </w:rPr>
              <w:t>（3）土石方的临时堆场周边应挖好排水沟，堆土的边坡要小，尽量压实，并采取土袋护脚、草袋护坡等措施使其不易被雨水冲刷造成水土流失。</w:t>
            </w:r>
          </w:p>
          <w:p w14:paraId="7BA25CD5">
            <w:pPr>
              <w:ind w:firstLine="480"/>
            </w:pPr>
            <w:r>
              <w:rPr>
                <w:rFonts w:hint="eastAsia"/>
              </w:rPr>
              <w:t>（4）施工结束后，临时占地采取措施，恢复原地类裸露地面撒当地适宜草籽绿化。</w:t>
            </w:r>
          </w:p>
        </w:tc>
      </w:tr>
      <w:tr w14:paraId="438C5A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123" w:type="dxa"/>
            <w:tcMar>
              <w:left w:w="28" w:type="dxa"/>
              <w:right w:w="28" w:type="dxa"/>
            </w:tcMar>
            <w:vAlign w:val="center"/>
          </w:tcPr>
          <w:p w14:paraId="39C2809E">
            <w:pPr>
              <w:adjustRightInd w:val="0"/>
              <w:snapToGrid w:val="0"/>
              <w:ind w:firstLine="0" w:firstLineChars="0"/>
              <w:jc w:val="center"/>
              <w:rPr>
                <w:bCs/>
                <w:spacing w:val="10"/>
              </w:rPr>
            </w:pPr>
            <w:r>
              <w:rPr>
                <w:bCs/>
                <w:spacing w:val="10"/>
              </w:rPr>
              <w:t>运营期生态环境保护措施</w:t>
            </w:r>
          </w:p>
        </w:tc>
        <w:tc>
          <w:tcPr>
            <w:tcW w:w="8087" w:type="dxa"/>
          </w:tcPr>
          <w:p w14:paraId="75CD0583">
            <w:pPr>
              <w:ind w:firstLine="482"/>
            </w:pPr>
            <w:r>
              <w:rPr>
                <w:b/>
                <w:bCs/>
              </w:rPr>
              <w:t>1、生态防护措施</w:t>
            </w:r>
          </w:p>
          <w:p w14:paraId="555963CE">
            <w:pPr>
              <w:ind w:firstLine="480"/>
            </w:pPr>
            <w:r>
              <w:t>（1）植被恢复</w:t>
            </w:r>
          </w:p>
          <w:p w14:paraId="6156C15B">
            <w:pPr>
              <w:ind w:firstLine="480"/>
            </w:pPr>
            <w:r>
              <w:t>永久占地区应及时恢复植被，优先考虑使用本地物种，避免使用外来物种，禁止使用外来入侵物种；并加强对绿化植物的管理和养护。</w:t>
            </w:r>
          </w:p>
          <w:p w14:paraId="5844B2FF">
            <w:pPr>
              <w:ind w:firstLine="480"/>
            </w:pPr>
            <w:r>
              <w:t>（2）强化铁路沿线固体废弃物污染治理的监督工作，要求运输含尘物料的列车加盖篷布。</w:t>
            </w:r>
          </w:p>
          <w:p w14:paraId="5E93D2E7">
            <w:pPr>
              <w:ind w:firstLine="480"/>
            </w:pPr>
            <w:r>
              <w:t>（3）工程施工结束后，首先要及时拆除临时建筑及设施，清理场地，深翻被压实土地，削平地表、平整土地，将剥离的表土回填。</w:t>
            </w:r>
          </w:p>
          <w:p w14:paraId="680EC1D4">
            <w:pPr>
              <w:ind w:firstLine="480"/>
            </w:pPr>
            <w:r>
              <w:t>（4）铁路绿色通道建设</w:t>
            </w:r>
          </w:p>
          <w:p w14:paraId="192EE106">
            <w:pPr>
              <w:ind w:firstLine="480"/>
            </w:pPr>
            <w:r>
              <w:t>根据《关于调整在建及新建铁路绿色通道设计有关问题的通知》(铁建函[2007]544号)要求，为尽可能降低铁路工程对生态的破坏及生物量损失，美化景观，设计在路基两侧征地界内植树种草，采取乔、灌、草相结合,进行绿色通道建设。</w:t>
            </w:r>
          </w:p>
          <w:p w14:paraId="367B5216">
            <w:pPr>
              <w:ind w:firstLine="480"/>
            </w:pPr>
            <w:r>
              <w:t>铁路绿色通道建设坚持景观效果、生态、经济、社会效益并重的原则，坚持因地制宜、适地适树、适地适草、经济适用、景观协调、易于管护的原则。</w:t>
            </w:r>
          </w:p>
          <w:p w14:paraId="3408E498">
            <w:pPr>
              <w:ind w:firstLine="482"/>
            </w:pPr>
            <w:r>
              <w:rPr>
                <w:b/>
                <w:bCs/>
              </w:rPr>
              <w:t>2、水土流失措施</w:t>
            </w:r>
          </w:p>
          <w:p w14:paraId="54366373">
            <w:pPr>
              <w:ind w:firstLine="480"/>
            </w:pPr>
            <w:r>
              <w:t>（1）本项目水土流失防治的基本目标是：</w:t>
            </w:r>
          </w:p>
          <w:p w14:paraId="45921083">
            <w:pPr>
              <w:ind w:firstLine="480"/>
            </w:pPr>
            <w:r>
              <w:t>1）项目建设区内的原有水土流失得到基本治理；</w:t>
            </w:r>
          </w:p>
          <w:p w14:paraId="0F905459">
            <w:pPr>
              <w:ind w:firstLine="480"/>
            </w:pPr>
            <w:r>
              <w:t>2）新增水土流失得到有效控制；</w:t>
            </w:r>
          </w:p>
          <w:p w14:paraId="2F009D3F">
            <w:pPr>
              <w:ind w:firstLine="480"/>
            </w:pPr>
            <w:r>
              <w:t>3）防治责任范围内的生态得到最大限度的保护，环境得到明显的改变；</w:t>
            </w:r>
          </w:p>
          <w:p w14:paraId="459D353B">
            <w:pPr>
              <w:ind w:firstLine="480"/>
            </w:pPr>
            <w:r>
              <w:t>4）各类水土保持设施安全有效。</w:t>
            </w:r>
          </w:p>
          <w:p w14:paraId="3B0FECE1">
            <w:pPr>
              <w:ind w:firstLine="480"/>
            </w:pPr>
            <w:r>
              <w:t>根据《黑龙江省水土保持规划（2015-2030年）》，项目区属于省级水土流失重点治理区，水土流失防治执行建设类二级标准。多年平均降水量517.6mm，在基准区域（多年平均降水量400~600mm）内，故水土流失总治理度、林草植被恢复率、林草覆盖率不做调整，项目区侵蚀强度为轻度，因此土壤流失控制比调整为1.0。</w:t>
            </w:r>
          </w:p>
          <w:p w14:paraId="6CFF4269">
            <w:pPr>
              <w:ind w:firstLine="480"/>
            </w:pPr>
            <w:r>
              <w:t>（2）水土流失防治措施布设原则</w:t>
            </w:r>
          </w:p>
          <w:p w14:paraId="17A3ABB6">
            <w:pPr>
              <w:ind w:firstLine="480"/>
            </w:pPr>
            <w:r>
              <w:t>按照《开发建设项目水土保持技术规范》的要求，结合工程建设水土流失预测的情况，考虑主体工程具有水土保持功能的设计，针对工程施工期间的人为活动对各施工区原生地貌的破坏程度，以及受地形和环境因素的影响产生水土流失的程度和形式，因地制宜，因害设防布设相适应的防治措施。</w:t>
            </w:r>
          </w:p>
          <w:p w14:paraId="7CFF1871">
            <w:pPr>
              <w:ind w:firstLine="480"/>
            </w:pPr>
            <w:r>
              <w:t>（3）水土流失防治措施体系和总体布局</w:t>
            </w:r>
          </w:p>
          <w:p w14:paraId="61599126">
            <w:pPr>
              <w:ind w:firstLine="480"/>
            </w:pPr>
            <w:r>
              <w:t>工程主要设计为路基砂石料换填以及路肩排水沟，为了达到保持水土的目的，结合工程施工实际和现状情况，方案新增临时措施，施工期间对裸露地表苫盖密目网，防治因建设扰动地表而造成的水土流失。</w:t>
            </w:r>
          </w:p>
          <w:p w14:paraId="44224070">
            <w:pPr>
              <w:ind w:firstLine="480"/>
            </w:pPr>
            <w:r>
              <w:t>（4）措施量及工程量</w:t>
            </w:r>
          </w:p>
          <w:p w14:paraId="710ED629">
            <w:pPr>
              <w:ind w:firstLine="480"/>
            </w:pPr>
            <w:r>
              <w:t>按照水土流失防治分区，方案新增措施布设情况如下：</w:t>
            </w:r>
          </w:p>
          <w:p w14:paraId="613ADC0D">
            <w:pPr>
              <w:ind w:firstLine="480"/>
            </w:pPr>
            <w:r>
              <w:t>1）铁路路基防治区</w:t>
            </w:r>
          </w:p>
          <w:p w14:paraId="2A18D3FD">
            <w:pPr>
              <w:ind w:firstLine="480"/>
            </w:pPr>
            <w:r>
              <w:t>铁路施工期间，由于换填工程，导致地基部分裸露，为防治水土流失临时苫盖密目网，施工结束后拆除密目网。</w:t>
            </w:r>
          </w:p>
          <w:p w14:paraId="15894EA7">
            <w:pPr>
              <w:ind w:firstLine="480"/>
            </w:pPr>
            <w:r>
              <w:t>2）临时道路防治区</w:t>
            </w:r>
          </w:p>
          <w:p w14:paraId="4F9B29EB">
            <w:pPr>
              <w:ind w:firstLine="480"/>
            </w:pPr>
            <w:r>
              <w:t>临时道路主要借用原有铁路和农机道路，不造成新的水土流失，因此无需上措施。</w:t>
            </w:r>
          </w:p>
          <w:p w14:paraId="0EA400A1">
            <w:pPr>
              <w:ind w:firstLine="480"/>
            </w:pPr>
            <w:r>
              <w:t>3）临时施工生产生活区</w:t>
            </w:r>
          </w:p>
          <w:p w14:paraId="44B8D550">
            <w:pPr>
              <w:ind w:firstLine="480"/>
            </w:pPr>
            <w:r>
              <w:t>临时施工生产区布设在原有铁路运输用地，地表为碎石路面，无表土落地，生活区布设在现有村屯内，因此不会造成新的水土流失，同样无需上措施。</w:t>
            </w:r>
          </w:p>
          <w:p w14:paraId="01DC3A14">
            <w:pPr>
              <w:ind w:firstLine="482"/>
            </w:pPr>
            <w:r>
              <w:rPr>
                <w:rFonts w:hint="eastAsia"/>
                <w:b/>
                <w:bCs/>
              </w:rPr>
              <w:t>3、地表水环境影响保护措施</w:t>
            </w:r>
          </w:p>
          <w:p w14:paraId="78ACC6D6">
            <w:pPr>
              <w:ind w:firstLine="480"/>
            </w:pPr>
            <w:r>
              <w:t>根据《环境影响评价技术导则—地表水环境》(HJ2.3-2018)，本工程的污水来源主要是站场工作人员生活污水，但本项目不设置站场和工作人员，均依托</w:t>
            </w:r>
            <w:r>
              <w:rPr>
                <w:rFonts w:hint="eastAsia"/>
              </w:rPr>
              <w:t>福利屯</w:t>
            </w:r>
            <w:r>
              <w:t>站现有站场和人员，所以本项目不涉及废水排放。</w:t>
            </w:r>
          </w:p>
          <w:p w14:paraId="1754FB14">
            <w:pPr>
              <w:ind w:firstLine="482"/>
              <w:rPr>
                <w:color w:val="auto"/>
              </w:rPr>
            </w:pPr>
            <w:r>
              <w:rPr>
                <w:rFonts w:hint="eastAsia"/>
                <w:b/>
                <w:bCs/>
                <w:color w:val="auto"/>
              </w:rPr>
              <w:t>4、声环境影响保护措施</w:t>
            </w:r>
          </w:p>
          <w:p w14:paraId="3230F812">
            <w:pPr>
              <w:ind w:firstLine="480"/>
              <w:rPr>
                <w:color w:val="auto"/>
              </w:rPr>
            </w:pPr>
            <w:r>
              <w:rPr>
                <w:rFonts w:hint="eastAsia"/>
                <w:color w:val="auto"/>
              </w:rPr>
              <w:t>由预测结果可知：本项目涉及的敏感点福利屯近、远期昼间噪声预测值均满足《声环境质量标准》（GB3096-2008）中的2类标准。</w:t>
            </w:r>
          </w:p>
          <w:p w14:paraId="1BA9A129">
            <w:pPr>
              <w:ind w:firstLine="480"/>
              <w:rPr>
                <w:color w:val="auto"/>
              </w:rPr>
            </w:pPr>
            <w:r>
              <w:rPr>
                <w:rFonts w:hint="eastAsia"/>
                <w:color w:val="auto"/>
              </w:rPr>
              <w:t>为进一步降低铁路噪声的影响，评价建议采取以下几方面措施进步降低铁路噪声对环境的影响：</w:t>
            </w:r>
          </w:p>
          <w:p w14:paraId="55985478">
            <w:pPr>
              <w:ind w:firstLine="480"/>
              <w:rPr>
                <w:color w:val="auto"/>
              </w:rPr>
            </w:pPr>
            <w:r>
              <w:rPr>
                <w:rFonts w:hint="eastAsia"/>
                <w:color w:val="auto"/>
              </w:rPr>
              <w:t>（1）合理规划布局</w:t>
            </w:r>
          </w:p>
          <w:p w14:paraId="4FED70BC">
            <w:pPr>
              <w:ind w:firstLine="480"/>
              <w:rPr>
                <w:color w:val="auto"/>
              </w:rPr>
            </w:pPr>
            <w:r>
              <w:rPr>
                <w:rFonts w:hint="eastAsia"/>
                <w:color w:val="auto"/>
              </w:rPr>
              <w:t>合理规划及建筑布局，控制铁路两侧用地，建议沿线地方土地行政主管部门合理规划铁路沿线的土地利用规划。规划部门制定规划时，严禁在距铁路外轨中心线30m以内建设居民住宅、学校和医院等噪声敏感建筑物，同时，应加强建筑布局和隔声设计，保证敏感建筑室内声环境能满足使用功能要求。</w:t>
            </w:r>
          </w:p>
          <w:p w14:paraId="630AC0C6">
            <w:pPr>
              <w:ind w:firstLine="480"/>
              <w:rPr>
                <w:color w:val="auto"/>
              </w:rPr>
            </w:pPr>
            <w:r>
              <w:rPr>
                <w:rFonts w:hint="eastAsia"/>
                <w:color w:val="auto"/>
              </w:rPr>
              <w:t>（2）加强铁路管理，从源强上控制噪声</w:t>
            </w:r>
          </w:p>
          <w:p w14:paraId="2E925C06">
            <w:pPr>
              <w:ind w:firstLine="480"/>
              <w:rPr>
                <w:color w:val="auto"/>
              </w:rPr>
            </w:pPr>
            <w:r>
              <w:rPr>
                <w:rFonts w:hint="eastAsia"/>
                <w:color w:val="auto"/>
              </w:rPr>
              <w:t>运营单位加强管理和保养，定期进行轨道打磨和旋轮等，使铁路在较佳的线路条件下运行，控制车速，匀速行驶。随着先进的科学技术逐步应用到铁路轨道、机车车辆制造上，铁路列车轮轨噪声、机车车体噪声均呈现出进一步减小的趋势，建议在车辆选型上优先考虑低噪声环保型车辆，且在受铁路噪声影响的敏感路段采用弹性轨枕等措施进行综合减振降噪。</w:t>
            </w:r>
          </w:p>
          <w:p w14:paraId="3FE121D4">
            <w:pPr>
              <w:ind w:firstLine="480"/>
              <w:rPr>
                <w:color w:val="auto"/>
              </w:rPr>
            </w:pPr>
            <w:r>
              <w:rPr>
                <w:rFonts w:hint="eastAsia"/>
                <w:color w:val="auto"/>
              </w:rPr>
              <w:t>（3）加强机车鸣笛噪声控制</w:t>
            </w:r>
          </w:p>
          <w:p w14:paraId="3ADB9F14">
            <w:pPr>
              <w:ind w:firstLine="480"/>
              <w:rPr>
                <w:color w:val="auto"/>
              </w:rPr>
            </w:pPr>
            <w:r>
              <w:rPr>
                <w:rFonts w:hint="eastAsia"/>
                <w:color w:val="auto"/>
              </w:rPr>
              <w:t>铁路噪声源中，机车鸣笛是重要的干扰源。控制随机鸣笛噪声对改善车站附近的声环境具有十分积极有效的作用。评价建议铁路部应根据实际情况控制随机鸣笛，并加强机乘人员环保意识。提高铁路装备技术含量，随着先进的科学技术逐步应用到铁路轨道、机车车辆制造上，铁路列车轮轨噪声、机车车体噪声将呈现出进一步减小的趋势。</w:t>
            </w:r>
          </w:p>
          <w:p w14:paraId="16728CAC">
            <w:pPr>
              <w:ind w:firstLine="480"/>
              <w:rPr>
                <w:color w:val="auto"/>
              </w:rPr>
            </w:pPr>
            <w:r>
              <w:rPr>
                <w:rFonts w:hint="eastAsia"/>
                <w:color w:val="auto"/>
              </w:rPr>
              <w:t>（4）建立铁路线路安全保护区</w:t>
            </w:r>
          </w:p>
          <w:p w14:paraId="438B641F">
            <w:pPr>
              <w:ind w:firstLine="480"/>
              <w:rPr>
                <w:color w:val="auto"/>
              </w:rPr>
            </w:pPr>
            <w:r>
              <w:rPr>
                <w:rFonts w:hint="eastAsia"/>
                <w:color w:val="auto"/>
              </w:rPr>
              <w:t>《铁路运输安全保护条例》（国务院第430号令）第十条规定“铁路线路两侧应当设立铁路线路安全保护区。铁路线路安全保护区的范围，从铁路线路路堤坡脚、路堑坡顶或者铁路桥梁外侧起向外的距离分别为：（一）城市市区，不少于8米；（二）城市郊区居民居住区，不少于10米；（三）村镇居民居住区，不少于12米；（四）其它地区，不少于15米”。第十一条规定“在铁路线路安全保护区内，除必要的铁路施工、作业、抢险活动外，任何单位和个人不得实施下列行为：（一）建造建筑物、构筑物；（二）取土、挖砂、挖沟；（三）采空作业；（四）堆放、悬挂物品”。第十二条规定“铁路线路安全保护区内已有的建筑物、构筑物，危及铁路运输安全的，由国务院铁路主管部门及铁路管理机构或者县级以上地方人民政府责令采取必要的安全防护措施。对采取安全防护措施后仍不能满足安全要求的，应当按照国家有关规定限期拆除。拆除铁路线路安全保护区内的建筑物、构筑物的，应当依法给予合理补偿。但是，拆除非法建设的建筑物、构筑物的除外。”建议铁路专用线在建成后，尽快建立改建铁路的线路安全保护区，控制铁路两侧的建设。</w:t>
            </w:r>
          </w:p>
          <w:p w14:paraId="558CD798">
            <w:pPr>
              <w:ind w:firstLine="482"/>
              <w:rPr>
                <w:color w:val="auto"/>
              </w:rPr>
            </w:pPr>
            <w:r>
              <w:rPr>
                <w:rFonts w:hint="eastAsia"/>
                <w:b/>
                <w:bCs/>
                <w:color w:val="auto"/>
              </w:rPr>
              <w:t>5、振动污染防治措施</w:t>
            </w:r>
          </w:p>
          <w:p w14:paraId="1737D65C">
            <w:pPr>
              <w:ind w:firstLine="480"/>
              <w:rPr>
                <w:color w:val="auto"/>
              </w:rPr>
            </w:pPr>
            <w:r>
              <w:rPr>
                <w:color w:val="auto"/>
              </w:rPr>
              <w:t>为了减轻铁路振动对周围地面和建筑物的干扰程度，结合预测评价与分析结果，本着技术可行、经济合理的原则，拟从以下几方面提出振动防护措施和建议。</w:t>
            </w:r>
          </w:p>
          <w:p w14:paraId="54274FBA">
            <w:pPr>
              <w:ind w:firstLine="480"/>
              <w:rPr>
                <w:color w:val="auto"/>
              </w:rPr>
            </w:pPr>
            <w:r>
              <w:rPr>
                <w:rFonts w:hint="eastAsia"/>
                <w:color w:val="auto"/>
              </w:rPr>
              <w:t>（1）设计、施工改进措施</w:t>
            </w:r>
          </w:p>
          <w:p w14:paraId="032A7747">
            <w:pPr>
              <w:ind w:firstLine="480"/>
              <w:rPr>
                <w:color w:val="auto"/>
              </w:rPr>
            </w:pPr>
            <w:r>
              <w:rPr>
                <w:color w:val="auto"/>
              </w:rPr>
              <w:fldChar w:fldCharType="begin"/>
            </w:r>
            <w:r>
              <w:rPr>
                <w:color w:val="auto"/>
              </w:rPr>
              <w:instrText xml:space="preserve"> = 1 \* GB3 </w:instrText>
            </w:r>
            <w:r>
              <w:rPr>
                <w:color w:val="auto"/>
              </w:rPr>
              <w:fldChar w:fldCharType="separate"/>
            </w:r>
            <w:r>
              <w:rPr>
                <w:color w:val="auto"/>
              </w:rPr>
              <w:t>①</w:t>
            </w:r>
            <w:r>
              <w:rPr>
                <w:color w:val="auto"/>
              </w:rPr>
              <w:fldChar w:fldCharType="end"/>
            </w:r>
            <w:r>
              <w:rPr>
                <w:color w:val="auto"/>
              </w:rPr>
              <w:t>选用减振扣件</w:t>
            </w:r>
          </w:p>
          <w:p w14:paraId="0F2E9711">
            <w:pPr>
              <w:ind w:firstLine="480"/>
              <w:rPr>
                <w:color w:val="auto"/>
              </w:rPr>
            </w:pPr>
            <w:r>
              <w:rPr>
                <w:color w:val="auto"/>
              </w:rPr>
              <w:t>减振扣件包括轨道减振器扣件和柔性扣件，轨道减振扣件的垂直刚度较低，而且不过度牺牲钢轨的横向稳定性，对于有碴轨道，其减振水平为10～15dB，当振动频率较高时可减振25dB。</w:t>
            </w:r>
          </w:p>
          <w:p w14:paraId="09662A78">
            <w:pPr>
              <w:ind w:firstLine="480"/>
              <w:rPr>
                <w:color w:val="auto"/>
              </w:rPr>
            </w:pPr>
            <w:r>
              <w:rPr>
                <w:color w:val="auto"/>
              </w:rPr>
              <w:fldChar w:fldCharType="begin"/>
            </w:r>
            <w:r>
              <w:rPr>
                <w:color w:val="auto"/>
              </w:rPr>
              <w:instrText xml:space="preserve"> = 2 \* GB3 </w:instrText>
            </w:r>
            <w:r>
              <w:rPr>
                <w:color w:val="auto"/>
              </w:rPr>
              <w:fldChar w:fldCharType="separate"/>
            </w:r>
            <w:r>
              <w:rPr>
                <w:color w:val="auto"/>
              </w:rPr>
              <w:t>②</w:t>
            </w:r>
            <w:r>
              <w:rPr>
                <w:color w:val="auto"/>
              </w:rPr>
              <w:fldChar w:fldCharType="end"/>
            </w:r>
            <w:r>
              <w:rPr>
                <w:color w:val="auto"/>
              </w:rPr>
              <w:t>增加轨道弹性</w:t>
            </w:r>
          </w:p>
          <w:p w14:paraId="2F77E60E">
            <w:pPr>
              <w:ind w:firstLine="480"/>
              <w:rPr>
                <w:color w:val="auto"/>
              </w:rPr>
            </w:pPr>
            <w:r>
              <w:rPr>
                <w:color w:val="auto"/>
              </w:rPr>
              <w:t>降低轨道刚度增加弹性是将软性材料垫入轨道下，使轨道(作为整体)的支撑刚度降低，达到减振的目的。在采取以上措施后可有效降低铁路振动对区域环境及铁路两侧建筑的影响，能够保证专用线两侧敏感点振动达到《城市区域环境振动标准》（GB10070-88）中相应标准的要求，但为保证措施的长期有效性，建设单位应加强轮轨的维护和保养，定期镟轮和打磨钢轨，捣固道砟，保持线路处于良好的运行状态，减少附加振动。</w:t>
            </w:r>
          </w:p>
          <w:p w14:paraId="25C18439">
            <w:pPr>
              <w:ind w:firstLine="480"/>
              <w:rPr>
                <w:color w:val="auto"/>
              </w:rPr>
            </w:pPr>
            <w:r>
              <w:rPr>
                <w:rFonts w:hint="eastAsia"/>
                <w:color w:val="auto"/>
              </w:rPr>
              <w:t>③选用轻量化车体</w:t>
            </w:r>
          </w:p>
          <w:p w14:paraId="0BFA5015">
            <w:pPr>
              <w:ind w:firstLine="480"/>
              <w:rPr>
                <w:color w:val="auto"/>
              </w:rPr>
            </w:pPr>
            <w:r>
              <w:rPr>
                <w:color w:val="auto"/>
              </w:rPr>
              <w:t>车辆作为振动最直接的根源，针对车辆采取减振措施，其减振效果可涉及铁路整个运营区段，与地面减振措施相比更为有效、实用。从控制轨道振动的角度来说，车辆轻量化以减小车辆本身的激振力被认为是减轻铁路振动的主要对策，减轻车辆的轴重、簧下质量，改善转向架性能，改良轮对踏面耐磨性能可有效降低沿线振动。</w:t>
            </w:r>
          </w:p>
          <w:p w14:paraId="1CDEF326">
            <w:pPr>
              <w:ind w:firstLine="480"/>
              <w:rPr>
                <w:color w:val="auto"/>
              </w:rPr>
            </w:pPr>
            <w:r>
              <w:rPr>
                <w:rFonts w:hint="eastAsia"/>
                <w:color w:val="auto"/>
              </w:rPr>
              <w:t>④安装阻尼钢轨减振器</w:t>
            </w:r>
          </w:p>
          <w:p w14:paraId="3022B127">
            <w:pPr>
              <w:ind w:firstLine="480"/>
              <w:rPr>
                <w:color w:val="auto"/>
              </w:rPr>
            </w:pPr>
            <w:r>
              <w:rPr>
                <w:rFonts w:hint="eastAsia"/>
                <w:color w:val="auto"/>
              </w:rPr>
              <w:t>当列车通过钢轨顶面时，由于钢轨腰板的厚度较薄，轨腰产生振动。为了最大限度地减小钢轨腹板振动，可采用约束型复合高阻尼钢轨减振器镶嵌在钢轨轨腰来降低轮轨振动。采用钢轨阻尼技术可以使钢轨振动减弱，高频段振幅可衰减15dBA以上，而且投资省，同时，还有利于减轻钢轨的疲劳损伤，减轻工务部门的维修工作量。</w:t>
            </w:r>
          </w:p>
          <w:p w14:paraId="3DF2EF6C">
            <w:pPr>
              <w:ind w:firstLine="480"/>
              <w:rPr>
                <w:color w:val="auto"/>
              </w:rPr>
            </w:pPr>
            <w:r>
              <w:rPr>
                <w:rFonts w:hint="eastAsia"/>
                <w:color w:val="auto"/>
              </w:rPr>
              <w:t>（2）运营管理措施</w:t>
            </w:r>
          </w:p>
          <w:p w14:paraId="2BD7DC4D">
            <w:pPr>
              <w:ind w:firstLine="480"/>
              <w:rPr>
                <w:color w:val="auto"/>
              </w:rPr>
            </w:pPr>
            <w:r>
              <w:rPr>
                <w:color w:val="auto"/>
              </w:rPr>
              <w:t>运营期线路和车辆的轮轨条件直接关系到铁路振动的大小。线路光滑、车轮圆整等良好的轮轨条件可比一般线路条件降低振动5～10dB。因此线路运营后应及时修磨轨面和轨道变形的维护，保证钢轨表面的平整光滑，以保证其良好的运行状态，减少附加振动。对车轮定期进行铣、镟，减少车轮与钢轨撞击出现扁疤等，使道床、扣件、轨枕、钢轨等各项设备处于良好的工作状态，有效地增大振动传播途径的阻力，增强振动传播过程的阻尼作用，降低振动影响。</w:t>
            </w:r>
          </w:p>
          <w:p w14:paraId="132B3630">
            <w:pPr>
              <w:ind w:firstLine="480"/>
              <w:rPr>
                <w:color w:val="auto"/>
              </w:rPr>
            </w:pPr>
            <w:r>
              <w:rPr>
                <w:color w:val="auto"/>
              </w:rPr>
              <w:t>行车速度和行车稳定性是影响振动的主要因素，因此在专用线通行过程中采取控制行车速度，尽量保持匀速行驶的措施，以此来减轻列车运行过程中振动的对周边环境产生的影响。</w:t>
            </w:r>
          </w:p>
          <w:p w14:paraId="7BCA9C76">
            <w:pPr>
              <w:ind w:firstLine="480"/>
              <w:rPr>
                <w:color w:val="auto"/>
              </w:rPr>
            </w:pPr>
            <w:r>
              <w:rPr>
                <w:rFonts w:hint="eastAsia"/>
                <w:color w:val="auto"/>
              </w:rPr>
              <w:t>（3）规划控制建议</w:t>
            </w:r>
          </w:p>
          <w:p w14:paraId="26E15095">
            <w:pPr>
              <w:ind w:firstLine="480"/>
              <w:rPr>
                <w:color w:val="auto"/>
              </w:rPr>
            </w:pPr>
            <w:r>
              <w:rPr>
                <w:color w:val="auto"/>
              </w:rPr>
              <w:t>本次评价建议沿线政府规划、建设部门在规划管理铁路两侧土地时充分考虑铁路沿线振级水平较高的实际，划定一定范围的缓冲区，专用线两侧距外轨中心线30m以内，禁止新建居民住宅、学校、医院等振动敏感建筑物。</w:t>
            </w:r>
          </w:p>
          <w:p w14:paraId="2CDD2565">
            <w:pPr>
              <w:ind w:firstLine="482"/>
            </w:pPr>
            <w:r>
              <w:rPr>
                <w:rFonts w:hint="eastAsia"/>
                <w:b/>
                <w:bCs/>
              </w:rPr>
              <w:t>6、环境空气影响保护措施</w:t>
            </w:r>
          </w:p>
          <w:p w14:paraId="3AF04F2F">
            <w:pPr>
              <w:ind w:firstLine="480"/>
            </w:pPr>
            <w:r>
              <w:t>主要为专线内燃机废气，选用优质燃料可以降低废气对周边环境的影响；发货场粉尘采用定期洒水降尘措施，减小粉尘对大气环境的影响。</w:t>
            </w:r>
          </w:p>
          <w:p w14:paraId="301AA075">
            <w:pPr>
              <w:ind w:firstLine="482"/>
            </w:pPr>
            <w:r>
              <w:rPr>
                <w:rFonts w:hint="eastAsia"/>
                <w:b/>
                <w:bCs/>
              </w:rPr>
              <w:t>7、固废环境影响保护措施</w:t>
            </w:r>
          </w:p>
          <w:p w14:paraId="088A6EF1">
            <w:pPr>
              <w:ind w:firstLine="480"/>
            </w:pPr>
            <w:r>
              <w:t>本项目不设置站场及工作人员，依托</w:t>
            </w:r>
            <w:r>
              <w:rPr>
                <w:rFonts w:hint="eastAsia"/>
              </w:rPr>
              <w:t>福利屯站</w:t>
            </w:r>
            <w:r>
              <w:t>及厂区现有人员，故本项目无固废产生。</w:t>
            </w:r>
          </w:p>
          <w:p w14:paraId="41CEBD23">
            <w:pPr>
              <w:ind w:firstLine="482"/>
              <w:rPr>
                <w:b/>
                <w:bCs/>
                <w:color w:val="auto"/>
              </w:rPr>
            </w:pPr>
            <w:r>
              <w:rPr>
                <w:rFonts w:hint="eastAsia"/>
                <w:b/>
                <w:bCs/>
                <w:color w:val="auto"/>
              </w:rPr>
              <w:t>8、风险防范保护措施</w:t>
            </w:r>
          </w:p>
          <w:p w14:paraId="333ABA49">
            <w:pPr>
              <w:ind w:firstLine="480"/>
              <w:rPr>
                <w:color w:val="auto"/>
              </w:rPr>
            </w:pPr>
            <w:r>
              <w:rPr>
                <w:rFonts w:hint="eastAsia"/>
                <w:color w:val="auto"/>
              </w:rPr>
              <w:t>（1）定期检查与设备更新</w:t>
            </w:r>
          </w:p>
          <w:p w14:paraId="6F0962CD">
            <w:pPr>
              <w:ind w:firstLine="480"/>
              <w:rPr>
                <w:color w:val="auto"/>
              </w:rPr>
            </w:pPr>
            <w:r>
              <w:rPr>
                <w:rFonts w:hint="eastAsia"/>
                <w:color w:val="auto"/>
              </w:rPr>
              <w:t>对铁路轨道等关键设施进行高频次巡检，重点关注螺栓松动、轨道下沉、绝缘轨缝失效等问题；</w:t>
            </w:r>
            <w:r>
              <w:rPr>
                <w:color w:val="auto"/>
              </w:rPr>
              <w:t>对老化设备进行更新改造，确保符合防爆、耐腐蚀等安全标准，避免因设备磨损引发泄漏或火灾。</w:t>
            </w:r>
          </w:p>
          <w:p w14:paraId="56203BF8">
            <w:pPr>
              <w:ind w:firstLine="480"/>
              <w:rPr>
                <w:color w:val="auto"/>
              </w:rPr>
            </w:pPr>
            <w:r>
              <w:rPr>
                <w:rFonts w:hint="eastAsia"/>
                <w:color w:val="auto"/>
              </w:rPr>
              <w:t>（2）人员培训与操作规范</w:t>
            </w:r>
          </w:p>
          <w:p w14:paraId="2DA98FB5">
            <w:pPr>
              <w:ind w:firstLine="480"/>
              <w:rPr>
                <w:color w:val="auto"/>
              </w:rPr>
            </w:pPr>
            <w:r>
              <w:rPr>
                <w:color w:val="auto"/>
              </w:rPr>
              <w:t>强化安全培训与资质管理</w:t>
            </w:r>
            <w:r>
              <w:rPr>
                <w:rFonts w:hint="eastAsia"/>
                <w:color w:val="auto"/>
              </w:rPr>
              <w:t>：实施三级安全教育（入职培训、岗位技能、应急演练），定期组织消防、防爆、泄漏处置等专项培训，确保操作人员持证上岗。</w:t>
            </w:r>
          </w:p>
          <w:p w14:paraId="5CFADAD5">
            <w:pPr>
              <w:ind w:firstLine="480"/>
              <w:rPr>
                <w:color w:val="auto"/>
              </w:rPr>
            </w:pPr>
            <w:r>
              <w:rPr>
                <w:rFonts w:hint="eastAsia"/>
                <w:color w:val="auto"/>
              </w:rPr>
              <w:t>规范作业流程：装卸油时控制流速，避免静电积聚引发放电。设立醒目警示标志，限制非授权人员进入装卸区，定期检查挡车器、警示灯等安全设施有效性。</w:t>
            </w:r>
          </w:p>
          <w:p w14:paraId="1EAA138B">
            <w:pPr>
              <w:ind w:firstLine="480"/>
              <w:rPr>
                <w:color w:val="auto"/>
              </w:rPr>
            </w:pPr>
            <w:r>
              <w:rPr>
                <w:rFonts w:hint="eastAsia"/>
                <w:color w:val="auto"/>
              </w:rPr>
              <w:t>（3）应急响应与风险预警</w:t>
            </w:r>
          </w:p>
          <w:p w14:paraId="7DBC8021">
            <w:pPr>
              <w:ind w:firstLine="480"/>
            </w:pPr>
            <w:r>
              <w:rPr>
                <w:color w:val="auto"/>
              </w:rPr>
              <w:t>制定涵盖火灾、泄漏、脱轨等场景的专项应急预案，明确职责分工与处置流程，并每季度组织实战演练。建立泄漏监测系统，实时监控管线压力、温度等参数，结合人工巡检快速定位隐患。</w:t>
            </w:r>
          </w:p>
        </w:tc>
      </w:tr>
      <w:tr w14:paraId="05B388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2" w:hRule="atLeast"/>
          <w:jc w:val="center"/>
        </w:trPr>
        <w:tc>
          <w:tcPr>
            <w:tcW w:w="1123" w:type="dxa"/>
            <w:vAlign w:val="center"/>
          </w:tcPr>
          <w:p w14:paraId="7A793C69">
            <w:pPr>
              <w:adjustRightInd w:val="0"/>
              <w:snapToGrid w:val="0"/>
              <w:ind w:firstLine="0" w:firstLineChars="0"/>
              <w:jc w:val="center"/>
              <w:rPr>
                <w:bCs/>
                <w:spacing w:val="10"/>
              </w:rPr>
            </w:pPr>
            <w:r>
              <w:rPr>
                <w:bCs/>
              </w:rPr>
              <w:t>其他</w:t>
            </w:r>
          </w:p>
        </w:tc>
        <w:tc>
          <w:tcPr>
            <w:tcW w:w="8087" w:type="dxa"/>
            <w:vAlign w:val="center"/>
          </w:tcPr>
          <w:p w14:paraId="180F8CC5">
            <w:pPr>
              <w:ind w:firstLine="482"/>
            </w:pPr>
            <w:r>
              <w:rPr>
                <w:rFonts w:hint="eastAsia"/>
                <w:b/>
                <w:bCs/>
              </w:rPr>
              <w:t>1、环境监测计划</w:t>
            </w:r>
          </w:p>
          <w:p w14:paraId="27982886">
            <w:pPr>
              <w:ind w:firstLine="480"/>
            </w:pPr>
            <w:r>
              <w:rPr>
                <w:rFonts w:hint="eastAsia"/>
              </w:rPr>
              <w:t>（1）制定目的、原则</w:t>
            </w:r>
          </w:p>
          <w:p w14:paraId="1357770C">
            <w:pPr>
              <w:ind w:firstLine="480"/>
            </w:pPr>
            <w:r>
              <w:rPr>
                <w:rFonts w:hint="eastAsia"/>
              </w:rPr>
              <w:t>制定环境监测计划的目的是监督各项措施的落实，以便根据监测结果适时调整环境行动计划，为环保措施的实施时间和实施方案提供依据。制定的原则是根据预期的、各个时期（施工期、营运期）的主要环境影响。</w:t>
            </w:r>
          </w:p>
          <w:p w14:paraId="1D7EBD16">
            <w:pPr>
              <w:ind w:firstLine="480"/>
            </w:pPr>
            <w:r>
              <w:rPr>
                <w:rFonts w:hint="eastAsia"/>
              </w:rPr>
              <w:t>（2）监测项目</w:t>
            </w:r>
          </w:p>
          <w:p w14:paraId="2228B189">
            <w:pPr>
              <w:ind w:firstLine="480"/>
            </w:pPr>
            <w:r>
              <w:rPr>
                <w:rFonts w:hint="eastAsia"/>
              </w:rPr>
              <w:t>根据预期环境影响分析和评价结果，确定施工期、营运期的监测项目如下：</w:t>
            </w:r>
          </w:p>
          <w:p w14:paraId="0E2FA59F">
            <w:pPr>
              <w:ind w:firstLine="480"/>
            </w:pPr>
            <w:r>
              <w:rPr>
                <w:rFonts w:hint="eastAsia"/>
              </w:rPr>
              <w:t>（3）环境监测机构</w:t>
            </w:r>
          </w:p>
          <w:p w14:paraId="54F177DD">
            <w:pPr>
              <w:ind w:firstLine="480"/>
            </w:pPr>
            <w:r>
              <w:rPr>
                <w:rFonts w:hint="eastAsia"/>
              </w:rPr>
              <w:t>建设单位应委托有资质的第三方监测单位，按环境监测计划进行。</w:t>
            </w:r>
          </w:p>
          <w:p w14:paraId="4E902E7A">
            <w:pPr>
              <w:numPr>
                <w:ilvl w:val="0"/>
                <w:numId w:val="3"/>
              </w:numPr>
              <w:ind w:firstLine="480"/>
            </w:pPr>
            <w:r>
              <w:rPr>
                <w:rFonts w:hint="eastAsia"/>
              </w:rPr>
              <w:t>环境监测计划</w:t>
            </w:r>
          </w:p>
          <w:p w14:paraId="0C53EC52">
            <w:pPr>
              <w:pStyle w:val="33"/>
            </w:pPr>
            <w:r>
              <w:rPr>
                <w:rFonts w:hint="eastAsia"/>
              </w:rPr>
              <w:t>表5-1 施工期和运营期环境监测计划</w:t>
            </w:r>
          </w:p>
          <w:tbl>
            <w:tblPr>
              <w:tblStyle w:val="55"/>
              <w:tblW w:w="4998" w:type="pct"/>
              <w:tblInd w:w="0" w:type="dxa"/>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Layout w:type="fixed"/>
              <w:tblCellMar>
                <w:top w:w="0" w:type="dxa"/>
                <w:left w:w="0" w:type="dxa"/>
                <w:bottom w:w="0" w:type="dxa"/>
                <w:right w:w="0" w:type="dxa"/>
              </w:tblCellMar>
            </w:tblPr>
            <w:tblGrid>
              <w:gridCol w:w="516"/>
              <w:gridCol w:w="367"/>
              <w:gridCol w:w="688"/>
              <w:gridCol w:w="850"/>
              <w:gridCol w:w="1238"/>
              <w:gridCol w:w="943"/>
              <w:gridCol w:w="1668"/>
              <w:gridCol w:w="707"/>
              <w:gridCol w:w="466"/>
              <w:gridCol w:w="425"/>
            </w:tblGrid>
            <w:tr w14:paraId="7EF03911">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trPr>
              <w:tc>
                <w:tcPr>
                  <w:tcW w:w="327" w:type="pct"/>
                  <w:tcBorders>
                    <w:tl2br w:val="nil"/>
                    <w:tr2bl w:val="nil"/>
                  </w:tcBorders>
                  <w:vAlign w:val="center"/>
                </w:tcPr>
                <w:p w14:paraId="0A9DABC8">
                  <w:pPr>
                    <w:pStyle w:val="30"/>
                    <w:rPr>
                      <w:color w:val="auto"/>
                    </w:rPr>
                  </w:pPr>
                  <w:r>
                    <w:rPr>
                      <w:color w:val="auto"/>
                    </w:rPr>
                    <w:t>监测要素</w:t>
                  </w:r>
                </w:p>
              </w:tc>
              <w:tc>
                <w:tcPr>
                  <w:tcW w:w="233" w:type="pct"/>
                  <w:tcBorders>
                    <w:tl2br w:val="nil"/>
                    <w:tr2bl w:val="nil"/>
                  </w:tcBorders>
                  <w:vAlign w:val="center"/>
                </w:tcPr>
                <w:p w14:paraId="5DD3CEA7">
                  <w:pPr>
                    <w:pStyle w:val="30"/>
                    <w:rPr>
                      <w:color w:val="auto"/>
                    </w:rPr>
                  </w:pPr>
                  <w:r>
                    <w:rPr>
                      <w:color w:val="auto"/>
                    </w:rPr>
                    <w:t>阶段</w:t>
                  </w:r>
                </w:p>
              </w:tc>
              <w:tc>
                <w:tcPr>
                  <w:tcW w:w="437" w:type="pct"/>
                  <w:tcBorders>
                    <w:tl2br w:val="nil"/>
                    <w:tr2bl w:val="nil"/>
                  </w:tcBorders>
                  <w:vAlign w:val="center"/>
                </w:tcPr>
                <w:p w14:paraId="21ABC2F2">
                  <w:pPr>
                    <w:pStyle w:val="30"/>
                    <w:rPr>
                      <w:color w:val="auto"/>
                    </w:rPr>
                  </w:pPr>
                  <w:r>
                    <w:rPr>
                      <w:color w:val="auto"/>
                    </w:rPr>
                    <w:t>监测点</w:t>
                  </w:r>
                </w:p>
              </w:tc>
              <w:tc>
                <w:tcPr>
                  <w:tcW w:w="540" w:type="pct"/>
                  <w:tcBorders>
                    <w:tl2br w:val="nil"/>
                    <w:tr2bl w:val="nil"/>
                  </w:tcBorders>
                  <w:vAlign w:val="center"/>
                </w:tcPr>
                <w:p w14:paraId="5562956E">
                  <w:pPr>
                    <w:pStyle w:val="30"/>
                    <w:rPr>
                      <w:color w:val="auto"/>
                    </w:rPr>
                  </w:pPr>
                  <w:r>
                    <w:rPr>
                      <w:color w:val="auto"/>
                    </w:rPr>
                    <w:t>监测参数</w:t>
                  </w:r>
                </w:p>
              </w:tc>
              <w:tc>
                <w:tcPr>
                  <w:tcW w:w="786" w:type="pct"/>
                  <w:tcBorders>
                    <w:tl2br w:val="nil"/>
                    <w:tr2bl w:val="nil"/>
                  </w:tcBorders>
                  <w:vAlign w:val="center"/>
                </w:tcPr>
                <w:p w14:paraId="420B7CCB">
                  <w:pPr>
                    <w:pStyle w:val="30"/>
                    <w:rPr>
                      <w:color w:val="auto"/>
                    </w:rPr>
                  </w:pPr>
                  <w:r>
                    <w:rPr>
                      <w:color w:val="auto"/>
                    </w:rPr>
                    <w:t>监测方法</w:t>
                  </w:r>
                </w:p>
              </w:tc>
              <w:tc>
                <w:tcPr>
                  <w:tcW w:w="599" w:type="pct"/>
                  <w:tcBorders>
                    <w:tl2br w:val="nil"/>
                    <w:tr2bl w:val="nil"/>
                  </w:tcBorders>
                  <w:vAlign w:val="center"/>
                </w:tcPr>
                <w:p w14:paraId="4DBF5DCC">
                  <w:pPr>
                    <w:pStyle w:val="30"/>
                    <w:rPr>
                      <w:color w:val="auto"/>
                    </w:rPr>
                  </w:pPr>
                  <w:r>
                    <w:rPr>
                      <w:color w:val="auto"/>
                    </w:rPr>
                    <w:t>监测频率</w:t>
                  </w:r>
                </w:p>
              </w:tc>
              <w:tc>
                <w:tcPr>
                  <w:tcW w:w="1059" w:type="pct"/>
                  <w:tcBorders>
                    <w:tl2br w:val="nil"/>
                    <w:tr2bl w:val="nil"/>
                  </w:tcBorders>
                  <w:vAlign w:val="center"/>
                </w:tcPr>
                <w:p w14:paraId="417E4416">
                  <w:pPr>
                    <w:pStyle w:val="30"/>
                    <w:rPr>
                      <w:color w:val="auto"/>
                    </w:rPr>
                  </w:pPr>
                  <w:r>
                    <w:rPr>
                      <w:color w:val="auto"/>
                    </w:rPr>
                    <w:t>标准</w:t>
                  </w:r>
                </w:p>
              </w:tc>
              <w:tc>
                <w:tcPr>
                  <w:tcW w:w="449" w:type="pct"/>
                  <w:tcBorders>
                    <w:tl2br w:val="nil"/>
                    <w:tr2bl w:val="nil"/>
                  </w:tcBorders>
                  <w:vAlign w:val="center"/>
                </w:tcPr>
                <w:p w14:paraId="2406C5D4">
                  <w:pPr>
                    <w:pStyle w:val="30"/>
                    <w:rPr>
                      <w:color w:val="auto"/>
                    </w:rPr>
                  </w:pPr>
                  <w:r>
                    <w:rPr>
                      <w:color w:val="auto"/>
                    </w:rPr>
                    <w:t>执行机构</w:t>
                  </w:r>
                </w:p>
              </w:tc>
              <w:tc>
                <w:tcPr>
                  <w:tcW w:w="296" w:type="pct"/>
                  <w:tcBorders>
                    <w:tl2br w:val="nil"/>
                    <w:tr2bl w:val="nil"/>
                  </w:tcBorders>
                  <w:vAlign w:val="center"/>
                </w:tcPr>
                <w:p w14:paraId="32E01495">
                  <w:pPr>
                    <w:pStyle w:val="30"/>
                    <w:rPr>
                      <w:color w:val="auto"/>
                    </w:rPr>
                  </w:pPr>
                  <w:r>
                    <w:rPr>
                      <w:color w:val="auto"/>
                    </w:rPr>
                    <w:t>负责机构</w:t>
                  </w:r>
                </w:p>
              </w:tc>
              <w:tc>
                <w:tcPr>
                  <w:tcW w:w="270" w:type="pct"/>
                  <w:tcBorders>
                    <w:tl2br w:val="nil"/>
                    <w:tr2bl w:val="nil"/>
                  </w:tcBorders>
                  <w:vAlign w:val="center"/>
                </w:tcPr>
                <w:p w14:paraId="5982654E">
                  <w:pPr>
                    <w:pStyle w:val="30"/>
                    <w:rPr>
                      <w:color w:val="auto"/>
                    </w:rPr>
                  </w:pPr>
                  <w:r>
                    <w:rPr>
                      <w:color w:val="auto"/>
                    </w:rPr>
                    <w:t>监督</w:t>
                  </w:r>
                </w:p>
                <w:p w14:paraId="7A753E9E">
                  <w:pPr>
                    <w:pStyle w:val="30"/>
                    <w:rPr>
                      <w:color w:val="auto"/>
                    </w:rPr>
                  </w:pPr>
                  <w:r>
                    <w:rPr>
                      <w:color w:val="auto"/>
                    </w:rPr>
                    <w:t>机构</w:t>
                  </w:r>
                </w:p>
              </w:tc>
            </w:tr>
            <w:tr w14:paraId="04EB5340">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trPr>
              <w:tc>
                <w:tcPr>
                  <w:tcW w:w="327" w:type="pct"/>
                  <w:tcBorders>
                    <w:tl2br w:val="nil"/>
                    <w:tr2bl w:val="nil"/>
                  </w:tcBorders>
                  <w:vAlign w:val="center"/>
                </w:tcPr>
                <w:p w14:paraId="60CA432D">
                  <w:pPr>
                    <w:pStyle w:val="30"/>
                    <w:rPr>
                      <w:color w:val="auto"/>
                    </w:rPr>
                  </w:pPr>
                  <w:r>
                    <w:rPr>
                      <w:color w:val="auto"/>
                    </w:rPr>
                    <w:t>生态环境</w:t>
                  </w:r>
                </w:p>
              </w:tc>
              <w:tc>
                <w:tcPr>
                  <w:tcW w:w="233" w:type="pct"/>
                  <w:tcBorders>
                    <w:tl2br w:val="nil"/>
                    <w:tr2bl w:val="nil"/>
                  </w:tcBorders>
                  <w:vAlign w:val="center"/>
                </w:tcPr>
                <w:p w14:paraId="4A7FF4E2">
                  <w:pPr>
                    <w:pStyle w:val="30"/>
                    <w:rPr>
                      <w:color w:val="auto"/>
                    </w:rPr>
                  </w:pPr>
                  <w:r>
                    <w:rPr>
                      <w:color w:val="auto"/>
                    </w:rPr>
                    <w:t>施工期</w:t>
                  </w:r>
                </w:p>
              </w:tc>
              <w:tc>
                <w:tcPr>
                  <w:tcW w:w="437" w:type="pct"/>
                  <w:tcBorders>
                    <w:tl2br w:val="nil"/>
                    <w:tr2bl w:val="nil"/>
                  </w:tcBorders>
                  <w:vAlign w:val="center"/>
                </w:tcPr>
                <w:p w14:paraId="29E24C48">
                  <w:pPr>
                    <w:pStyle w:val="30"/>
                    <w:rPr>
                      <w:color w:val="auto"/>
                    </w:rPr>
                  </w:pPr>
                  <w:r>
                    <w:rPr>
                      <w:rFonts w:hint="eastAsia"/>
                      <w:color w:val="auto"/>
                    </w:rPr>
                    <w:t>临时占地</w:t>
                  </w:r>
                </w:p>
              </w:tc>
              <w:tc>
                <w:tcPr>
                  <w:tcW w:w="540" w:type="pct"/>
                  <w:tcBorders>
                    <w:tl2br w:val="nil"/>
                    <w:tr2bl w:val="nil"/>
                  </w:tcBorders>
                  <w:vAlign w:val="center"/>
                </w:tcPr>
                <w:p w14:paraId="69953940">
                  <w:pPr>
                    <w:pStyle w:val="30"/>
                    <w:rPr>
                      <w:color w:val="auto"/>
                    </w:rPr>
                  </w:pPr>
                  <w:r>
                    <w:rPr>
                      <w:rFonts w:hint="eastAsia"/>
                      <w:color w:val="auto"/>
                    </w:rPr>
                    <w:t>植被恢复</w:t>
                  </w:r>
                </w:p>
              </w:tc>
              <w:tc>
                <w:tcPr>
                  <w:tcW w:w="786" w:type="pct"/>
                  <w:tcBorders>
                    <w:tl2br w:val="nil"/>
                    <w:tr2bl w:val="nil"/>
                  </w:tcBorders>
                  <w:vAlign w:val="center"/>
                </w:tcPr>
                <w:p w14:paraId="1CC236F3">
                  <w:pPr>
                    <w:pStyle w:val="30"/>
                    <w:rPr>
                      <w:color w:val="auto"/>
                    </w:rPr>
                  </w:pPr>
                  <w:r>
                    <w:rPr>
                      <w:rFonts w:hint="eastAsia"/>
                      <w:color w:val="auto"/>
                    </w:rPr>
                    <w:t>现场调查</w:t>
                  </w:r>
                </w:p>
              </w:tc>
              <w:tc>
                <w:tcPr>
                  <w:tcW w:w="599" w:type="pct"/>
                  <w:tcBorders>
                    <w:tl2br w:val="nil"/>
                    <w:tr2bl w:val="nil"/>
                  </w:tcBorders>
                  <w:vAlign w:val="center"/>
                </w:tcPr>
                <w:p w14:paraId="61C2D4ED">
                  <w:pPr>
                    <w:pStyle w:val="30"/>
                    <w:rPr>
                      <w:color w:val="auto"/>
                    </w:rPr>
                  </w:pPr>
                  <w:r>
                    <w:rPr>
                      <w:rFonts w:hint="eastAsia"/>
                      <w:color w:val="auto"/>
                    </w:rPr>
                    <w:t>施工期结束前</w:t>
                  </w:r>
                </w:p>
              </w:tc>
              <w:tc>
                <w:tcPr>
                  <w:tcW w:w="1059" w:type="pct"/>
                  <w:tcBorders>
                    <w:tl2br w:val="nil"/>
                    <w:tr2bl w:val="nil"/>
                  </w:tcBorders>
                  <w:vAlign w:val="center"/>
                </w:tcPr>
                <w:p w14:paraId="0A6F8156">
                  <w:pPr>
                    <w:pStyle w:val="30"/>
                    <w:rPr>
                      <w:color w:val="auto"/>
                    </w:rPr>
                  </w:pPr>
                  <w:r>
                    <w:rPr>
                      <w:rFonts w:hint="eastAsia"/>
                      <w:color w:val="auto"/>
                    </w:rPr>
                    <w:t>临时施工场地恢复为林地、临时堆土场恢复为耕地、临时便道恢复为草地</w:t>
                  </w:r>
                </w:p>
              </w:tc>
              <w:tc>
                <w:tcPr>
                  <w:tcW w:w="449" w:type="pct"/>
                  <w:tcBorders>
                    <w:tl2br w:val="nil"/>
                    <w:tr2bl w:val="nil"/>
                  </w:tcBorders>
                  <w:vAlign w:val="center"/>
                </w:tcPr>
                <w:p w14:paraId="72C16FAB">
                  <w:pPr>
                    <w:pStyle w:val="30"/>
                    <w:rPr>
                      <w:color w:val="auto"/>
                    </w:rPr>
                  </w:pPr>
                  <w:r>
                    <w:rPr>
                      <w:color w:val="auto"/>
                    </w:rPr>
                    <w:t>由施工单位委托</w:t>
                  </w:r>
                </w:p>
              </w:tc>
              <w:tc>
                <w:tcPr>
                  <w:tcW w:w="296" w:type="pct"/>
                  <w:tcBorders>
                    <w:tl2br w:val="nil"/>
                    <w:tr2bl w:val="nil"/>
                  </w:tcBorders>
                  <w:vAlign w:val="center"/>
                </w:tcPr>
                <w:p w14:paraId="01E5F281">
                  <w:pPr>
                    <w:pStyle w:val="30"/>
                    <w:rPr>
                      <w:color w:val="auto"/>
                    </w:rPr>
                  </w:pPr>
                  <w:r>
                    <w:rPr>
                      <w:color w:val="auto"/>
                    </w:rPr>
                    <w:t>建设单位</w:t>
                  </w:r>
                </w:p>
              </w:tc>
              <w:tc>
                <w:tcPr>
                  <w:tcW w:w="270" w:type="pct"/>
                  <w:tcBorders>
                    <w:tl2br w:val="nil"/>
                    <w:tr2bl w:val="nil"/>
                  </w:tcBorders>
                  <w:vAlign w:val="center"/>
                </w:tcPr>
                <w:p w14:paraId="6D94EA3F">
                  <w:pPr>
                    <w:pStyle w:val="30"/>
                    <w:rPr>
                      <w:color w:val="auto"/>
                    </w:rPr>
                  </w:pPr>
                  <w:r>
                    <w:rPr>
                      <w:color w:val="auto"/>
                    </w:rPr>
                    <w:t>地方环保主管部门</w:t>
                  </w:r>
                </w:p>
              </w:tc>
            </w:tr>
            <w:tr w14:paraId="791E906C">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trPr>
              <w:tc>
                <w:tcPr>
                  <w:tcW w:w="327" w:type="pct"/>
                  <w:vMerge w:val="restart"/>
                  <w:tcBorders>
                    <w:tl2br w:val="nil"/>
                    <w:tr2bl w:val="nil"/>
                  </w:tcBorders>
                  <w:vAlign w:val="center"/>
                </w:tcPr>
                <w:p w14:paraId="52E57911">
                  <w:pPr>
                    <w:pStyle w:val="30"/>
                    <w:rPr>
                      <w:color w:val="auto"/>
                    </w:rPr>
                  </w:pPr>
                  <w:r>
                    <w:rPr>
                      <w:color w:val="auto"/>
                    </w:rPr>
                    <w:t>环境噪声</w:t>
                  </w:r>
                </w:p>
              </w:tc>
              <w:tc>
                <w:tcPr>
                  <w:tcW w:w="233" w:type="pct"/>
                  <w:tcBorders>
                    <w:tl2br w:val="nil"/>
                    <w:tr2bl w:val="nil"/>
                  </w:tcBorders>
                  <w:vAlign w:val="center"/>
                </w:tcPr>
                <w:p w14:paraId="48627191">
                  <w:pPr>
                    <w:pStyle w:val="30"/>
                    <w:rPr>
                      <w:color w:val="auto"/>
                    </w:rPr>
                  </w:pPr>
                  <w:r>
                    <w:rPr>
                      <w:color w:val="auto"/>
                    </w:rPr>
                    <w:t>施工期</w:t>
                  </w:r>
                </w:p>
              </w:tc>
              <w:tc>
                <w:tcPr>
                  <w:tcW w:w="437" w:type="pct"/>
                  <w:tcBorders>
                    <w:tl2br w:val="nil"/>
                    <w:tr2bl w:val="nil"/>
                  </w:tcBorders>
                  <w:vAlign w:val="center"/>
                </w:tcPr>
                <w:p w14:paraId="03ABB334">
                  <w:pPr>
                    <w:pStyle w:val="30"/>
                    <w:rPr>
                      <w:color w:val="auto"/>
                    </w:rPr>
                  </w:pPr>
                  <w:r>
                    <w:rPr>
                      <w:color w:val="auto"/>
                    </w:rPr>
                    <w:t>施工场界</w:t>
                  </w:r>
                </w:p>
              </w:tc>
              <w:tc>
                <w:tcPr>
                  <w:tcW w:w="540" w:type="pct"/>
                  <w:tcBorders>
                    <w:tl2br w:val="nil"/>
                    <w:tr2bl w:val="nil"/>
                  </w:tcBorders>
                  <w:vAlign w:val="center"/>
                </w:tcPr>
                <w:p w14:paraId="6D06781A">
                  <w:pPr>
                    <w:pStyle w:val="30"/>
                    <w:rPr>
                      <w:color w:val="auto"/>
                    </w:rPr>
                  </w:pPr>
                  <w:r>
                    <w:rPr>
                      <w:color w:val="auto"/>
                    </w:rPr>
                    <w:t>等效A声级</w:t>
                  </w:r>
                </w:p>
              </w:tc>
              <w:tc>
                <w:tcPr>
                  <w:tcW w:w="786" w:type="pct"/>
                  <w:tcBorders>
                    <w:tl2br w:val="nil"/>
                    <w:tr2bl w:val="nil"/>
                  </w:tcBorders>
                  <w:vAlign w:val="center"/>
                </w:tcPr>
                <w:p w14:paraId="2C3A6FB6">
                  <w:pPr>
                    <w:pStyle w:val="30"/>
                    <w:rPr>
                      <w:color w:val="auto"/>
                    </w:rPr>
                  </w:pPr>
                  <w:r>
                    <w:rPr>
                      <w:color w:val="auto"/>
                    </w:rPr>
                    <w:t>《建筑施工场界噪声测量方法》（GB12524-90）</w:t>
                  </w:r>
                </w:p>
              </w:tc>
              <w:tc>
                <w:tcPr>
                  <w:tcW w:w="599" w:type="pct"/>
                  <w:tcBorders>
                    <w:tl2br w:val="nil"/>
                    <w:tr2bl w:val="nil"/>
                  </w:tcBorders>
                  <w:vAlign w:val="center"/>
                </w:tcPr>
                <w:p w14:paraId="58DC731B">
                  <w:pPr>
                    <w:pStyle w:val="30"/>
                    <w:rPr>
                      <w:color w:val="auto"/>
                    </w:rPr>
                  </w:pPr>
                  <w:r>
                    <w:rPr>
                      <w:color w:val="auto"/>
                    </w:rPr>
                    <w:t>1次/月</w:t>
                  </w:r>
                </w:p>
              </w:tc>
              <w:tc>
                <w:tcPr>
                  <w:tcW w:w="1059" w:type="pct"/>
                  <w:tcBorders>
                    <w:tl2br w:val="nil"/>
                    <w:tr2bl w:val="nil"/>
                  </w:tcBorders>
                  <w:vAlign w:val="center"/>
                </w:tcPr>
                <w:p w14:paraId="1C38B26B">
                  <w:pPr>
                    <w:pStyle w:val="30"/>
                    <w:rPr>
                      <w:color w:val="auto"/>
                    </w:rPr>
                  </w:pPr>
                  <w:r>
                    <w:rPr>
                      <w:color w:val="auto"/>
                    </w:rPr>
                    <w:t>GB12523-2011《建筑施工场界环</w:t>
                  </w:r>
                </w:p>
                <w:p w14:paraId="46218405">
                  <w:pPr>
                    <w:pStyle w:val="30"/>
                    <w:rPr>
                      <w:color w:val="auto"/>
                    </w:rPr>
                  </w:pPr>
                  <w:r>
                    <w:rPr>
                      <w:color w:val="auto"/>
                    </w:rPr>
                    <w:t>境噪声排放标准》、GB3096-2008</w:t>
                  </w:r>
                </w:p>
                <w:p w14:paraId="0ED282CB">
                  <w:pPr>
                    <w:pStyle w:val="30"/>
                    <w:rPr>
                      <w:color w:val="auto"/>
                    </w:rPr>
                  </w:pPr>
                  <w:r>
                    <w:rPr>
                      <w:color w:val="auto"/>
                    </w:rPr>
                    <w:t>《声环境质量标准》</w:t>
                  </w:r>
                </w:p>
              </w:tc>
              <w:tc>
                <w:tcPr>
                  <w:tcW w:w="449" w:type="pct"/>
                  <w:tcBorders>
                    <w:tl2br w:val="nil"/>
                    <w:tr2bl w:val="nil"/>
                  </w:tcBorders>
                  <w:vAlign w:val="center"/>
                </w:tcPr>
                <w:p w14:paraId="3CF06A75">
                  <w:pPr>
                    <w:pStyle w:val="30"/>
                    <w:rPr>
                      <w:color w:val="auto"/>
                    </w:rPr>
                  </w:pPr>
                  <w:r>
                    <w:rPr>
                      <w:color w:val="auto"/>
                    </w:rPr>
                    <w:t>由施工单位委托</w:t>
                  </w:r>
                </w:p>
              </w:tc>
              <w:tc>
                <w:tcPr>
                  <w:tcW w:w="296" w:type="pct"/>
                  <w:vMerge w:val="restart"/>
                  <w:tcBorders>
                    <w:tl2br w:val="nil"/>
                    <w:tr2bl w:val="nil"/>
                  </w:tcBorders>
                  <w:vAlign w:val="center"/>
                </w:tcPr>
                <w:p w14:paraId="6E30D3A2">
                  <w:pPr>
                    <w:pStyle w:val="30"/>
                    <w:rPr>
                      <w:color w:val="auto"/>
                    </w:rPr>
                  </w:pPr>
                  <w:r>
                    <w:rPr>
                      <w:color w:val="auto"/>
                    </w:rPr>
                    <w:t>建设单位</w:t>
                  </w:r>
                </w:p>
              </w:tc>
              <w:tc>
                <w:tcPr>
                  <w:tcW w:w="270" w:type="pct"/>
                  <w:vMerge w:val="restart"/>
                  <w:tcBorders>
                    <w:tl2br w:val="nil"/>
                    <w:tr2bl w:val="nil"/>
                  </w:tcBorders>
                  <w:vAlign w:val="center"/>
                </w:tcPr>
                <w:p w14:paraId="6233D27A">
                  <w:pPr>
                    <w:pStyle w:val="30"/>
                    <w:rPr>
                      <w:color w:val="auto"/>
                    </w:rPr>
                  </w:pPr>
                  <w:r>
                    <w:rPr>
                      <w:color w:val="auto"/>
                    </w:rPr>
                    <w:t>地方环保主管部门</w:t>
                  </w:r>
                </w:p>
              </w:tc>
            </w:tr>
            <w:tr w14:paraId="19B96703">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trPr>
              <w:tc>
                <w:tcPr>
                  <w:tcW w:w="327" w:type="pct"/>
                  <w:vMerge w:val="continue"/>
                  <w:tcBorders>
                    <w:tl2br w:val="nil"/>
                    <w:tr2bl w:val="nil"/>
                  </w:tcBorders>
                  <w:vAlign w:val="center"/>
                </w:tcPr>
                <w:p w14:paraId="249773FA">
                  <w:pPr>
                    <w:pStyle w:val="30"/>
                    <w:rPr>
                      <w:color w:val="auto"/>
                    </w:rPr>
                  </w:pPr>
                </w:p>
              </w:tc>
              <w:tc>
                <w:tcPr>
                  <w:tcW w:w="233" w:type="pct"/>
                  <w:tcBorders>
                    <w:tl2br w:val="nil"/>
                    <w:tr2bl w:val="nil"/>
                  </w:tcBorders>
                  <w:vAlign w:val="center"/>
                </w:tcPr>
                <w:p w14:paraId="6148F14B">
                  <w:pPr>
                    <w:pStyle w:val="30"/>
                    <w:rPr>
                      <w:color w:val="auto"/>
                    </w:rPr>
                  </w:pPr>
                  <w:r>
                    <w:rPr>
                      <w:color w:val="auto"/>
                    </w:rPr>
                    <w:t>运营期</w:t>
                  </w:r>
                </w:p>
              </w:tc>
              <w:tc>
                <w:tcPr>
                  <w:tcW w:w="437" w:type="pct"/>
                  <w:tcBorders>
                    <w:tl2br w:val="nil"/>
                    <w:tr2bl w:val="nil"/>
                  </w:tcBorders>
                  <w:vAlign w:val="center"/>
                </w:tcPr>
                <w:p w14:paraId="465DC248">
                  <w:pPr>
                    <w:pStyle w:val="30"/>
                    <w:rPr>
                      <w:color w:val="auto"/>
                    </w:rPr>
                  </w:pPr>
                  <w:r>
                    <w:rPr>
                      <w:rFonts w:hint="eastAsia"/>
                      <w:color w:val="auto"/>
                    </w:rPr>
                    <w:t>铁路边界处</w:t>
                  </w:r>
                </w:p>
              </w:tc>
              <w:tc>
                <w:tcPr>
                  <w:tcW w:w="540" w:type="pct"/>
                  <w:tcBorders>
                    <w:tl2br w:val="nil"/>
                    <w:tr2bl w:val="nil"/>
                  </w:tcBorders>
                  <w:vAlign w:val="center"/>
                </w:tcPr>
                <w:p w14:paraId="15F31D8C">
                  <w:pPr>
                    <w:pStyle w:val="30"/>
                    <w:rPr>
                      <w:color w:val="auto"/>
                    </w:rPr>
                  </w:pPr>
                  <w:r>
                    <w:rPr>
                      <w:color w:val="auto"/>
                    </w:rPr>
                    <w:t>等效A声级</w:t>
                  </w:r>
                </w:p>
              </w:tc>
              <w:tc>
                <w:tcPr>
                  <w:tcW w:w="786" w:type="pct"/>
                  <w:tcBorders>
                    <w:tl2br w:val="nil"/>
                    <w:tr2bl w:val="nil"/>
                  </w:tcBorders>
                  <w:vAlign w:val="center"/>
                </w:tcPr>
                <w:p w14:paraId="2AC15216">
                  <w:pPr>
                    <w:pStyle w:val="30"/>
                    <w:rPr>
                      <w:color w:val="auto"/>
                    </w:rPr>
                  </w:pPr>
                  <w:r>
                    <w:rPr>
                      <w:color w:val="auto"/>
                    </w:rPr>
                    <w:t>《铁路边界噪声限值及其测量方法》（GB12525-90）</w:t>
                  </w:r>
                </w:p>
              </w:tc>
              <w:tc>
                <w:tcPr>
                  <w:tcW w:w="599" w:type="pct"/>
                  <w:tcBorders>
                    <w:tl2br w:val="nil"/>
                    <w:tr2bl w:val="nil"/>
                  </w:tcBorders>
                  <w:vAlign w:val="center"/>
                </w:tcPr>
                <w:p w14:paraId="5576E1BE">
                  <w:pPr>
                    <w:pStyle w:val="30"/>
                    <w:rPr>
                      <w:color w:val="auto"/>
                    </w:rPr>
                  </w:pPr>
                  <w:r>
                    <w:rPr>
                      <w:rFonts w:hint="eastAsia"/>
                      <w:color w:val="auto"/>
                    </w:rPr>
                    <w:t>1</w:t>
                  </w:r>
                  <w:r>
                    <w:rPr>
                      <w:color w:val="auto"/>
                    </w:rPr>
                    <w:t>次/</w:t>
                  </w:r>
                  <w:r>
                    <w:rPr>
                      <w:rFonts w:hint="eastAsia"/>
                      <w:color w:val="auto"/>
                    </w:rPr>
                    <w:t>季度</w:t>
                  </w:r>
                </w:p>
              </w:tc>
              <w:tc>
                <w:tcPr>
                  <w:tcW w:w="1059" w:type="pct"/>
                  <w:tcBorders>
                    <w:tl2br w:val="nil"/>
                    <w:tr2bl w:val="nil"/>
                  </w:tcBorders>
                  <w:vAlign w:val="center"/>
                </w:tcPr>
                <w:p w14:paraId="4CBF285D">
                  <w:pPr>
                    <w:pStyle w:val="30"/>
                    <w:rPr>
                      <w:color w:val="auto"/>
                    </w:rPr>
                  </w:pPr>
                  <w:r>
                    <w:rPr>
                      <w:color w:val="auto"/>
                    </w:rPr>
                    <w:t>GB12525-90《铁路边界噪声限值及其测量方法》修改方案、</w:t>
                  </w:r>
                </w:p>
                <w:p w14:paraId="5C7C58AB">
                  <w:pPr>
                    <w:pStyle w:val="30"/>
                    <w:rPr>
                      <w:color w:val="auto"/>
                    </w:rPr>
                  </w:pPr>
                  <w:r>
                    <w:rPr>
                      <w:color w:val="auto"/>
                    </w:rPr>
                    <w:t>GB3096-2008《声环境质量标准》</w:t>
                  </w:r>
                </w:p>
              </w:tc>
              <w:tc>
                <w:tcPr>
                  <w:tcW w:w="449" w:type="pct"/>
                  <w:tcBorders>
                    <w:tl2br w:val="nil"/>
                    <w:tr2bl w:val="nil"/>
                  </w:tcBorders>
                  <w:vAlign w:val="center"/>
                </w:tcPr>
                <w:p w14:paraId="29626CA4">
                  <w:pPr>
                    <w:pStyle w:val="30"/>
                    <w:rPr>
                      <w:color w:val="auto"/>
                    </w:rPr>
                  </w:pPr>
                  <w:r>
                    <w:rPr>
                      <w:color w:val="auto"/>
                    </w:rPr>
                    <w:t>由建设单位委托</w:t>
                  </w:r>
                </w:p>
              </w:tc>
              <w:tc>
                <w:tcPr>
                  <w:tcW w:w="296" w:type="pct"/>
                  <w:vMerge w:val="continue"/>
                  <w:tcBorders>
                    <w:tl2br w:val="nil"/>
                    <w:tr2bl w:val="nil"/>
                  </w:tcBorders>
                  <w:vAlign w:val="center"/>
                </w:tcPr>
                <w:p w14:paraId="3FEEA539">
                  <w:pPr>
                    <w:pStyle w:val="30"/>
                    <w:rPr>
                      <w:color w:val="auto"/>
                    </w:rPr>
                  </w:pPr>
                </w:p>
              </w:tc>
              <w:tc>
                <w:tcPr>
                  <w:tcW w:w="270" w:type="pct"/>
                  <w:vMerge w:val="continue"/>
                  <w:tcBorders>
                    <w:tl2br w:val="nil"/>
                    <w:tr2bl w:val="nil"/>
                  </w:tcBorders>
                  <w:vAlign w:val="center"/>
                </w:tcPr>
                <w:p w14:paraId="414546C9">
                  <w:pPr>
                    <w:pStyle w:val="30"/>
                    <w:rPr>
                      <w:color w:val="auto"/>
                    </w:rPr>
                  </w:pPr>
                </w:p>
              </w:tc>
            </w:tr>
            <w:tr w14:paraId="3F18215D">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PrEx>
              <w:trPr>
                <w:trHeight w:val="397" w:hRule="atLeast"/>
              </w:trPr>
              <w:tc>
                <w:tcPr>
                  <w:tcW w:w="327" w:type="pct"/>
                  <w:tcBorders>
                    <w:tl2br w:val="nil"/>
                    <w:tr2bl w:val="nil"/>
                  </w:tcBorders>
                  <w:vAlign w:val="center"/>
                </w:tcPr>
                <w:p w14:paraId="78B19755">
                  <w:pPr>
                    <w:pStyle w:val="30"/>
                    <w:rPr>
                      <w:color w:val="auto"/>
                    </w:rPr>
                  </w:pPr>
                  <w:r>
                    <w:rPr>
                      <w:rFonts w:hint="eastAsia"/>
                      <w:color w:val="auto"/>
                    </w:rPr>
                    <w:t>振动环境</w:t>
                  </w:r>
                </w:p>
              </w:tc>
              <w:tc>
                <w:tcPr>
                  <w:tcW w:w="233" w:type="pct"/>
                  <w:tcBorders>
                    <w:tl2br w:val="nil"/>
                    <w:tr2bl w:val="nil"/>
                  </w:tcBorders>
                  <w:vAlign w:val="center"/>
                </w:tcPr>
                <w:p w14:paraId="50078F64">
                  <w:pPr>
                    <w:pStyle w:val="30"/>
                    <w:rPr>
                      <w:color w:val="auto"/>
                    </w:rPr>
                  </w:pPr>
                  <w:r>
                    <w:rPr>
                      <w:rFonts w:hint="eastAsia"/>
                      <w:color w:val="auto"/>
                    </w:rPr>
                    <w:t>运营期</w:t>
                  </w:r>
                </w:p>
              </w:tc>
              <w:tc>
                <w:tcPr>
                  <w:tcW w:w="437" w:type="pct"/>
                  <w:tcBorders>
                    <w:tl2br w:val="nil"/>
                    <w:tr2bl w:val="nil"/>
                  </w:tcBorders>
                  <w:vAlign w:val="center"/>
                </w:tcPr>
                <w:p w14:paraId="4D14BE61">
                  <w:pPr>
                    <w:pStyle w:val="30"/>
                    <w:rPr>
                      <w:color w:val="auto"/>
                    </w:rPr>
                  </w:pPr>
                  <w:r>
                    <w:rPr>
                      <w:rFonts w:hint="eastAsia"/>
                      <w:color w:val="auto"/>
                    </w:rPr>
                    <w:t>并行路段</w:t>
                  </w:r>
                </w:p>
              </w:tc>
              <w:tc>
                <w:tcPr>
                  <w:tcW w:w="540" w:type="pct"/>
                  <w:tcBorders>
                    <w:tl2br w:val="nil"/>
                    <w:tr2bl w:val="nil"/>
                  </w:tcBorders>
                  <w:vAlign w:val="center"/>
                </w:tcPr>
                <w:p w14:paraId="2FD85AEB">
                  <w:pPr>
                    <w:pStyle w:val="30"/>
                    <w:rPr>
                      <w:color w:val="auto"/>
                    </w:rPr>
                  </w:pPr>
                  <w:r>
                    <w:rPr>
                      <w:color w:val="auto"/>
                    </w:rPr>
                    <w:t>VLzmax</w:t>
                  </w:r>
                </w:p>
              </w:tc>
              <w:tc>
                <w:tcPr>
                  <w:tcW w:w="786" w:type="pct"/>
                  <w:tcBorders>
                    <w:tl2br w:val="nil"/>
                    <w:tr2bl w:val="nil"/>
                  </w:tcBorders>
                  <w:vAlign w:val="center"/>
                </w:tcPr>
                <w:p w14:paraId="1A24AE62">
                  <w:pPr>
                    <w:pStyle w:val="30"/>
                    <w:rPr>
                      <w:color w:val="auto"/>
                    </w:rPr>
                  </w:pPr>
                  <w:r>
                    <w:rPr>
                      <w:color w:val="auto"/>
                    </w:rPr>
                    <w:t>《城市区域环境振动测量方法》（GB10071-88）中的“铁路振动”测量方法</w:t>
                  </w:r>
                </w:p>
              </w:tc>
              <w:tc>
                <w:tcPr>
                  <w:tcW w:w="599" w:type="pct"/>
                  <w:tcBorders>
                    <w:tl2br w:val="nil"/>
                    <w:tr2bl w:val="nil"/>
                  </w:tcBorders>
                  <w:vAlign w:val="center"/>
                </w:tcPr>
                <w:p w14:paraId="0C42A43F">
                  <w:pPr>
                    <w:pStyle w:val="30"/>
                    <w:rPr>
                      <w:color w:val="auto"/>
                    </w:rPr>
                  </w:pPr>
                  <w:r>
                    <w:rPr>
                      <w:rFonts w:hint="eastAsia"/>
                      <w:color w:val="auto"/>
                    </w:rPr>
                    <w:t>1</w:t>
                  </w:r>
                  <w:r>
                    <w:rPr>
                      <w:color w:val="auto"/>
                    </w:rPr>
                    <w:t>次/</w:t>
                  </w:r>
                  <w:r>
                    <w:rPr>
                      <w:rFonts w:hint="eastAsia"/>
                      <w:color w:val="auto"/>
                    </w:rPr>
                    <w:t>季度</w:t>
                  </w:r>
                </w:p>
              </w:tc>
              <w:tc>
                <w:tcPr>
                  <w:tcW w:w="1059" w:type="pct"/>
                  <w:tcBorders>
                    <w:tl2br w:val="nil"/>
                    <w:tr2bl w:val="nil"/>
                  </w:tcBorders>
                  <w:vAlign w:val="center"/>
                </w:tcPr>
                <w:p w14:paraId="73A3B2AA">
                  <w:pPr>
                    <w:pStyle w:val="30"/>
                    <w:rPr>
                      <w:color w:val="auto"/>
                    </w:rPr>
                  </w:pPr>
                  <w:r>
                    <w:rPr>
                      <w:color w:val="auto"/>
                    </w:rPr>
                    <w:t>《城市区域环境振动测量方法》（GB10071-88）中“铁路干线”两侧标准</w:t>
                  </w:r>
                </w:p>
              </w:tc>
              <w:tc>
                <w:tcPr>
                  <w:tcW w:w="449" w:type="pct"/>
                  <w:tcBorders>
                    <w:tl2br w:val="nil"/>
                    <w:tr2bl w:val="nil"/>
                  </w:tcBorders>
                  <w:vAlign w:val="center"/>
                </w:tcPr>
                <w:p w14:paraId="6A0A2349">
                  <w:pPr>
                    <w:pStyle w:val="30"/>
                    <w:rPr>
                      <w:color w:val="auto"/>
                    </w:rPr>
                  </w:pPr>
                  <w:r>
                    <w:rPr>
                      <w:color w:val="auto"/>
                    </w:rPr>
                    <w:t>由建设单位委托</w:t>
                  </w:r>
                </w:p>
              </w:tc>
              <w:tc>
                <w:tcPr>
                  <w:tcW w:w="296" w:type="pct"/>
                  <w:tcBorders>
                    <w:tl2br w:val="nil"/>
                    <w:tr2bl w:val="nil"/>
                  </w:tcBorders>
                  <w:vAlign w:val="center"/>
                </w:tcPr>
                <w:p w14:paraId="21F8875B">
                  <w:pPr>
                    <w:pStyle w:val="30"/>
                    <w:rPr>
                      <w:color w:val="auto"/>
                    </w:rPr>
                  </w:pPr>
                  <w:r>
                    <w:rPr>
                      <w:color w:val="auto"/>
                    </w:rPr>
                    <w:t>建设单位</w:t>
                  </w:r>
                </w:p>
              </w:tc>
              <w:tc>
                <w:tcPr>
                  <w:tcW w:w="270" w:type="pct"/>
                  <w:tcBorders>
                    <w:tl2br w:val="nil"/>
                    <w:tr2bl w:val="nil"/>
                  </w:tcBorders>
                  <w:vAlign w:val="center"/>
                </w:tcPr>
                <w:p w14:paraId="566D6DBF">
                  <w:pPr>
                    <w:pStyle w:val="30"/>
                    <w:rPr>
                      <w:color w:val="auto"/>
                    </w:rPr>
                  </w:pPr>
                  <w:r>
                    <w:rPr>
                      <w:color w:val="auto"/>
                    </w:rPr>
                    <w:t>地方环保主管部</w:t>
                  </w:r>
                  <w:r>
                    <w:rPr>
                      <w:rFonts w:hint="eastAsia"/>
                      <w:color w:val="auto"/>
                    </w:rPr>
                    <w:t>门</w:t>
                  </w:r>
                </w:p>
              </w:tc>
            </w:tr>
            <w:tr w14:paraId="7554D96F">
              <w:tblPrEx>
                <w:tblBorders>
                  <w:top w:val="single" w:color="231F20" w:sz="12" w:space="0"/>
                  <w:left w:val="none" w:color="auto" w:sz="0" w:space="0"/>
                  <w:bottom w:val="single" w:color="231F20" w:sz="12" w:space="0"/>
                  <w:right w:val="none" w:color="auto" w:sz="0" w:space="0"/>
                  <w:insideH w:val="single" w:color="231F20" w:sz="4" w:space="0"/>
                  <w:insideV w:val="single" w:color="231F20" w:sz="4" w:space="0"/>
                </w:tblBorders>
                <w:tblCellMar>
                  <w:top w:w="0" w:type="dxa"/>
                  <w:left w:w="0" w:type="dxa"/>
                  <w:bottom w:w="0" w:type="dxa"/>
                  <w:right w:w="0" w:type="dxa"/>
                </w:tblCellMar>
              </w:tblPrEx>
              <w:trPr>
                <w:trHeight w:val="397" w:hRule="atLeast"/>
              </w:trPr>
              <w:tc>
                <w:tcPr>
                  <w:tcW w:w="327" w:type="pct"/>
                  <w:tcBorders>
                    <w:tl2br w:val="nil"/>
                    <w:tr2bl w:val="nil"/>
                  </w:tcBorders>
                  <w:vAlign w:val="center"/>
                </w:tcPr>
                <w:p w14:paraId="1BC4B29F">
                  <w:pPr>
                    <w:pStyle w:val="30"/>
                    <w:rPr>
                      <w:color w:val="auto"/>
                    </w:rPr>
                  </w:pPr>
                  <w:r>
                    <w:rPr>
                      <w:color w:val="auto"/>
                    </w:rPr>
                    <w:t>环境空气</w:t>
                  </w:r>
                </w:p>
              </w:tc>
              <w:tc>
                <w:tcPr>
                  <w:tcW w:w="233" w:type="pct"/>
                  <w:tcBorders>
                    <w:tl2br w:val="nil"/>
                    <w:tr2bl w:val="nil"/>
                  </w:tcBorders>
                  <w:vAlign w:val="center"/>
                </w:tcPr>
                <w:p w14:paraId="64053C53">
                  <w:pPr>
                    <w:pStyle w:val="30"/>
                    <w:rPr>
                      <w:color w:val="auto"/>
                    </w:rPr>
                  </w:pPr>
                  <w:r>
                    <w:rPr>
                      <w:color w:val="auto"/>
                    </w:rPr>
                    <w:t>施工期</w:t>
                  </w:r>
                </w:p>
              </w:tc>
              <w:tc>
                <w:tcPr>
                  <w:tcW w:w="437" w:type="pct"/>
                  <w:tcBorders>
                    <w:tl2br w:val="nil"/>
                    <w:tr2bl w:val="nil"/>
                  </w:tcBorders>
                  <w:vAlign w:val="center"/>
                </w:tcPr>
                <w:p w14:paraId="37E82FB1">
                  <w:pPr>
                    <w:pStyle w:val="30"/>
                    <w:rPr>
                      <w:color w:val="auto"/>
                    </w:rPr>
                  </w:pPr>
                  <w:r>
                    <w:rPr>
                      <w:color w:val="auto"/>
                    </w:rPr>
                    <w:t>沿线主要施工工点</w:t>
                  </w:r>
                </w:p>
              </w:tc>
              <w:tc>
                <w:tcPr>
                  <w:tcW w:w="540" w:type="pct"/>
                  <w:tcBorders>
                    <w:tl2br w:val="nil"/>
                    <w:tr2bl w:val="nil"/>
                  </w:tcBorders>
                  <w:vAlign w:val="center"/>
                </w:tcPr>
                <w:p w14:paraId="617A7696">
                  <w:pPr>
                    <w:pStyle w:val="30"/>
                    <w:rPr>
                      <w:color w:val="auto"/>
                    </w:rPr>
                  </w:pPr>
                  <w:r>
                    <w:rPr>
                      <w:color w:val="auto"/>
                    </w:rPr>
                    <w:t>施工扬尘、运输车辆、施工机械排放</w:t>
                  </w:r>
                </w:p>
              </w:tc>
              <w:tc>
                <w:tcPr>
                  <w:tcW w:w="786" w:type="pct"/>
                  <w:tcBorders>
                    <w:tl2br w:val="nil"/>
                    <w:tr2bl w:val="nil"/>
                  </w:tcBorders>
                  <w:vAlign w:val="center"/>
                </w:tcPr>
                <w:p w14:paraId="322437CD">
                  <w:pPr>
                    <w:pStyle w:val="30"/>
                    <w:rPr>
                      <w:color w:val="auto"/>
                    </w:rPr>
                  </w:pPr>
                  <w:r>
                    <w:rPr>
                      <w:color w:val="auto"/>
                    </w:rPr>
                    <w:t>现场检查</w:t>
                  </w:r>
                </w:p>
              </w:tc>
              <w:tc>
                <w:tcPr>
                  <w:tcW w:w="599" w:type="pct"/>
                  <w:tcBorders>
                    <w:tl2br w:val="nil"/>
                    <w:tr2bl w:val="nil"/>
                  </w:tcBorders>
                  <w:vAlign w:val="center"/>
                </w:tcPr>
                <w:p w14:paraId="327D8F1C">
                  <w:pPr>
                    <w:pStyle w:val="30"/>
                    <w:rPr>
                      <w:color w:val="auto"/>
                    </w:rPr>
                  </w:pPr>
                  <w:r>
                    <w:rPr>
                      <w:color w:val="auto"/>
                    </w:rPr>
                    <w:t>1次/月</w:t>
                  </w:r>
                </w:p>
              </w:tc>
              <w:tc>
                <w:tcPr>
                  <w:tcW w:w="1059" w:type="pct"/>
                  <w:tcBorders>
                    <w:tl2br w:val="nil"/>
                    <w:tr2bl w:val="nil"/>
                  </w:tcBorders>
                  <w:vAlign w:val="center"/>
                </w:tcPr>
                <w:p w14:paraId="15E804A2">
                  <w:pPr>
                    <w:pStyle w:val="30"/>
                    <w:rPr>
                      <w:color w:val="auto"/>
                    </w:rPr>
                  </w:pPr>
                  <w:r>
                    <w:rPr>
                      <w:color w:val="auto"/>
                    </w:rPr>
                    <w:t>《大气污染物综合排放标准》（GB16297-1996）表2中无组织排放监控浓度限值</w:t>
                  </w:r>
                </w:p>
              </w:tc>
              <w:tc>
                <w:tcPr>
                  <w:tcW w:w="449" w:type="pct"/>
                  <w:tcBorders>
                    <w:tl2br w:val="nil"/>
                    <w:tr2bl w:val="nil"/>
                  </w:tcBorders>
                  <w:vAlign w:val="center"/>
                </w:tcPr>
                <w:p w14:paraId="01067E11">
                  <w:pPr>
                    <w:pStyle w:val="30"/>
                    <w:rPr>
                      <w:color w:val="auto"/>
                    </w:rPr>
                  </w:pPr>
                  <w:r>
                    <w:rPr>
                      <w:color w:val="auto"/>
                    </w:rPr>
                    <w:t>由施工单位委托</w:t>
                  </w:r>
                </w:p>
              </w:tc>
              <w:tc>
                <w:tcPr>
                  <w:tcW w:w="296" w:type="pct"/>
                  <w:tcBorders>
                    <w:tl2br w:val="nil"/>
                    <w:tr2bl w:val="nil"/>
                  </w:tcBorders>
                  <w:vAlign w:val="center"/>
                </w:tcPr>
                <w:p w14:paraId="711F0307">
                  <w:pPr>
                    <w:pStyle w:val="30"/>
                    <w:rPr>
                      <w:color w:val="auto"/>
                    </w:rPr>
                  </w:pPr>
                  <w:r>
                    <w:rPr>
                      <w:color w:val="auto"/>
                    </w:rPr>
                    <w:t>建设单位</w:t>
                  </w:r>
                </w:p>
              </w:tc>
              <w:tc>
                <w:tcPr>
                  <w:tcW w:w="270" w:type="pct"/>
                  <w:tcBorders>
                    <w:tl2br w:val="nil"/>
                    <w:tr2bl w:val="nil"/>
                  </w:tcBorders>
                  <w:vAlign w:val="center"/>
                </w:tcPr>
                <w:p w14:paraId="4DC40DDE">
                  <w:pPr>
                    <w:pStyle w:val="30"/>
                    <w:rPr>
                      <w:color w:val="auto"/>
                    </w:rPr>
                  </w:pPr>
                  <w:r>
                    <w:rPr>
                      <w:color w:val="auto"/>
                    </w:rPr>
                    <w:t>地方环保主管部门</w:t>
                  </w:r>
                </w:p>
              </w:tc>
            </w:tr>
          </w:tbl>
          <w:p w14:paraId="532664B8">
            <w:pPr>
              <w:ind w:firstLine="0" w:firstLineChars="0"/>
              <w:jc w:val="center"/>
              <w:rPr>
                <w:bCs/>
                <w:spacing w:val="10"/>
              </w:rPr>
            </w:pPr>
          </w:p>
          <w:p w14:paraId="02F2C82E">
            <w:pPr>
              <w:ind w:firstLine="482"/>
            </w:pPr>
            <w:r>
              <w:rPr>
                <w:rFonts w:hint="eastAsia"/>
                <w:b/>
                <w:bCs/>
              </w:rPr>
              <w:t>2、环境保护投资</w:t>
            </w:r>
          </w:p>
          <w:p w14:paraId="36F63E50">
            <w:pPr>
              <w:ind w:firstLine="480"/>
            </w:pPr>
            <w:r>
              <w:rPr>
                <w:rFonts w:hint="eastAsia"/>
              </w:rPr>
              <w:t>本工程投资估算总额为800.72万元，其中环保投资为40.5万元，环保投资占比5.06%。</w:t>
            </w:r>
          </w:p>
          <w:p w14:paraId="1FC16659">
            <w:pPr>
              <w:pStyle w:val="33"/>
            </w:pPr>
            <w:r>
              <w:rPr>
                <w:rFonts w:hint="eastAsia"/>
              </w:rPr>
              <w:t>表5-2 环境保护投资表   单位：（万元）</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7"/>
              <w:gridCol w:w="1001"/>
              <w:gridCol w:w="4762"/>
              <w:gridCol w:w="858"/>
            </w:tblGrid>
            <w:tr w14:paraId="49A04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2" w:hRule="atLeast"/>
                <w:jc w:val="center"/>
              </w:trPr>
              <w:tc>
                <w:tcPr>
                  <w:tcW w:w="793" w:type="pct"/>
                  <w:vAlign w:val="center"/>
                </w:tcPr>
                <w:p w14:paraId="5980224C">
                  <w:pPr>
                    <w:pStyle w:val="30"/>
                    <w:rPr>
                      <w:color w:val="auto"/>
                    </w:rPr>
                  </w:pPr>
                  <w:r>
                    <w:rPr>
                      <w:color w:val="auto"/>
                    </w:rPr>
                    <w:t>项目</w:t>
                  </w:r>
                </w:p>
              </w:tc>
              <w:tc>
                <w:tcPr>
                  <w:tcW w:w="3661" w:type="pct"/>
                  <w:gridSpan w:val="2"/>
                  <w:vAlign w:val="center"/>
                </w:tcPr>
                <w:p w14:paraId="23B09FC4">
                  <w:pPr>
                    <w:pStyle w:val="30"/>
                    <w:rPr>
                      <w:color w:val="auto"/>
                    </w:rPr>
                  </w:pPr>
                  <w:r>
                    <w:rPr>
                      <w:color w:val="auto"/>
                    </w:rPr>
                    <w:t>工程项目</w:t>
                  </w:r>
                </w:p>
              </w:tc>
              <w:tc>
                <w:tcPr>
                  <w:tcW w:w="545" w:type="pct"/>
                  <w:vAlign w:val="center"/>
                </w:tcPr>
                <w:p w14:paraId="49EDFA18">
                  <w:pPr>
                    <w:pStyle w:val="30"/>
                    <w:rPr>
                      <w:color w:val="auto"/>
                    </w:rPr>
                  </w:pPr>
                  <w:r>
                    <w:rPr>
                      <w:color w:val="auto"/>
                    </w:rPr>
                    <w:t>投资</w:t>
                  </w:r>
                </w:p>
              </w:tc>
            </w:tr>
            <w:tr w14:paraId="53DD93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8" w:hRule="atLeast"/>
                <w:jc w:val="center"/>
              </w:trPr>
              <w:tc>
                <w:tcPr>
                  <w:tcW w:w="793" w:type="pct"/>
                  <w:vAlign w:val="center"/>
                </w:tcPr>
                <w:p w14:paraId="24D1CF5B">
                  <w:pPr>
                    <w:pStyle w:val="30"/>
                    <w:rPr>
                      <w:color w:val="auto"/>
                    </w:rPr>
                  </w:pPr>
                  <w:r>
                    <w:rPr>
                      <w:color w:val="auto"/>
                    </w:rPr>
                    <w:t>大气治理</w:t>
                  </w:r>
                </w:p>
              </w:tc>
              <w:tc>
                <w:tcPr>
                  <w:tcW w:w="3661" w:type="pct"/>
                  <w:gridSpan w:val="2"/>
                  <w:vAlign w:val="center"/>
                </w:tcPr>
                <w:p w14:paraId="200C9A8C">
                  <w:pPr>
                    <w:pStyle w:val="30"/>
                    <w:rPr>
                      <w:color w:val="auto"/>
                    </w:rPr>
                  </w:pPr>
                  <w:r>
                    <w:rPr>
                      <w:color w:val="auto"/>
                    </w:rPr>
                    <w:t>建筑材料遮盖，施工现场四周设置围挡，施工道路洒水降尘。</w:t>
                  </w:r>
                </w:p>
              </w:tc>
              <w:tc>
                <w:tcPr>
                  <w:tcW w:w="545" w:type="pct"/>
                  <w:vAlign w:val="center"/>
                </w:tcPr>
                <w:p w14:paraId="1E91A116">
                  <w:pPr>
                    <w:pStyle w:val="30"/>
                    <w:rPr>
                      <w:color w:val="auto"/>
                    </w:rPr>
                  </w:pPr>
                  <w:r>
                    <w:rPr>
                      <w:rFonts w:hint="eastAsia"/>
                      <w:color w:val="auto"/>
                    </w:rPr>
                    <w:t>4</w:t>
                  </w:r>
                </w:p>
              </w:tc>
            </w:tr>
            <w:tr w14:paraId="4064E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9" w:hRule="atLeast"/>
                <w:jc w:val="center"/>
              </w:trPr>
              <w:tc>
                <w:tcPr>
                  <w:tcW w:w="793" w:type="pct"/>
                  <w:vAlign w:val="center"/>
                </w:tcPr>
                <w:p w14:paraId="7675114D">
                  <w:pPr>
                    <w:pStyle w:val="30"/>
                    <w:rPr>
                      <w:color w:val="auto"/>
                    </w:rPr>
                  </w:pPr>
                  <w:r>
                    <w:rPr>
                      <w:rFonts w:hint="eastAsia"/>
                      <w:color w:val="auto"/>
                    </w:rPr>
                    <w:t>废水</w:t>
                  </w:r>
                  <w:r>
                    <w:rPr>
                      <w:color w:val="auto"/>
                    </w:rPr>
                    <w:t>防治</w:t>
                  </w:r>
                </w:p>
              </w:tc>
              <w:tc>
                <w:tcPr>
                  <w:tcW w:w="3661" w:type="pct"/>
                  <w:gridSpan w:val="2"/>
                  <w:vAlign w:val="center"/>
                </w:tcPr>
                <w:p w14:paraId="0425AF50">
                  <w:pPr>
                    <w:pStyle w:val="30"/>
                    <w:rPr>
                      <w:rFonts w:hint="eastAsia" w:eastAsia="宋体"/>
                      <w:color w:val="auto"/>
                      <w:lang w:eastAsia="zh-CN"/>
                    </w:rPr>
                  </w:pPr>
                  <w:r>
                    <w:rPr>
                      <w:color w:val="auto"/>
                    </w:rPr>
                    <w:t>沉淀池沉淀后利用于施工道路洒水降尘</w:t>
                  </w:r>
                  <w:r>
                    <w:rPr>
                      <w:rFonts w:hint="eastAsia"/>
                      <w:color w:val="auto"/>
                      <w:lang w:eastAsia="zh-CN"/>
                    </w:rPr>
                    <w:t>，</w:t>
                  </w:r>
                  <w:r>
                    <w:rPr>
                      <w:rFonts w:hint="eastAsia"/>
                      <w:color w:val="auto"/>
                    </w:rPr>
                    <w:t>施工期员工生活污水依托附近村庄排入防渗旱厕</w:t>
                  </w:r>
                  <w:r>
                    <w:rPr>
                      <w:rFonts w:hint="eastAsia"/>
                      <w:color w:val="auto"/>
                      <w:lang w:eastAsia="zh-CN"/>
                    </w:rPr>
                    <w:t>。</w:t>
                  </w:r>
                </w:p>
              </w:tc>
              <w:tc>
                <w:tcPr>
                  <w:tcW w:w="545" w:type="pct"/>
                  <w:vAlign w:val="center"/>
                </w:tcPr>
                <w:p w14:paraId="34C338C0">
                  <w:pPr>
                    <w:pStyle w:val="30"/>
                    <w:rPr>
                      <w:color w:val="auto"/>
                    </w:rPr>
                  </w:pPr>
                  <w:r>
                    <w:rPr>
                      <w:rFonts w:hint="eastAsia"/>
                      <w:color w:val="auto"/>
                    </w:rPr>
                    <w:t>4</w:t>
                  </w:r>
                </w:p>
              </w:tc>
            </w:tr>
            <w:tr w14:paraId="4CCAA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1" w:hRule="atLeast"/>
                <w:jc w:val="center"/>
              </w:trPr>
              <w:tc>
                <w:tcPr>
                  <w:tcW w:w="793" w:type="pct"/>
                  <w:vMerge w:val="restart"/>
                  <w:vAlign w:val="center"/>
                </w:tcPr>
                <w:p w14:paraId="7A5BE5F7">
                  <w:pPr>
                    <w:pStyle w:val="30"/>
                    <w:rPr>
                      <w:color w:val="auto"/>
                    </w:rPr>
                  </w:pPr>
                  <w:r>
                    <w:rPr>
                      <w:rFonts w:hint="eastAsia"/>
                      <w:color w:val="auto"/>
                    </w:rPr>
                    <w:t>噪声</w:t>
                  </w:r>
                </w:p>
              </w:tc>
              <w:tc>
                <w:tcPr>
                  <w:tcW w:w="636" w:type="pct"/>
                  <w:vAlign w:val="center"/>
                </w:tcPr>
                <w:p w14:paraId="32924019">
                  <w:pPr>
                    <w:pStyle w:val="30"/>
                    <w:rPr>
                      <w:color w:val="auto"/>
                    </w:rPr>
                  </w:pPr>
                  <w:r>
                    <w:rPr>
                      <w:rFonts w:hint="eastAsia"/>
                      <w:color w:val="auto"/>
                    </w:rPr>
                    <w:t>施工期</w:t>
                  </w:r>
                </w:p>
              </w:tc>
              <w:tc>
                <w:tcPr>
                  <w:tcW w:w="3025" w:type="pct"/>
                  <w:vAlign w:val="center"/>
                </w:tcPr>
                <w:p w14:paraId="2FB1D33A">
                  <w:pPr>
                    <w:pStyle w:val="30"/>
                    <w:rPr>
                      <w:color w:val="auto"/>
                    </w:rPr>
                  </w:pPr>
                  <w:r>
                    <w:rPr>
                      <w:rFonts w:hint="eastAsia"/>
                      <w:color w:val="auto"/>
                    </w:rPr>
                    <w:t>施工设备选用低噪声设备</w:t>
                  </w:r>
                </w:p>
              </w:tc>
              <w:tc>
                <w:tcPr>
                  <w:tcW w:w="545" w:type="pct"/>
                  <w:vMerge w:val="restart"/>
                  <w:vAlign w:val="center"/>
                </w:tcPr>
                <w:p w14:paraId="5401313C">
                  <w:pPr>
                    <w:pStyle w:val="30"/>
                    <w:rPr>
                      <w:color w:val="auto"/>
                    </w:rPr>
                  </w:pPr>
                  <w:r>
                    <w:rPr>
                      <w:rFonts w:hint="eastAsia"/>
                      <w:color w:val="auto"/>
                    </w:rPr>
                    <w:t>15</w:t>
                  </w:r>
                </w:p>
              </w:tc>
            </w:tr>
            <w:tr w14:paraId="1ED07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1" w:hRule="atLeast"/>
                <w:jc w:val="center"/>
              </w:trPr>
              <w:tc>
                <w:tcPr>
                  <w:tcW w:w="793" w:type="pct"/>
                  <w:vMerge w:val="continue"/>
                  <w:vAlign w:val="center"/>
                </w:tcPr>
                <w:p w14:paraId="15FB08CD">
                  <w:pPr>
                    <w:pStyle w:val="30"/>
                    <w:rPr>
                      <w:color w:val="auto"/>
                    </w:rPr>
                  </w:pPr>
                </w:p>
              </w:tc>
              <w:tc>
                <w:tcPr>
                  <w:tcW w:w="636" w:type="pct"/>
                  <w:vAlign w:val="center"/>
                </w:tcPr>
                <w:p w14:paraId="5A8D6B53">
                  <w:pPr>
                    <w:pStyle w:val="30"/>
                    <w:rPr>
                      <w:color w:val="auto"/>
                    </w:rPr>
                  </w:pPr>
                  <w:r>
                    <w:rPr>
                      <w:rFonts w:hint="eastAsia"/>
                      <w:color w:val="auto"/>
                    </w:rPr>
                    <w:t>运营期</w:t>
                  </w:r>
                </w:p>
              </w:tc>
              <w:tc>
                <w:tcPr>
                  <w:tcW w:w="3025" w:type="pct"/>
                  <w:vAlign w:val="center"/>
                </w:tcPr>
                <w:p w14:paraId="7E5B3A99">
                  <w:pPr>
                    <w:pStyle w:val="30"/>
                    <w:rPr>
                      <w:color w:val="auto"/>
                    </w:rPr>
                  </w:pPr>
                  <w:r>
                    <w:rPr>
                      <w:rFonts w:hint="eastAsia"/>
                      <w:color w:val="auto"/>
                    </w:rPr>
                    <w:t>加强管理和保养，定期进行轨道打磨和旋轮等，使铁路在专用线路条件下运行时间长</w:t>
                  </w:r>
                </w:p>
              </w:tc>
              <w:tc>
                <w:tcPr>
                  <w:tcW w:w="545" w:type="pct"/>
                  <w:vMerge w:val="continue"/>
                  <w:vAlign w:val="center"/>
                </w:tcPr>
                <w:p w14:paraId="0CE3EB8F">
                  <w:pPr>
                    <w:pStyle w:val="30"/>
                    <w:rPr>
                      <w:color w:val="auto"/>
                    </w:rPr>
                  </w:pPr>
                </w:p>
              </w:tc>
            </w:tr>
            <w:tr w14:paraId="4AABA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9" w:hRule="atLeast"/>
                <w:jc w:val="center"/>
              </w:trPr>
              <w:tc>
                <w:tcPr>
                  <w:tcW w:w="793" w:type="pct"/>
                  <w:vAlign w:val="center"/>
                </w:tcPr>
                <w:p w14:paraId="3E65F815">
                  <w:pPr>
                    <w:pStyle w:val="30"/>
                    <w:rPr>
                      <w:color w:val="auto"/>
                    </w:rPr>
                  </w:pPr>
                  <w:r>
                    <w:rPr>
                      <w:color w:val="auto"/>
                    </w:rPr>
                    <w:t>生态</w:t>
                  </w:r>
                  <w:r>
                    <w:rPr>
                      <w:rFonts w:hint="eastAsia"/>
                      <w:color w:val="auto"/>
                    </w:rPr>
                    <w:t>环境</w:t>
                  </w:r>
                </w:p>
              </w:tc>
              <w:tc>
                <w:tcPr>
                  <w:tcW w:w="3661" w:type="pct"/>
                  <w:gridSpan w:val="2"/>
                  <w:vAlign w:val="center"/>
                </w:tcPr>
                <w:p w14:paraId="68EB15AB">
                  <w:pPr>
                    <w:pStyle w:val="30"/>
                    <w:rPr>
                      <w:color w:val="auto"/>
                    </w:rPr>
                  </w:pPr>
                  <w:r>
                    <w:rPr>
                      <w:color w:val="auto"/>
                    </w:rPr>
                    <w:t>临时占地恢复</w:t>
                  </w:r>
                  <w:r>
                    <w:rPr>
                      <w:rFonts w:hint="eastAsia"/>
                      <w:color w:val="auto"/>
                    </w:rPr>
                    <w:t>，裸露地面植树种草绿化。</w:t>
                  </w:r>
                </w:p>
              </w:tc>
              <w:tc>
                <w:tcPr>
                  <w:tcW w:w="545" w:type="pct"/>
                  <w:vAlign w:val="center"/>
                </w:tcPr>
                <w:p w14:paraId="1DAB2B5F">
                  <w:pPr>
                    <w:pStyle w:val="30"/>
                    <w:rPr>
                      <w:color w:val="auto"/>
                    </w:rPr>
                  </w:pPr>
                  <w:r>
                    <w:rPr>
                      <w:rFonts w:hint="eastAsia"/>
                      <w:color w:val="auto"/>
                    </w:rPr>
                    <w:t>4</w:t>
                  </w:r>
                </w:p>
              </w:tc>
            </w:tr>
            <w:tr w14:paraId="353FCF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9" w:hRule="atLeast"/>
                <w:jc w:val="center"/>
              </w:trPr>
              <w:tc>
                <w:tcPr>
                  <w:tcW w:w="793" w:type="pct"/>
                  <w:vAlign w:val="center"/>
                </w:tcPr>
                <w:p w14:paraId="35DAEC14">
                  <w:pPr>
                    <w:pStyle w:val="30"/>
                    <w:rPr>
                      <w:color w:val="auto"/>
                    </w:rPr>
                  </w:pPr>
                  <w:r>
                    <w:rPr>
                      <w:rFonts w:hint="eastAsia"/>
                      <w:color w:val="auto"/>
                    </w:rPr>
                    <w:t>固体废物</w:t>
                  </w:r>
                </w:p>
              </w:tc>
              <w:tc>
                <w:tcPr>
                  <w:tcW w:w="3661" w:type="pct"/>
                  <w:gridSpan w:val="2"/>
                  <w:vAlign w:val="center"/>
                </w:tcPr>
                <w:p w14:paraId="2A9F8ED0">
                  <w:pPr>
                    <w:pStyle w:val="30"/>
                    <w:rPr>
                      <w:color w:val="auto"/>
                    </w:rPr>
                  </w:pPr>
                  <w:r>
                    <w:rPr>
                      <w:rFonts w:hint="eastAsia"/>
                      <w:color w:val="auto"/>
                    </w:rPr>
                    <w:t>施工期建筑材料按要求规划运输，送至环保指定地点处理，不要随意倾倒建筑垃圾，施工人员的生活垃圾收集到指定的垃圾箱内，由环卫部门统一及时处理。</w:t>
                  </w:r>
                </w:p>
              </w:tc>
              <w:tc>
                <w:tcPr>
                  <w:tcW w:w="545" w:type="pct"/>
                  <w:vAlign w:val="center"/>
                </w:tcPr>
                <w:p w14:paraId="46368958">
                  <w:pPr>
                    <w:pStyle w:val="30"/>
                    <w:rPr>
                      <w:color w:val="auto"/>
                    </w:rPr>
                  </w:pPr>
                  <w:r>
                    <w:rPr>
                      <w:rFonts w:hint="eastAsia"/>
                      <w:color w:val="auto"/>
                    </w:rPr>
                    <w:t>8</w:t>
                  </w:r>
                </w:p>
              </w:tc>
            </w:tr>
            <w:tr w14:paraId="16C95A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793" w:type="pct"/>
                  <w:vAlign w:val="center"/>
                </w:tcPr>
                <w:p w14:paraId="6BFEEC18">
                  <w:pPr>
                    <w:pStyle w:val="30"/>
                    <w:rPr>
                      <w:color w:val="auto"/>
                    </w:rPr>
                  </w:pPr>
                  <w:r>
                    <w:rPr>
                      <w:rFonts w:hint="eastAsia"/>
                      <w:color w:val="auto"/>
                    </w:rPr>
                    <w:t>环境监测与管理</w:t>
                  </w:r>
                </w:p>
              </w:tc>
              <w:tc>
                <w:tcPr>
                  <w:tcW w:w="3661" w:type="pct"/>
                  <w:gridSpan w:val="2"/>
                  <w:vAlign w:val="center"/>
                </w:tcPr>
                <w:p w14:paraId="2DB43BBF">
                  <w:pPr>
                    <w:pStyle w:val="30"/>
                    <w:rPr>
                      <w:color w:val="auto"/>
                    </w:rPr>
                  </w:pPr>
                  <w:r>
                    <w:rPr>
                      <w:rFonts w:hint="eastAsia"/>
                      <w:color w:val="auto"/>
                    </w:rPr>
                    <w:t>施工期</w:t>
                  </w:r>
                  <w:r>
                    <w:rPr>
                      <w:rFonts w:hint="eastAsia"/>
                      <w:color w:val="auto"/>
                      <w:lang w:val="en-US" w:eastAsia="zh-CN"/>
                    </w:rPr>
                    <w:t>及运营期</w:t>
                  </w:r>
                  <w:r>
                    <w:rPr>
                      <w:rFonts w:hint="eastAsia"/>
                      <w:color w:val="auto"/>
                    </w:rPr>
                    <w:t>监测</w:t>
                  </w:r>
                </w:p>
              </w:tc>
              <w:tc>
                <w:tcPr>
                  <w:tcW w:w="545" w:type="pct"/>
                  <w:vAlign w:val="center"/>
                </w:tcPr>
                <w:p w14:paraId="7664DEEE">
                  <w:pPr>
                    <w:pStyle w:val="30"/>
                    <w:rPr>
                      <w:color w:val="auto"/>
                    </w:rPr>
                  </w:pPr>
                  <w:r>
                    <w:rPr>
                      <w:rFonts w:hint="eastAsia"/>
                      <w:color w:val="auto"/>
                    </w:rPr>
                    <w:t>5.5</w:t>
                  </w:r>
                </w:p>
              </w:tc>
            </w:tr>
            <w:tr w14:paraId="1D09BE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8" w:hRule="atLeast"/>
                <w:jc w:val="center"/>
              </w:trPr>
              <w:tc>
                <w:tcPr>
                  <w:tcW w:w="4454" w:type="pct"/>
                  <w:gridSpan w:val="3"/>
                  <w:vAlign w:val="center"/>
                </w:tcPr>
                <w:p w14:paraId="45AC6A1F">
                  <w:pPr>
                    <w:pStyle w:val="30"/>
                    <w:rPr>
                      <w:color w:val="auto"/>
                    </w:rPr>
                  </w:pPr>
                  <w:r>
                    <w:rPr>
                      <w:color w:val="auto"/>
                    </w:rPr>
                    <w:t>合计</w:t>
                  </w:r>
                </w:p>
              </w:tc>
              <w:tc>
                <w:tcPr>
                  <w:tcW w:w="545" w:type="pct"/>
                  <w:vAlign w:val="center"/>
                </w:tcPr>
                <w:p w14:paraId="026FFB56">
                  <w:pPr>
                    <w:pStyle w:val="30"/>
                    <w:rPr>
                      <w:color w:val="auto"/>
                    </w:rPr>
                  </w:pPr>
                  <w:r>
                    <w:rPr>
                      <w:rFonts w:hint="eastAsia"/>
                      <w:color w:val="auto"/>
                    </w:rPr>
                    <w:t>40.5</w:t>
                  </w:r>
                </w:p>
              </w:tc>
            </w:tr>
          </w:tbl>
          <w:p w14:paraId="19CDC2B6">
            <w:pPr>
              <w:ind w:firstLine="480"/>
            </w:pPr>
          </w:p>
        </w:tc>
      </w:tr>
    </w:tbl>
    <w:p w14:paraId="53885BCF">
      <w:pPr>
        <w:ind w:firstLine="480"/>
        <w:sectPr>
          <w:pgSz w:w="11907" w:h="16840"/>
          <w:pgMar w:top="1440" w:right="1797" w:bottom="1440" w:left="1797" w:header="851" w:footer="1077" w:gutter="0"/>
          <w:pgBorders>
            <w:top w:val="none" w:sz="0" w:space="0"/>
            <w:left w:val="none" w:sz="0" w:space="0"/>
            <w:bottom w:val="none" w:sz="0" w:space="0"/>
            <w:right w:val="none" w:sz="0" w:space="0"/>
          </w:pgBorders>
          <w:cols w:space="720" w:num="1"/>
          <w:docGrid w:linePitch="312" w:charSpace="0"/>
        </w:sectPr>
      </w:pPr>
    </w:p>
    <w:p w14:paraId="3136EEB7">
      <w:pPr>
        <w:pStyle w:val="21"/>
        <w:ind w:firstLine="0" w:firstLineChars="0"/>
        <w:jc w:val="center"/>
        <w:outlineLvl w:val="0"/>
        <w:rPr>
          <w:rFonts w:ascii="Times New Roman" w:hAnsi="Times New Roman" w:eastAsia="黑体"/>
          <w:snapToGrid w:val="0"/>
          <w:sz w:val="30"/>
          <w:szCs w:val="30"/>
        </w:rPr>
      </w:pPr>
      <w:bookmarkStart w:id="17" w:name="_Toc17276"/>
      <w:r>
        <w:rPr>
          <w:rFonts w:ascii="Times New Roman" w:hAnsi="Times New Roman" w:eastAsia="黑体"/>
          <w:snapToGrid w:val="0"/>
          <w:sz w:val="30"/>
          <w:szCs w:val="30"/>
        </w:rPr>
        <w:t>六、生态环境保护措施监督检查清单</w:t>
      </w:r>
      <w:bookmarkEnd w:id="17"/>
    </w:p>
    <w:tbl>
      <w:tblPr>
        <w:tblStyle w:val="25"/>
        <w:tblW w:w="540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06"/>
        <w:gridCol w:w="3136"/>
        <w:gridCol w:w="1717"/>
        <w:gridCol w:w="1493"/>
        <w:gridCol w:w="1664"/>
      </w:tblGrid>
      <w:tr w14:paraId="128528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654" w:type="pct"/>
            <w:vMerge w:val="restart"/>
            <w:tcBorders>
              <w:tl2br w:val="single" w:color="auto" w:sz="4" w:space="0"/>
            </w:tcBorders>
          </w:tcPr>
          <w:p w14:paraId="2370A625">
            <w:pPr>
              <w:pStyle w:val="30"/>
              <w:rPr>
                <w:sz w:val="24"/>
                <w:szCs w:val="24"/>
              </w:rPr>
            </w:pPr>
            <w:r>
              <w:rPr>
                <w:sz w:val="24"/>
                <w:szCs w:val="24"/>
              </w:rPr>
              <w:t xml:space="preserve">    内容</w:t>
            </w:r>
          </w:p>
          <w:p w14:paraId="33A28DBE">
            <w:pPr>
              <w:pStyle w:val="30"/>
              <w:rPr>
                <w:sz w:val="24"/>
                <w:szCs w:val="24"/>
              </w:rPr>
            </w:pPr>
          </w:p>
          <w:p w14:paraId="7E24839E">
            <w:pPr>
              <w:pStyle w:val="30"/>
              <w:jc w:val="both"/>
              <w:rPr>
                <w:sz w:val="24"/>
                <w:szCs w:val="24"/>
              </w:rPr>
            </w:pPr>
            <w:r>
              <w:rPr>
                <w:sz w:val="24"/>
                <w:szCs w:val="24"/>
              </w:rPr>
              <w:t>要素</w:t>
            </w:r>
          </w:p>
        </w:tc>
        <w:tc>
          <w:tcPr>
            <w:tcW w:w="2632" w:type="pct"/>
            <w:gridSpan w:val="2"/>
            <w:vAlign w:val="center"/>
          </w:tcPr>
          <w:p w14:paraId="59DA3D2E">
            <w:pPr>
              <w:pStyle w:val="30"/>
              <w:rPr>
                <w:sz w:val="24"/>
                <w:szCs w:val="24"/>
              </w:rPr>
            </w:pPr>
            <w:r>
              <w:rPr>
                <w:sz w:val="24"/>
                <w:szCs w:val="24"/>
              </w:rPr>
              <w:t>施工期</w:t>
            </w:r>
          </w:p>
        </w:tc>
        <w:tc>
          <w:tcPr>
            <w:tcW w:w="1712" w:type="pct"/>
            <w:gridSpan w:val="2"/>
            <w:vAlign w:val="center"/>
          </w:tcPr>
          <w:p w14:paraId="246A066C">
            <w:pPr>
              <w:pStyle w:val="30"/>
              <w:rPr>
                <w:sz w:val="24"/>
                <w:szCs w:val="24"/>
              </w:rPr>
            </w:pPr>
            <w:r>
              <w:rPr>
                <w:sz w:val="24"/>
                <w:szCs w:val="24"/>
              </w:rPr>
              <w:t>运营期</w:t>
            </w:r>
          </w:p>
        </w:tc>
      </w:tr>
      <w:tr w14:paraId="2DCEFB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654" w:type="pct"/>
            <w:vMerge w:val="continue"/>
          </w:tcPr>
          <w:p w14:paraId="1973DE89">
            <w:pPr>
              <w:pStyle w:val="30"/>
              <w:rPr>
                <w:sz w:val="24"/>
                <w:szCs w:val="24"/>
              </w:rPr>
            </w:pPr>
          </w:p>
        </w:tc>
        <w:tc>
          <w:tcPr>
            <w:tcW w:w="1701" w:type="pct"/>
            <w:vAlign w:val="center"/>
          </w:tcPr>
          <w:p w14:paraId="0D2CFCE6">
            <w:pPr>
              <w:pStyle w:val="30"/>
              <w:rPr>
                <w:sz w:val="24"/>
                <w:szCs w:val="24"/>
              </w:rPr>
            </w:pPr>
            <w:r>
              <w:rPr>
                <w:sz w:val="24"/>
                <w:szCs w:val="24"/>
              </w:rPr>
              <w:t>环境保护措施</w:t>
            </w:r>
          </w:p>
        </w:tc>
        <w:tc>
          <w:tcPr>
            <w:tcW w:w="931" w:type="pct"/>
            <w:vAlign w:val="center"/>
          </w:tcPr>
          <w:p w14:paraId="11EEAFD7">
            <w:pPr>
              <w:pStyle w:val="30"/>
              <w:rPr>
                <w:sz w:val="24"/>
                <w:szCs w:val="24"/>
              </w:rPr>
            </w:pPr>
            <w:r>
              <w:rPr>
                <w:sz w:val="24"/>
                <w:szCs w:val="24"/>
              </w:rPr>
              <w:t>验收要求</w:t>
            </w:r>
          </w:p>
        </w:tc>
        <w:tc>
          <w:tcPr>
            <w:tcW w:w="810" w:type="pct"/>
            <w:vAlign w:val="center"/>
          </w:tcPr>
          <w:p w14:paraId="0CDC8BFF">
            <w:pPr>
              <w:pStyle w:val="30"/>
              <w:rPr>
                <w:sz w:val="24"/>
                <w:szCs w:val="24"/>
              </w:rPr>
            </w:pPr>
            <w:r>
              <w:rPr>
                <w:sz w:val="24"/>
                <w:szCs w:val="24"/>
              </w:rPr>
              <w:t>环境保护措施</w:t>
            </w:r>
          </w:p>
        </w:tc>
        <w:tc>
          <w:tcPr>
            <w:tcW w:w="902" w:type="pct"/>
            <w:vAlign w:val="center"/>
          </w:tcPr>
          <w:p w14:paraId="03F374A8">
            <w:pPr>
              <w:pStyle w:val="30"/>
              <w:rPr>
                <w:sz w:val="24"/>
                <w:szCs w:val="24"/>
              </w:rPr>
            </w:pPr>
            <w:r>
              <w:rPr>
                <w:sz w:val="24"/>
                <w:szCs w:val="24"/>
              </w:rPr>
              <w:t>验收要求</w:t>
            </w:r>
          </w:p>
        </w:tc>
      </w:tr>
      <w:tr w14:paraId="2BDE66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87" w:hRule="atLeast"/>
          <w:jc w:val="center"/>
        </w:trPr>
        <w:tc>
          <w:tcPr>
            <w:tcW w:w="654" w:type="pct"/>
            <w:vAlign w:val="center"/>
          </w:tcPr>
          <w:p w14:paraId="788B30CD">
            <w:pPr>
              <w:pStyle w:val="30"/>
              <w:rPr>
                <w:sz w:val="24"/>
                <w:szCs w:val="24"/>
              </w:rPr>
            </w:pPr>
            <w:r>
              <w:rPr>
                <w:sz w:val="24"/>
                <w:szCs w:val="24"/>
              </w:rPr>
              <w:t>陆生生态</w:t>
            </w:r>
          </w:p>
        </w:tc>
        <w:tc>
          <w:tcPr>
            <w:tcW w:w="1701" w:type="pct"/>
            <w:vAlign w:val="center"/>
          </w:tcPr>
          <w:p w14:paraId="0EDC3065">
            <w:pPr>
              <w:pStyle w:val="30"/>
              <w:rPr>
                <w:sz w:val="24"/>
                <w:szCs w:val="24"/>
              </w:rPr>
            </w:pPr>
            <w:r>
              <w:rPr>
                <w:rFonts w:hint="eastAsia"/>
                <w:sz w:val="24"/>
                <w:szCs w:val="24"/>
              </w:rPr>
              <w:t>严格控制施工范围，禁止超范围占地；加强对施工人员宣传教育；临时占地及时恢复原有的土地类型；绿化；建设涵洞、桥梁等降低对动物的影响；减少土地占用</w:t>
            </w:r>
          </w:p>
        </w:tc>
        <w:tc>
          <w:tcPr>
            <w:tcW w:w="931" w:type="pct"/>
            <w:vAlign w:val="center"/>
          </w:tcPr>
          <w:p w14:paraId="3039595A">
            <w:pPr>
              <w:pStyle w:val="30"/>
              <w:rPr>
                <w:sz w:val="24"/>
                <w:szCs w:val="24"/>
              </w:rPr>
            </w:pPr>
            <w:r>
              <w:rPr>
                <w:sz w:val="24"/>
                <w:szCs w:val="24"/>
              </w:rPr>
              <w:t>对临时占地恢复成原有用地性质</w:t>
            </w:r>
          </w:p>
        </w:tc>
        <w:tc>
          <w:tcPr>
            <w:tcW w:w="810" w:type="pct"/>
            <w:vAlign w:val="center"/>
          </w:tcPr>
          <w:p w14:paraId="23259030">
            <w:pPr>
              <w:pStyle w:val="30"/>
              <w:rPr>
                <w:sz w:val="24"/>
                <w:szCs w:val="24"/>
              </w:rPr>
            </w:pPr>
            <w:r>
              <w:rPr>
                <w:rFonts w:hint="eastAsia"/>
                <w:sz w:val="24"/>
                <w:szCs w:val="24"/>
              </w:rPr>
              <w:t>/</w:t>
            </w:r>
          </w:p>
        </w:tc>
        <w:tc>
          <w:tcPr>
            <w:tcW w:w="902" w:type="pct"/>
            <w:vAlign w:val="center"/>
          </w:tcPr>
          <w:p w14:paraId="731947A4">
            <w:pPr>
              <w:pStyle w:val="30"/>
              <w:rPr>
                <w:sz w:val="24"/>
                <w:szCs w:val="24"/>
              </w:rPr>
            </w:pPr>
            <w:r>
              <w:rPr>
                <w:rFonts w:hint="eastAsia"/>
                <w:sz w:val="24"/>
                <w:szCs w:val="24"/>
              </w:rPr>
              <w:t>/</w:t>
            </w:r>
          </w:p>
        </w:tc>
      </w:tr>
      <w:tr w14:paraId="4EA499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02" w:hRule="atLeast"/>
          <w:jc w:val="center"/>
        </w:trPr>
        <w:tc>
          <w:tcPr>
            <w:tcW w:w="654" w:type="pct"/>
            <w:vAlign w:val="center"/>
          </w:tcPr>
          <w:p w14:paraId="0E094345">
            <w:pPr>
              <w:pStyle w:val="30"/>
              <w:rPr>
                <w:sz w:val="24"/>
                <w:szCs w:val="24"/>
              </w:rPr>
            </w:pPr>
            <w:r>
              <w:rPr>
                <w:sz w:val="24"/>
                <w:szCs w:val="24"/>
              </w:rPr>
              <w:t>水生生态</w:t>
            </w:r>
          </w:p>
        </w:tc>
        <w:tc>
          <w:tcPr>
            <w:tcW w:w="1701" w:type="pct"/>
            <w:vAlign w:val="center"/>
          </w:tcPr>
          <w:p w14:paraId="146666DD">
            <w:pPr>
              <w:ind w:firstLine="0" w:firstLineChars="0"/>
              <w:jc w:val="center"/>
            </w:pPr>
            <w:r>
              <w:rPr>
                <w:rFonts w:hint="eastAsia"/>
              </w:rPr>
              <w:t>/</w:t>
            </w:r>
          </w:p>
        </w:tc>
        <w:tc>
          <w:tcPr>
            <w:tcW w:w="931" w:type="pct"/>
            <w:vAlign w:val="center"/>
          </w:tcPr>
          <w:p w14:paraId="3784F9FD">
            <w:pPr>
              <w:ind w:firstLine="0" w:firstLineChars="0"/>
              <w:jc w:val="center"/>
            </w:pPr>
            <w:r>
              <w:rPr>
                <w:rFonts w:hint="eastAsia"/>
              </w:rPr>
              <w:t>/</w:t>
            </w:r>
          </w:p>
        </w:tc>
        <w:tc>
          <w:tcPr>
            <w:tcW w:w="810" w:type="pct"/>
            <w:vAlign w:val="center"/>
          </w:tcPr>
          <w:p w14:paraId="03772040">
            <w:pPr>
              <w:pStyle w:val="30"/>
              <w:rPr>
                <w:sz w:val="24"/>
                <w:szCs w:val="24"/>
              </w:rPr>
            </w:pPr>
            <w:r>
              <w:rPr>
                <w:sz w:val="24"/>
                <w:szCs w:val="24"/>
              </w:rPr>
              <w:t>/</w:t>
            </w:r>
          </w:p>
        </w:tc>
        <w:tc>
          <w:tcPr>
            <w:tcW w:w="902" w:type="pct"/>
            <w:vAlign w:val="center"/>
          </w:tcPr>
          <w:p w14:paraId="0C1CF9B7">
            <w:pPr>
              <w:pStyle w:val="30"/>
              <w:rPr>
                <w:sz w:val="24"/>
                <w:szCs w:val="24"/>
              </w:rPr>
            </w:pPr>
            <w:r>
              <w:rPr>
                <w:sz w:val="24"/>
                <w:szCs w:val="24"/>
              </w:rPr>
              <w:t>/</w:t>
            </w:r>
          </w:p>
        </w:tc>
      </w:tr>
      <w:tr w14:paraId="7E4737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654" w:type="pct"/>
            <w:vAlign w:val="center"/>
          </w:tcPr>
          <w:p w14:paraId="1B9CE50C">
            <w:pPr>
              <w:pStyle w:val="30"/>
              <w:rPr>
                <w:sz w:val="24"/>
                <w:szCs w:val="24"/>
              </w:rPr>
            </w:pPr>
            <w:r>
              <w:rPr>
                <w:sz w:val="24"/>
                <w:szCs w:val="24"/>
              </w:rPr>
              <w:t>地表水环境</w:t>
            </w:r>
          </w:p>
        </w:tc>
        <w:tc>
          <w:tcPr>
            <w:tcW w:w="1701" w:type="pct"/>
            <w:vAlign w:val="center"/>
          </w:tcPr>
          <w:p w14:paraId="6D0BC9C9">
            <w:pPr>
              <w:adjustRightInd w:val="0"/>
              <w:snapToGrid w:val="0"/>
              <w:ind w:firstLine="0" w:firstLineChars="0"/>
              <w:jc w:val="center"/>
            </w:pPr>
            <w:r>
              <w:rPr>
                <w:szCs w:val="21"/>
              </w:rPr>
              <w:t>施工废水经沉淀池沉淀后回用</w:t>
            </w:r>
            <w:r>
              <w:rPr>
                <w:color w:val="auto"/>
                <w:szCs w:val="21"/>
              </w:rPr>
              <w:t>，</w:t>
            </w:r>
            <w:r>
              <w:rPr>
                <w:rFonts w:hint="eastAsia"/>
                <w:color w:val="auto"/>
                <w:szCs w:val="21"/>
              </w:rPr>
              <w:t>施工期员工生活污水依托附近村庄排入防渗旱厕</w:t>
            </w:r>
          </w:p>
        </w:tc>
        <w:tc>
          <w:tcPr>
            <w:tcW w:w="931" w:type="pct"/>
            <w:vAlign w:val="center"/>
          </w:tcPr>
          <w:p w14:paraId="78490858">
            <w:pPr>
              <w:adjustRightInd w:val="0"/>
              <w:snapToGrid w:val="0"/>
              <w:ind w:firstLine="0" w:firstLineChars="0"/>
              <w:jc w:val="center"/>
            </w:pPr>
            <w:r>
              <w:rPr>
                <w:rFonts w:hint="eastAsia"/>
                <w:szCs w:val="21"/>
              </w:rPr>
              <w:t>不对水环境产生影响</w:t>
            </w:r>
          </w:p>
        </w:tc>
        <w:tc>
          <w:tcPr>
            <w:tcW w:w="810" w:type="pct"/>
            <w:vAlign w:val="center"/>
          </w:tcPr>
          <w:p w14:paraId="24D22091">
            <w:pPr>
              <w:pStyle w:val="30"/>
              <w:rPr>
                <w:sz w:val="24"/>
                <w:szCs w:val="24"/>
              </w:rPr>
            </w:pPr>
            <w:r>
              <w:rPr>
                <w:sz w:val="24"/>
                <w:szCs w:val="24"/>
              </w:rPr>
              <w:t>/</w:t>
            </w:r>
          </w:p>
        </w:tc>
        <w:tc>
          <w:tcPr>
            <w:tcW w:w="902" w:type="pct"/>
            <w:vAlign w:val="center"/>
          </w:tcPr>
          <w:p w14:paraId="2C381340">
            <w:pPr>
              <w:pStyle w:val="30"/>
              <w:rPr>
                <w:sz w:val="24"/>
                <w:szCs w:val="24"/>
              </w:rPr>
            </w:pPr>
            <w:r>
              <w:rPr>
                <w:sz w:val="24"/>
                <w:szCs w:val="24"/>
              </w:rPr>
              <w:t>/</w:t>
            </w:r>
          </w:p>
        </w:tc>
      </w:tr>
      <w:tr w14:paraId="103225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54" w:type="pct"/>
            <w:vAlign w:val="center"/>
          </w:tcPr>
          <w:p w14:paraId="0D179510">
            <w:pPr>
              <w:pStyle w:val="30"/>
              <w:rPr>
                <w:sz w:val="24"/>
                <w:szCs w:val="24"/>
              </w:rPr>
            </w:pPr>
            <w:r>
              <w:rPr>
                <w:sz w:val="24"/>
                <w:szCs w:val="24"/>
              </w:rPr>
              <w:t>地下水及土壤环境</w:t>
            </w:r>
          </w:p>
        </w:tc>
        <w:tc>
          <w:tcPr>
            <w:tcW w:w="1701" w:type="pct"/>
            <w:vAlign w:val="center"/>
          </w:tcPr>
          <w:p w14:paraId="5CBE4839">
            <w:pPr>
              <w:pStyle w:val="30"/>
              <w:rPr>
                <w:sz w:val="24"/>
                <w:szCs w:val="24"/>
              </w:rPr>
            </w:pPr>
            <w:r>
              <w:rPr>
                <w:sz w:val="24"/>
                <w:szCs w:val="24"/>
              </w:rPr>
              <w:t>/</w:t>
            </w:r>
          </w:p>
        </w:tc>
        <w:tc>
          <w:tcPr>
            <w:tcW w:w="931" w:type="pct"/>
            <w:vAlign w:val="center"/>
          </w:tcPr>
          <w:p w14:paraId="0AE5A281">
            <w:pPr>
              <w:pStyle w:val="30"/>
              <w:rPr>
                <w:sz w:val="24"/>
                <w:szCs w:val="24"/>
              </w:rPr>
            </w:pPr>
            <w:r>
              <w:rPr>
                <w:sz w:val="24"/>
                <w:szCs w:val="24"/>
              </w:rPr>
              <w:t>/</w:t>
            </w:r>
          </w:p>
        </w:tc>
        <w:tc>
          <w:tcPr>
            <w:tcW w:w="810" w:type="pct"/>
            <w:vAlign w:val="center"/>
          </w:tcPr>
          <w:p w14:paraId="2697E2A4">
            <w:pPr>
              <w:pStyle w:val="30"/>
              <w:rPr>
                <w:sz w:val="24"/>
                <w:szCs w:val="24"/>
              </w:rPr>
            </w:pPr>
            <w:r>
              <w:rPr>
                <w:sz w:val="24"/>
                <w:szCs w:val="24"/>
              </w:rPr>
              <w:t>/</w:t>
            </w:r>
          </w:p>
        </w:tc>
        <w:tc>
          <w:tcPr>
            <w:tcW w:w="902" w:type="pct"/>
            <w:vAlign w:val="center"/>
          </w:tcPr>
          <w:p w14:paraId="2BDE74C3">
            <w:pPr>
              <w:pStyle w:val="30"/>
              <w:rPr>
                <w:sz w:val="24"/>
                <w:szCs w:val="24"/>
              </w:rPr>
            </w:pPr>
            <w:r>
              <w:rPr>
                <w:sz w:val="24"/>
                <w:szCs w:val="24"/>
              </w:rPr>
              <w:t>/</w:t>
            </w:r>
          </w:p>
        </w:tc>
      </w:tr>
      <w:tr w14:paraId="66CED6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654" w:type="pct"/>
            <w:vAlign w:val="center"/>
          </w:tcPr>
          <w:p w14:paraId="6EDEE01C">
            <w:pPr>
              <w:pStyle w:val="30"/>
              <w:rPr>
                <w:sz w:val="24"/>
                <w:szCs w:val="24"/>
              </w:rPr>
            </w:pPr>
            <w:r>
              <w:rPr>
                <w:sz w:val="24"/>
                <w:szCs w:val="24"/>
              </w:rPr>
              <w:t>声环境</w:t>
            </w:r>
          </w:p>
        </w:tc>
        <w:tc>
          <w:tcPr>
            <w:tcW w:w="1701" w:type="pct"/>
            <w:vAlign w:val="center"/>
          </w:tcPr>
          <w:p w14:paraId="77487633">
            <w:pPr>
              <w:adjustRightInd w:val="0"/>
              <w:snapToGrid w:val="0"/>
              <w:ind w:firstLine="0" w:firstLineChars="0"/>
              <w:jc w:val="center"/>
            </w:pPr>
            <w:r>
              <w:rPr>
                <w:szCs w:val="21"/>
              </w:rPr>
              <w:t>禁止夜间施工、设置隔声隔尘挡板、隔声减震</w:t>
            </w:r>
          </w:p>
        </w:tc>
        <w:tc>
          <w:tcPr>
            <w:tcW w:w="931" w:type="pct"/>
            <w:vAlign w:val="center"/>
          </w:tcPr>
          <w:p w14:paraId="31EB6F40">
            <w:pPr>
              <w:adjustRightInd w:val="0"/>
              <w:snapToGrid w:val="0"/>
              <w:ind w:firstLine="0" w:firstLineChars="0"/>
            </w:pPr>
            <w:r>
              <w:rPr>
                <w:szCs w:val="21"/>
              </w:rPr>
              <w:t>满足《建筑施工场界环境噪声排放标准》（GB12523-2011）</w:t>
            </w:r>
          </w:p>
        </w:tc>
        <w:tc>
          <w:tcPr>
            <w:tcW w:w="810" w:type="pct"/>
            <w:vAlign w:val="center"/>
          </w:tcPr>
          <w:p w14:paraId="3017B34E">
            <w:pPr>
              <w:adjustRightInd w:val="0"/>
              <w:snapToGrid w:val="0"/>
              <w:ind w:firstLine="0" w:firstLineChars="0"/>
              <w:jc w:val="center"/>
            </w:pPr>
            <w:r>
              <w:rPr>
                <w:rFonts w:hint="eastAsia"/>
              </w:rPr>
              <w:t>/</w:t>
            </w:r>
          </w:p>
        </w:tc>
        <w:tc>
          <w:tcPr>
            <w:tcW w:w="902" w:type="pct"/>
            <w:vAlign w:val="center"/>
          </w:tcPr>
          <w:p w14:paraId="18469500">
            <w:pPr>
              <w:adjustRightInd w:val="0"/>
              <w:snapToGrid w:val="0"/>
              <w:ind w:firstLine="0" w:firstLineChars="0"/>
              <w:jc w:val="center"/>
            </w:pPr>
            <w:r>
              <w:rPr>
                <w:rFonts w:hint="eastAsia"/>
              </w:rPr>
              <w:t>/</w:t>
            </w:r>
          </w:p>
        </w:tc>
      </w:tr>
      <w:tr w14:paraId="0310D1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654" w:type="pct"/>
            <w:vAlign w:val="center"/>
          </w:tcPr>
          <w:p w14:paraId="2804DAA2">
            <w:pPr>
              <w:pStyle w:val="30"/>
              <w:rPr>
                <w:sz w:val="24"/>
                <w:szCs w:val="24"/>
              </w:rPr>
            </w:pPr>
            <w:r>
              <w:rPr>
                <w:sz w:val="24"/>
                <w:szCs w:val="24"/>
              </w:rPr>
              <w:t>振动</w:t>
            </w:r>
          </w:p>
        </w:tc>
        <w:tc>
          <w:tcPr>
            <w:tcW w:w="1701" w:type="pct"/>
            <w:vAlign w:val="center"/>
          </w:tcPr>
          <w:p w14:paraId="5D4433D2">
            <w:pPr>
              <w:adjustRightInd w:val="0"/>
              <w:snapToGrid w:val="0"/>
              <w:ind w:firstLine="0" w:firstLineChars="0"/>
              <w:jc w:val="center"/>
              <w:rPr>
                <w:szCs w:val="21"/>
              </w:rPr>
            </w:pPr>
            <w:r>
              <w:rPr>
                <w:rFonts w:hint="eastAsia"/>
                <w:szCs w:val="21"/>
              </w:rPr>
              <w:t>加强控制和管理</w:t>
            </w:r>
          </w:p>
          <w:p w14:paraId="1C84D742">
            <w:pPr>
              <w:adjustRightInd w:val="0"/>
              <w:snapToGrid w:val="0"/>
              <w:ind w:firstLine="0" w:firstLineChars="0"/>
              <w:jc w:val="center"/>
            </w:pPr>
            <w:r>
              <w:rPr>
                <w:rFonts w:hint="eastAsia"/>
                <w:szCs w:val="21"/>
              </w:rPr>
              <w:t>合理安排施工</w:t>
            </w:r>
          </w:p>
        </w:tc>
        <w:tc>
          <w:tcPr>
            <w:tcW w:w="931" w:type="pct"/>
            <w:vAlign w:val="center"/>
          </w:tcPr>
          <w:p w14:paraId="2F42BBE5">
            <w:pPr>
              <w:adjustRightInd w:val="0"/>
              <w:snapToGrid w:val="0"/>
              <w:ind w:firstLine="0" w:firstLineChars="0"/>
            </w:pPr>
            <w:r>
              <w:rPr>
                <w:rFonts w:hint="eastAsia"/>
                <w:szCs w:val="21"/>
              </w:rPr>
              <w:t>《城市区域环境振动标准》</w:t>
            </w:r>
          </w:p>
        </w:tc>
        <w:tc>
          <w:tcPr>
            <w:tcW w:w="810" w:type="pct"/>
            <w:vAlign w:val="center"/>
          </w:tcPr>
          <w:p w14:paraId="2E2F0D85">
            <w:pPr>
              <w:adjustRightInd w:val="0"/>
              <w:snapToGrid w:val="0"/>
              <w:ind w:firstLine="0" w:firstLineChars="0"/>
            </w:pPr>
            <w:r>
              <w:rPr>
                <w:rFonts w:hint="eastAsia"/>
                <w:szCs w:val="21"/>
              </w:rPr>
              <w:t>源头控制</w:t>
            </w:r>
          </w:p>
        </w:tc>
        <w:tc>
          <w:tcPr>
            <w:tcW w:w="902" w:type="pct"/>
            <w:vAlign w:val="center"/>
          </w:tcPr>
          <w:p w14:paraId="5E266C2D">
            <w:pPr>
              <w:adjustRightInd w:val="0"/>
              <w:snapToGrid w:val="0"/>
              <w:ind w:firstLine="0" w:firstLineChars="0"/>
            </w:pPr>
            <w:r>
              <w:rPr>
                <w:rFonts w:hint="eastAsia"/>
                <w:szCs w:val="21"/>
              </w:rPr>
              <w:t>《城市区域环境振动标准》</w:t>
            </w:r>
          </w:p>
        </w:tc>
      </w:tr>
      <w:tr w14:paraId="28DFFD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654" w:type="pct"/>
            <w:vAlign w:val="center"/>
          </w:tcPr>
          <w:p w14:paraId="373EABE5">
            <w:pPr>
              <w:pStyle w:val="30"/>
              <w:rPr>
                <w:sz w:val="24"/>
                <w:szCs w:val="24"/>
              </w:rPr>
            </w:pPr>
            <w:r>
              <w:rPr>
                <w:sz w:val="24"/>
                <w:szCs w:val="24"/>
              </w:rPr>
              <w:t>大气环境</w:t>
            </w:r>
          </w:p>
        </w:tc>
        <w:tc>
          <w:tcPr>
            <w:tcW w:w="1701" w:type="pct"/>
            <w:vAlign w:val="center"/>
          </w:tcPr>
          <w:p w14:paraId="7A55489B">
            <w:pPr>
              <w:adjustRightInd w:val="0"/>
              <w:snapToGrid w:val="0"/>
              <w:ind w:firstLine="0" w:firstLineChars="0"/>
              <w:jc w:val="center"/>
            </w:pPr>
            <w:r>
              <w:rPr>
                <w:szCs w:val="21"/>
              </w:rPr>
              <w:t>洒水降尘、物料遮盖</w:t>
            </w:r>
          </w:p>
        </w:tc>
        <w:tc>
          <w:tcPr>
            <w:tcW w:w="931" w:type="pct"/>
            <w:vAlign w:val="center"/>
          </w:tcPr>
          <w:p w14:paraId="34CF600A">
            <w:pPr>
              <w:adjustRightInd w:val="0"/>
              <w:snapToGrid w:val="0"/>
              <w:ind w:firstLine="0" w:firstLineChars="0"/>
              <w:jc w:val="center"/>
            </w:pPr>
            <w:r>
              <w:rPr>
                <w:szCs w:val="21"/>
              </w:rPr>
              <w:t>《大气污染物综合排放标准》（GB16297-1996）表2无组织排放标准</w:t>
            </w:r>
          </w:p>
        </w:tc>
        <w:tc>
          <w:tcPr>
            <w:tcW w:w="810" w:type="pct"/>
            <w:vAlign w:val="center"/>
          </w:tcPr>
          <w:p w14:paraId="12A431AF">
            <w:pPr>
              <w:pStyle w:val="30"/>
              <w:rPr>
                <w:sz w:val="24"/>
                <w:szCs w:val="24"/>
              </w:rPr>
            </w:pPr>
            <w:r>
              <w:rPr>
                <w:rFonts w:hint="eastAsia"/>
                <w:sz w:val="24"/>
                <w:szCs w:val="24"/>
              </w:rPr>
              <w:t>运营期对内燃机车燃油尾气建立用车定期检测与强制维护制度、加强人员和车辆管理，路段采取加强铁路线沿线绿化等措施</w:t>
            </w:r>
          </w:p>
        </w:tc>
        <w:tc>
          <w:tcPr>
            <w:tcW w:w="902" w:type="pct"/>
            <w:vAlign w:val="center"/>
          </w:tcPr>
          <w:p w14:paraId="4012B614">
            <w:pPr>
              <w:pStyle w:val="30"/>
              <w:rPr>
                <w:sz w:val="24"/>
                <w:szCs w:val="24"/>
              </w:rPr>
            </w:pPr>
            <w:r>
              <w:rPr>
                <w:rFonts w:hint="eastAsia"/>
                <w:sz w:val="24"/>
                <w:szCs w:val="24"/>
              </w:rPr>
              <w:t>《大气污染物综合排放标准》（GB16297-1996）表2无组织排放标准</w:t>
            </w:r>
          </w:p>
        </w:tc>
      </w:tr>
      <w:tr w14:paraId="50B17A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654" w:type="pct"/>
            <w:vAlign w:val="center"/>
          </w:tcPr>
          <w:p w14:paraId="34034DE0">
            <w:pPr>
              <w:pStyle w:val="30"/>
              <w:rPr>
                <w:sz w:val="24"/>
                <w:szCs w:val="24"/>
              </w:rPr>
            </w:pPr>
            <w:r>
              <w:rPr>
                <w:sz w:val="24"/>
                <w:szCs w:val="24"/>
              </w:rPr>
              <w:t>固体废物</w:t>
            </w:r>
          </w:p>
        </w:tc>
        <w:tc>
          <w:tcPr>
            <w:tcW w:w="1701" w:type="pct"/>
            <w:vAlign w:val="center"/>
          </w:tcPr>
          <w:p w14:paraId="7DCF6B1B">
            <w:pPr>
              <w:adjustRightInd w:val="0"/>
              <w:snapToGrid w:val="0"/>
              <w:ind w:firstLine="0" w:firstLineChars="0"/>
              <w:rPr>
                <w:color w:val="auto"/>
              </w:rPr>
            </w:pPr>
            <w:r>
              <w:rPr>
                <w:rFonts w:hint="eastAsia"/>
                <w:color w:val="auto"/>
                <w:szCs w:val="21"/>
              </w:rPr>
              <w:t>施工期建筑材料按要求规划运输，送至环保指定地点处理，不要随意倾倒建筑垃圾，施工人员的生活垃圾收集到指定的垃圾箱内，由环卫部门统一及时处理。</w:t>
            </w:r>
          </w:p>
        </w:tc>
        <w:tc>
          <w:tcPr>
            <w:tcW w:w="931" w:type="pct"/>
            <w:vAlign w:val="center"/>
          </w:tcPr>
          <w:p w14:paraId="194CD7C2">
            <w:pPr>
              <w:adjustRightInd w:val="0"/>
              <w:snapToGrid w:val="0"/>
              <w:ind w:firstLine="0" w:firstLineChars="0"/>
              <w:rPr>
                <w:color w:val="auto"/>
              </w:rPr>
            </w:pPr>
            <w:r>
              <w:rPr>
                <w:color w:val="auto"/>
              </w:rPr>
              <w:t>满足《一般工业固体废物贮存和填埋污染控制标准》（GB 18599-2020）</w:t>
            </w:r>
          </w:p>
        </w:tc>
        <w:tc>
          <w:tcPr>
            <w:tcW w:w="810" w:type="pct"/>
            <w:vAlign w:val="center"/>
          </w:tcPr>
          <w:p w14:paraId="33FDE526">
            <w:pPr>
              <w:pStyle w:val="30"/>
              <w:rPr>
                <w:color w:val="auto"/>
                <w:sz w:val="24"/>
                <w:szCs w:val="24"/>
              </w:rPr>
            </w:pPr>
            <w:r>
              <w:rPr>
                <w:color w:val="auto"/>
                <w:sz w:val="24"/>
                <w:szCs w:val="24"/>
              </w:rPr>
              <w:t>/</w:t>
            </w:r>
          </w:p>
        </w:tc>
        <w:tc>
          <w:tcPr>
            <w:tcW w:w="902" w:type="pct"/>
            <w:vAlign w:val="center"/>
          </w:tcPr>
          <w:p w14:paraId="2E4CBB12">
            <w:pPr>
              <w:pStyle w:val="30"/>
              <w:rPr>
                <w:sz w:val="24"/>
                <w:szCs w:val="24"/>
              </w:rPr>
            </w:pPr>
            <w:r>
              <w:rPr>
                <w:sz w:val="24"/>
                <w:szCs w:val="24"/>
              </w:rPr>
              <w:t>/</w:t>
            </w:r>
          </w:p>
        </w:tc>
      </w:tr>
      <w:tr w14:paraId="6BA962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654" w:type="pct"/>
            <w:vAlign w:val="center"/>
          </w:tcPr>
          <w:p w14:paraId="43AECBB9">
            <w:pPr>
              <w:pStyle w:val="30"/>
              <w:rPr>
                <w:sz w:val="24"/>
                <w:szCs w:val="24"/>
              </w:rPr>
            </w:pPr>
            <w:r>
              <w:rPr>
                <w:sz w:val="24"/>
                <w:szCs w:val="24"/>
              </w:rPr>
              <w:t>电磁环境</w:t>
            </w:r>
          </w:p>
        </w:tc>
        <w:tc>
          <w:tcPr>
            <w:tcW w:w="1701" w:type="pct"/>
            <w:vAlign w:val="center"/>
          </w:tcPr>
          <w:p w14:paraId="23CA3E91">
            <w:pPr>
              <w:pStyle w:val="30"/>
              <w:rPr>
                <w:color w:val="auto"/>
                <w:sz w:val="24"/>
                <w:szCs w:val="24"/>
              </w:rPr>
            </w:pPr>
            <w:r>
              <w:rPr>
                <w:color w:val="auto"/>
                <w:sz w:val="24"/>
                <w:szCs w:val="24"/>
              </w:rPr>
              <w:t>/</w:t>
            </w:r>
          </w:p>
        </w:tc>
        <w:tc>
          <w:tcPr>
            <w:tcW w:w="931" w:type="pct"/>
            <w:vAlign w:val="center"/>
          </w:tcPr>
          <w:p w14:paraId="20CF09A8">
            <w:pPr>
              <w:pStyle w:val="30"/>
              <w:rPr>
                <w:color w:val="auto"/>
                <w:sz w:val="24"/>
                <w:szCs w:val="24"/>
              </w:rPr>
            </w:pPr>
            <w:r>
              <w:rPr>
                <w:color w:val="auto"/>
                <w:sz w:val="24"/>
                <w:szCs w:val="24"/>
              </w:rPr>
              <w:t>/</w:t>
            </w:r>
          </w:p>
        </w:tc>
        <w:tc>
          <w:tcPr>
            <w:tcW w:w="810" w:type="pct"/>
            <w:vAlign w:val="center"/>
          </w:tcPr>
          <w:p w14:paraId="41B248B9">
            <w:pPr>
              <w:pStyle w:val="30"/>
              <w:rPr>
                <w:color w:val="auto"/>
                <w:sz w:val="24"/>
                <w:szCs w:val="24"/>
              </w:rPr>
            </w:pPr>
            <w:r>
              <w:rPr>
                <w:rFonts w:hint="eastAsia"/>
                <w:color w:val="auto"/>
                <w:sz w:val="24"/>
                <w:szCs w:val="24"/>
              </w:rPr>
              <w:t>/</w:t>
            </w:r>
          </w:p>
        </w:tc>
        <w:tc>
          <w:tcPr>
            <w:tcW w:w="902" w:type="pct"/>
            <w:vAlign w:val="center"/>
          </w:tcPr>
          <w:p w14:paraId="6F9CC11D">
            <w:pPr>
              <w:pStyle w:val="30"/>
              <w:rPr>
                <w:sz w:val="24"/>
                <w:szCs w:val="24"/>
              </w:rPr>
            </w:pPr>
            <w:r>
              <w:rPr>
                <w:rFonts w:hint="eastAsia"/>
                <w:sz w:val="24"/>
                <w:szCs w:val="24"/>
              </w:rPr>
              <w:t>/</w:t>
            </w:r>
          </w:p>
        </w:tc>
      </w:tr>
      <w:tr w14:paraId="60810A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54" w:type="pct"/>
            <w:vAlign w:val="center"/>
          </w:tcPr>
          <w:p w14:paraId="5C36C683">
            <w:pPr>
              <w:pStyle w:val="30"/>
              <w:rPr>
                <w:sz w:val="24"/>
                <w:szCs w:val="24"/>
              </w:rPr>
            </w:pPr>
            <w:r>
              <w:rPr>
                <w:sz w:val="24"/>
                <w:szCs w:val="24"/>
              </w:rPr>
              <w:t>环境风险</w:t>
            </w:r>
          </w:p>
        </w:tc>
        <w:tc>
          <w:tcPr>
            <w:tcW w:w="1701" w:type="pct"/>
            <w:vAlign w:val="center"/>
          </w:tcPr>
          <w:p w14:paraId="3C6A8334">
            <w:pPr>
              <w:adjustRightInd w:val="0"/>
              <w:snapToGrid w:val="0"/>
              <w:ind w:firstLine="0" w:firstLineChars="0"/>
              <w:jc w:val="center"/>
              <w:rPr>
                <w:color w:val="auto"/>
              </w:rPr>
            </w:pPr>
            <w:r>
              <w:rPr>
                <w:rFonts w:hint="eastAsia"/>
                <w:color w:val="auto"/>
                <w:szCs w:val="21"/>
              </w:rPr>
              <w:t>/</w:t>
            </w:r>
          </w:p>
        </w:tc>
        <w:tc>
          <w:tcPr>
            <w:tcW w:w="931" w:type="pct"/>
            <w:vAlign w:val="center"/>
          </w:tcPr>
          <w:p w14:paraId="5D384625">
            <w:pPr>
              <w:adjustRightInd w:val="0"/>
              <w:snapToGrid w:val="0"/>
              <w:ind w:firstLine="0" w:firstLineChars="0"/>
              <w:jc w:val="center"/>
              <w:rPr>
                <w:color w:val="auto"/>
              </w:rPr>
            </w:pPr>
            <w:r>
              <w:rPr>
                <w:rFonts w:hint="eastAsia"/>
                <w:color w:val="auto"/>
                <w:szCs w:val="21"/>
              </w:rPr>
              <w:t>油品泄漏、火灾、爆炸事故带来的伴生环境危害</w:t>
            </w:r>
          </w:p>
        </w:tc>
        <w:tc>
          <w:tcPr>
            <w:tcW w:w="810" w:type="pct"/>
            <w:vAlign w:val="center"/>
          </w:tcPr>
          <w:p w14:paraId="52E7D4A1">
            <w:pPr>
              <w:adjustRightInd w:val="0"/>
              <w:snapToGrid w:val="0"/>
              <w:ind w:firstLine="0" w:firstLineChars="0"/>
              <w:jc w:val="center"/>
              <w:rPr>
                <w:color w:val="auto"/>
              </w:rPr>
            </w:pPr>
            <w:r>
              <w:rPr>
                <w:rFonts w:hint="eastAsia"/>
                <w:color w:val="auto"/>
                <w:szCs w:val="21"/>
                <w:lang w:val="en-US" w:eastAsia="zh-CN"/>
              </w:rPr>
              <w:t>（1）定期检查与设备更新；（2）人员培训与操作规范；（3）应急响应与风险预警</w:t>
            </w:r>
          </w:p>
        </w:tc>
        <w:tc>
          <w:tcPr>
            <w:tcW w:w="902" w:type="pct"/>
            <w:vAlign w:val="center"/>
          </w:tcPr>
          <w:p w14:paraId="22D50081">
            <w:pPr>
              <w:adjustRightInd w:val="0"/>
              <w:snapToGrid w:val="0"/>
              <w:ind w:firstLine="0" w:firstLineChars="0"/>
              <w:jc w:val="center"/>
            </w:pPr>
            <w:r>
              <w:rPr>
                <w:rFonts w:hint="eastAsia"/>
                <w:szCs w:val="21"/>
              </w:rPr>
              <w:t>编制环境风险应急预案</w:t>
            </w:r>
          </w:p>
        </w:tc>
      </w:tr>
      <w:tr w14:paraId="0EAB8D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54" w:type="pct"/>
            <w:vAlign w:val="center"/>
          </w:tcPr>
          <w:p w14:paraId="517A3FA8">
            <w:pPr>
              <w:pStyle w:val="30"/>
              <w:rPr>
                <w:sz w:val="24"/>
                <w:szCs w:val="24"/>
              </w:rPr>
            </w:pPr>
            <w:r>
              <w:rPr>
                <w:sz w:val="24"/>
                <w:szCs w:val="24"/>
              </w:rPr>
              <w:t>环境监测</w:t>
            </w:r>
          </w:p>
        </w:tc>
        <w:tc>
          <w:tcPr>
            <w:tcW w:w="1701" w:type="pct"/>
            <w:vAlign w:val="center"/>
          </w:tcPr>
          <w:p w14:paraId="59E8E91F">
            <w:pPr>
              <w:adjustRightInd w:val="0"/>
              <w:snapToGrid w:val="0"/>
              <w:ind w:firstLine="0" w:firstLineChars="0"/>
              <w:jc w:val="center"/>
              <w:rPr>
                <w:color w:val="auto"/>
              </w:rPr>
            </w:pPr>
            <w:r>
              <w:rPr>
                <w:rFonts w:hint="eastAsia"/>
                <w:color w:val="auto"/>
                <w:szCs w:val="21"/>
              </w:rPr>
              <w:t>按照表5-1进行监测</w:t>
            </w:r>
          </w:p>
        </w:tc>
        <w:tc>
          <w:tcPr>
            <w:tcW w:w="931" w:type="pct"/>
            <w:vAlign w:val="center"/>
          </w:tcPr>
          <w:p w14:paraId="574422FA">
            <w:pPr>
              <w:adjustRightInd w:val="0"/>
              <w:snapToGrid w:val="0"/>
              <w:ind w:firstLine="0" w:firstLineChars="0"/>
              <w:jc w:val="center"/>
              <w:rPr>
                <w:color w:val="auto"/>
              </w:rPr>
            </w:pPr>
            <w:r>
              <w:rPr>
                <w:rFonts w:hint="eastAsia"/>
                <w:color w:val="auto"/>
                <w:szCs w:val="21"/>
              </w:rPr>
              <w:t>按照标准达标排放</w:t>
            </w:r>
          </w:p>
        </w:tc>
        <w:tc>
          <w:tcPr>
            <w:tcW w:w="810" w:type="pct"/>
            <w:vAlign w:val="center"/>
          </w:tcPr>
          <w:p w14:paraId="6BFEAD0E">
            <w:pPr>
              <w:adjustRightInd w:val="0"/>
              <w:snapToGrid w:val="0"/>
              <w:ind w:firstLine="0" w:firstLineChars="0"/>
              <w:jc w:val="center"/>
              <w:rPr>
                <w:color w:val="auto"/>
              </w:rPr>
            </w:pPr>
            <w:r>
              <w:rPr>
                <w:rFonts w:hint="eastAsia"/>
                <w:color w:val="auto"/>
                <w:szCs w:val="21"/>
              </w:rPr>
              <w:t>按照表5-1进行监测</w:t>
            </w:r>
          </w:p>
        </w:tc>
        <w:tc>
          <w:tcPr>
            <w:tcW w:w="902" w:type="pct"/>
            <w:vAlign w:val="center"/>
          </w:tcPr>
          <w:p w14:paraId="2441E2EE">
            <w:pPr>
              <w:adjustRightInd w:val="0"/>
              <w:snapToGrid w:val="0"/>
              <w:ind w:firstLine="0" w:firstLineChars="0"/>
              <w:jc w:val="center"/>
              <w:rPr>
                <w:color w:val="auto"/>
              </w:rPr>
            </w:pPr>
            <w:r>
              <w:rPr>
                <w:rFonts w:hint="eastAsia"/>
                <w:color w:val="auto"/>
                <w:szCs w:val="21"/>
              </w:rPr>
              <w:t>按照标准达标排放</w:t>
            </w:r>
          </w:p>
        </w:tc>
      </w:tr>
      <w:tr w14:paraId="06B9EA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4" w:type="pct"/>
            <w:vAlign w:val="center"/>
          </w:tcPr>
          <w:p w14:paraId="66555F21">
            <w:pPr>
              <w:pStyle w:val="30"/>
              <w:rPr>
                <w:sz w:val="24"/>
                <w:szCs w:val="24"/>
              </w:rPr>
            </w:pPr>
            <w:r>
              <w:rPr>
                <w:sz w:val="24"/>
                <w:szCs w:val="24"/>
              </w:rPr>
              <w:t>其他</w:t>
            </w:r>
          </w:p>
        </w:tc>
        <w:tc>
          <w:tcPr>
            <w:tcW w:w="1701" w:type="pct"/>
            <w:vAlign w:val="center"/>
          </w:tcPr>
          <w:p w14:paraId="742F6142">
            <w:pPr>
              <w:pStyle w:val="30"/>
              <w:rPr>
                <w:sz w:val="24"/>
                <w:szCs w:val="24"/>
              </w:rPr>
            </w:pPr>
            <w:r>
              <w:rPr>
                <w:rFonts w:hint="eastAsia"/>
                <w:sz w:val="24"/>
                <w:szCs w:val="24"/>
              </w:rPr>
              <w:t>/</w:t>
            </w:r>
          </w:p>
        </w:tc>
        <w:tc>
          <w:tcPr>
            <w:tcW w:w="931" w:type="pct"/>
            <w:vAlign w:val="center"/>
          </w:tcPr>
          <w:p w14:paraId="58B30CDF">
            <w:pPr>
              <w:pStyle w:val="30"/>
              <w:rPr>
                <w:sz w:val="24"/>
                <w:szCs w:val="24"/>
              </w:rPr>
            </w:pPr>
            <w:r>
              <w:rPr>
                <w:rFonts w:hint="eastAsia"/>
                <w:sz w:val="24"/>
                <w:szCs w:val="24"/>
              </w:rPr>
              <w:t>/</w:t>
            </w:r>
          </w:p>
        </w:tc>
        <w:tc>
          <w:tcPr>
            <w:tcW w:w="810" w:type="pct"/>
            <w:vAlign w:val="center"/>
          </w:tcPr>
          <w:p w14:paraId="6801B66E">
            <w:pPr>
              <w:pStyle w:val="30"/>
              <w:rPr>
                <w:sz w:val="24"/>
                <w:szCs w:val="24"/>
              </w:rPr>
            </w:pPr>
            <w:r>
              <w:rPr>
                <w:sz w:val="24"/>
                <w:szCs w:val="24"/>
              </w:rPr>
              <w:t>/</w:t>
            </w:r>
          </w:p>
        </w:tc>
        <w:tc>
          <w:tcPr>
            <w:tcW w:w="902" w:type="pct"/>
            <w:vAlign w:val="center"/>
          </w:tcPr>
          <w:p w14:paraId="24C077A0">
            <w:pPr>
              <w:pStyle w:val="30"/>
              <w:rPr>
                <w:sz w:val="24"/>
                <w:szCs w:val="24"/>
              </w:rPr>
            </w:pPr>
            <w:r>
              <w:rPr>
                <w:sz w:val="24"/>
                <w:szCs w:val="24"/>
              </w:rPr>
              <w:t>/</w:t>
            </w:r>
          </w:p>
        </w:tc>
      </w:tr>
    </w:tbl>
    <w:p w14:paraId="2567EA42">
      <w:pPr>
        <w:pStyle w:val="21"/>
        <w:tabs>
          <w:tab w:val="center" w:pos="5653"/>
          <w:tab w:val="left" w:pos="7568"/>
        </w:tabs>
        <w:spacing w:before="0" w:beforeAutospacing="0" w:line="14" w:lineRule="auto"/>
        <w:ind w:firstLine="600"/>
        <w:rPr>
          <w:rFonts w:ascii="Times New Roman" w:hAnsi="Times New Roman" w:eastAsia="黑体"/>
          <w:snapToGrid w:val="0"/>
          <w:sz w:val="30"/>
          <w:szCs w:val="30"/>
        </w:rPr>
      </w:pPr>
      <w:r>
        <w:rPr>
          <w:rFonts w:ascii="Times New Roman" w:hAnsi="Times New Roman" w:eastAsia="黑体"/>
          <w:snapToGrid w:val="0"/>
          <w:sz w:val="30"/>
          <w:szCs w:val="30"/>
        </w:rPr>
        <w:tab/>
      </w:r>
      <w:r>
        <w:rPr>
          <w:rFonts w:ascii="Times New Roman" w:hAnsi="Times New Roman" w:eastAsia="黑体"/>
          <w:snapToGrid w:val="0"/>
          <w:sz w:val="30"/>
          <w:szCs w:val="30"/>
        </w:rPr>
        <w:tab/>
      </w:r>
    </w:p>
    <w:p w14:paraId="1E92A0F3">
      <w:pPr>
        <w:pStyle w:val="21"/>
        <w:spacing w:before="192" w:beforeLines="80" w:beforeAutospacing="0"/>
        <w:ind w:firstLine="600"/>
        <w:jc w:val="center"/>
        <w:outlineLvl w:val="0"/>
        <w:rPr>
          <w:rFonts w:ascii="Times New Roman" w:hAnsi="Times New Roman" w:eastAsia="黑体"/>
          <w:snapToGrid w:val="0"/>
          <w:sz w:val="30"/>
          <w:szCs w:val="30"/>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7A353BE0">
      <w:pPr>
        <w:pStyle w:val="21"/>
        <w:spacing w:before="192" w:beforeLines="80" w:beforeAutospacing="0"/>
        <w:ind w:firstLine="0" w:firstLineChars="0"/>
        <w:jc w:val="center"/>
        <w:outlineLvl w:val="0"/>
        <w:rPr>
          <w:rFonts w:ascii="Times New Roman" w:hAnsi="Times New Roman" w:eastAsia="黑体"/>
          <w:snapToGrid w:val="0"/>
          <w:sz w:val="30"/>
          <w:szCs w:val="30"/>
        </w:rPr>
      </w:pPr>
      <w:bookmarkStart w:id="18" w:name="_Toc4883"/>
      <w:r>
        <w:rPr>
          <w:rFonts w:ascii="Times New Roman" w:hAnsi="Times New Roman" w:eastAsia="黑体"/>
          <w:snapToGrid w:val="0"/>
          <w:sz w:val="30"/>
          <w:szCs w:val="30"/>
        </w:rPr>
        <w:t>七、结论</w:t>
      </w:r>
      <w:bookmarkEnd w:id="18"/>
    </w:p>
    <w:tbl>
      <w:tblPr>
        <w:tblStyle w:val="25"/>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2B582F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14:paraId="67470A04">
            <w:pPr>
              <w:keepNext w:val="0"/>
              <w:keepLines w:val="0"/>
              <w:pageBreakBefore w:val="0"/>
              <w:widowControl w:val="0"/>
              <w:kinsoku/>
              <w:wordWrap/>
              <w:overflowPunct/>
              <w:topLinePunct w:val="0"/>
              <w:autoSpaceDE/>
              <w:autoSpaceDN/>
              <w:bidi w:val="0"/>
              <w:adjustRightInd w:val="0"/>
              <w:snapToGrid w:val="0"/>
              <w:spacing w:before="157" w:beforeLines="50"/>
              <w:ind w:firstLine="480"/>
              <w:textAlignment w:val="auto"/>
              <w:rPr>
                <w:szCs w:val="21"/>
              </w:rPr>
            </w:pPr>
            <w:r>
              <w:t>工程的建设环境影响主要是施工期生态、噪声、大气、地表水、固体废物等环境影响和运营期铁路噪声、振动与电磁干扰影响。结合当地环境和生态环境特点，环境影响评价提出了相应生态保护和恢复措施以及污染控制措施，工程在施工和运营中全面落实环评报告表中提出的各项环保措施后，工程建设对环境造成的影响和污染可得到有效控制或减缓，项目建设不会对项目所在地的区域主体功能区规划和生态功能区划的功能产生不利影响。评价认为，在落实设计及环评报告表提出的各项环境保护措施的前提下，从环境保护角度分析，工程建设是可行的。</w:t>
            </w:r>
          </w:p>
        </w:tc>
      </w:tr>
    </w:tbl>
    <w:p w14:paraId="7118432B">
      <w:pPr>
        <w:adjustRightInd w:val="0"/>
        <w:snapToGrid w:val="0"/>
        <w:spacing w:before="192" w:beforeLines="80"/>
        <w:ind w:firstLine="480"/>
        <w:rPr>
          <w:szCs w:val="21"/>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4AD5C1EE">
      <w:pPr>
        <w:pStyle w:val="2"/>
        <w:ind w:left="0" w:firstLine="0" w:firstLineChars="0"/>
        <w:rPr>
          <w:b w:val="0"/>
          <w:bCs w:val="0"/>
        </w:rPr>
      </w:pPr>
      <w:bookmarkStart w:id="19" w:name="_Toc25162"/>
      <w:r>
        <w:rPr>
          <w:rFonts w:hint="eastAsia"/>
          <w:b w:val="0"/>
          <w:bCs w:val="0"/>
        </w:rPr>
        <w:t>附图1 地理位置图</w:t>
      </w:r>
      <w:bookmarkEnd w:id="19"/>
    </w:p>
    <w:p w14:paraId="057DA44D">
      <w:pPr>
        <w:ind w:firstLine="0" w:firstLineChars="0"/>
        <w:jc w:val="center"/>
      </w:pPr>
      <w:r>
        <w:drawing>
          <wp:inline distT="0" distB="0" distL="114300" distR="114300">
            <wp:extent cx="6974840" cy="4492625"/>
            <wp:effectExtent l="0" t="0" r="16510" b="3175"/>
            <wp:docPr id="4" name="图片 12" descr="地理位置示意图-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 descr="地理位置示意图-01"/>
                    <pic:cNvPicPr>
                      <a:picLocks noChangeAspect="1"/>
                    </pic:cNvPicPr>
                  </pic:nvPicPr>
                  <pic:blipFill>
                    <a:blip r:embed="rId45"/>
                    <a:srcRect l="11032" t="19972" r="8142" b="6699"/>
                    <a:stretch>
                      <a:fillRect/>
                    </a:stretch>
                  </pic:blipFill>
                  <pic:spPr>
                    <a:xfrm>
                      <a:off x="0" y="0"/>
                      <a:ext cx="6974840" cy="4492625"/>
                    </a:xfrm>
                    <a:prstGeom prst="rect">
                      <a:avLst/>
                    </a:prstGeom>
                    <a:noFill/>
                    <a:ln>
                      <a:noFill/>
                    </a:ln>
                  </pic:spPr>
                </pic:pic>
              </a:graphicData>
            </a:graphic>
          </wp:inline>
        </w:drawing>
      </w:r>
    </w:p>
    <w:p w14:paraId="4014D379">
      <w:pPr>
        <w:ind w:firstLine="0" w:firstLineChars="0"/>
        <w:jc w:val="center"/>
        <w:sectPr>
          <w:footerReference r:id="rId8" w:type="default"/>
          <w:pgSz w:w="16838" w:h="11906" w:orient="landscape"/>
          <w:pgMar w:top="1803" w:right="1418" w:bottom="1803" w:left="1418" w:header="369" w:footer="992" w:gutter="0"/>
          <w:pgBorders>
            <w:top w:val="none" w:sz="0" w:space="0"/>
            <w:left w:val="none" w:sz="0" w:space="0"/>
            <w:bottom w:val="none" w:sz="0" w:space="0"/>
            <w:right w:val="none" w:sz="0" w:space="0"/>
          </w:pgBorders>
          <w:cols w:space="720" w:num="1"/>
          <w:docGrid w:type="lines" w:linePitch="360" w:charSpace="0"/>
        </w:sectPr>
      </w:pPr>
    </w:p>
    <w:p w14:paraId="7A0196F4">
      <w:pPr>
        <w:pStyle w:val="2"/>
        <w:ind w:left="0" w:firstLine="0" w:firstLineChars="0"/>
        <w:rPr>
          <w:b w:val="0"/>
          <w:bCs w:val="0"/>
          <w:color w:val="2F35F7"/>
        </w:rPr>
      </w:pPr>
      <w:bookmarkStart w:id="20" w:name="_Toc4257"/>
      <w:r>
        <w:rPr>
          <w:rFonts w:hint="eastAsia"/>
          <w:b w:val="0"/>
          <w:bCs w:val="0"/>
        </w:rPr>
        <w:t>附图2 福利屯站场示意图</w:t>
      </w:r>
      <w:bookmarkEnd w:id="20"/>
    </w:p>
    <w:p w14:paraId="2A091237">
      <w:pPr>
        <w:ind w:firstLine="482"/>
        <w:jc w:val="center"/>
        <w:rPr>
          <w:b/>
          <w:bCs/>
          <w:color w:val="2F35F7"/>
        </w:rPr>
      </w:pPr>
      <w:r>
        <w:rPr>
          <w:b/>
          <w:bCs/>
          <w:color w:val="2F35F7"/>
        </w:rPr>
        <w:drawing>
          <wp:inline distT="0" distB="0" distL="114300" distR="114300">
            <wp:extent cx="7176770" cy="4656455"/>
            <wp:effectExtent l="0" t="0" r="5080" b="10795"/>
            <wp:docPr id="6" name="图片 14" descr="既有站-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 descr="既有站-01"/>
                    <pic:cNvPicPr>
                      <a:picLocks noChangeAspect="1"/>
                    </pic:cNvPicPr>
                  </pic:nvPicPr>
                  <pic:blipFill>
                    <a:blip r:embed="rId46"/>
                    <a:stretch>
                      <a:fillRect/>
                    </a:stretch>
                  </pic:blipFill>
                  <pic:spPr>
                    <a:xfrm>
                      <a:off x="0" y="0"/>
                      <a:ext cx="7176770" cy="4656455"/>
                    </a:xfrm>
                    <a:prstGeom prst="rect">
                      <a:avLst/>
                    </a:prstGeom>
                    <a:noFill/>
                    <a:ln>
                      <a:noFill/>
                    </a:ln>
                  </pic:spPr>
                </pic:pic>
              </a:graphicData>
            </a:graphic>
          </wp:inline>
        </w:drawing>
      </w:r>
    </w:p>
    <w:p w14:paraId="390CA052">
      <w:pPr>
        <w:pStyle w:val="2"/>
        <w:ind w:left="0" w:firstLine="0" w:firstLineChars="0"/>
        <w:rPr>
          <w:b w:val="0"/>
          <w:bCs w:val="0"/>
          <w:color w:val="2F35F7"/>
        </w:rPr>
        <w:sectPr>
          <w:pgSz w:w="16838" w:h="11906" w:orient="landscape"/>
          <w:pgMar w:top="1803" w:right="1418" w:bottom="1803" w:left="1418" w:header="369" w:footer="992" w:gutter="0"/>
          <w:pgBorders>
            <w:top w:val="none" w:sz="0" w:space="0"/>
            <w:left w:val="none" w:sz="0" w:space="0"/>
            <w:bottom w:val="none" w:sz="0" w:space="0"/>
            <w:right w:val="none" w:sz="0" w:space="0"/>
          </w:pgBorders>
          <w:cols w:space="720" w:num="1"/>
          <w:docGrid w:type="lines" w:linePitch="360" w:charSpace="0"/>
        </w:sectPr>
      </w:pPr>
    </w:p>
    <w:p w14:paraId="346F498C">
      <w:pPr>
        <w:pStyle w:val="2"/>
        <w:ind w:left="0" w:firstLine="0" w:firstLineChars="0"/>
        <w:rPr>
          <w:b w:val="0"/>
          <w:bCs w:val="0"/>
          <w:color w:val="auto"/>
        </w:rPr>
      </w:pPr>
      <w:bookmarkStart w:id="21" w:name="_Toc28638"/>
      <w:r>
        <w:rPr>
          <w:rFonts w:hint="eastAsia"/>
          <w:b w:val="0"/>
          <w:bCs w:val="0"/>
          <w:color w:val="auto"/>
        </w:rPr>
        <w:t>附图3 项目方案示意图</w:t>
      </w:r>
      <w:bookmarkEnd w:id="21"/>
    </w:p>
    <w:p w14:paraId="2C655EF2">
      <w:pPr>
        <w:ind w:firstLine="0" w:firstLineChars="0"/>
        <w:jc w:val="center"/>
        <w:rPr>
          <w:color w:val="auto"/>
        </w:rPr>
        <w:sectPr>
          <w:pgSz w:w="16838" w:h="11906" w:orient="landscape"/>
          <w:pgMar w:top="1803" w:right="1418" w:bottom="1803" w:left="1418" w:header="369" w:footer="992" w:gutter="0"/>
          <w:pgBorders>
            <w:top w:val="none" w:sz="0" w:space="0"/>
            <w:left w:val="none" w:sz="0" w:space="0"/>
            <w:bottom w:val="none" w:sz="0" w:space="0"/>
            <w:right w:val="none" w:sz="0" w:space="0"/>
          </w:pgBorders>
          <w:cols w:space="720" w:num="1"/>
          <w:docGrid w:type="lines" w:linePitch="360" w:charSpace="0"/>
        </w:sectPr>
      </w:pPr>
      <w:r>
        <w:rPr>
          <w:color w:val="auto"/>
        </w:rPr>
        <mc:AlternateContent>
          <mc:Choice Requires="wps">
            <w:drawing>
              <wp:anchor distT="0" distB="0" distL="114300" distR="114300" simplePos="0" relativeHeight="251704320" behindDoc="0" locked="0" layoutInCell="1" allowOverlap="1">
                <wp:simplePos x="0" y="0"/>
                <wp:positionH relativeFrom="column">
                  <wp:posOffset>4230370</wp:posOffset>
                </wp:positionH>
                <wp:positionV relativeFrom="paragraph">
                  <wp:posOffset>2405380</wp:posOffset>
                </wp:positionV>
                <wp:extent cx="692785" cy="445770"/>
                <wp:effectExtent l="4445" t="4445" r="7620" b="235585"/>
                <wp:wrapNone/>
                <wp:docPr id="160" name="矩形标注 160"/>
                <wp:cNvGraphicFramePr/>
                <a:graphic xmlns:a="http://schemas.openxmlformats.org/drawingml/2006/main">
                  <a:graphicData uri="http://schemas.microsoft.com/office/word/2010/wordprocessingShape">
                    <wps:wsp>
                      <wps:cNvSpPr/>
                      <wps:spPr>
                        <a:xfrm>
                          <a:off x="5050790" y="3585210"/>
                          <a:ext cx="692785" cy="445770"/>
                        </a:xfrm>
                        <a:prstGeom prst="wedgeRectCallout">
                          <a:avLst>
                            <a:gd name="adj1" fmla="val -46875"/>
                            <a:gd name="adj2" fmla="val 101401"/>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215A4FD">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3.1pt;margin-top:189.4pt;height:35.1pt;width:54.55pt;z-index:251704320;v-text-anchor:middle;mso-width-relative:page;mso-height-relative:page;" fillcolor="#FFFFFF [3212]" filled="t" stroked="t" coordsize="21600,21600" o:gfxdata="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22O0ZNsAAAALAQAADwAAAAAAAAABACAAAAAiAAAA&#10;ZHJzL2Rvd25yZXYueG1sUEsBAhQAFAAAAAgAh07iQEkF+2uvAgAAWwUAAA4AAAAAAAAAAQAgAAAA&#10;KgEAAGRycy9lMm9Eb2MueG1sUEsFBgAAAAAGAAYAWQEAAEsGAAAAAA==&#10;" adj="675,32703">
                <v:fill on="t" focussize="0,0"/>
                <v:stroke weight="0.5pt" color="#000000 [3213]" joinstyle="round"/>
                <v:imagedata o:title=""/>
                <o:lock v:ext="edit" aspectratio="f"/>
                <v:textbox>
                  <w:txbxContent>
                    <w:p w14:paraId="3215A4FD">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v:textbox>
              </v:shape>
            </w:pict>
          </mc:Fallback>
        </mc:AlternateContent>
      </w:r>
      <w:r>
        <w:rPr>
          <w:color w:val="auto"/>
        </w:rPr>
        <w:drawing>
          <wp:inline distT="0" distB="0" distL="114300" distR="114300">
            <wp:extent cx="6971030" cy="4521835"/>
            <wp:effectExtent l="0" t="0" r="1270" b="12065"/>
            <wp:docPr id="5" name="图片 13" descr="改造方案-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descr="改造方案-01"/>
                    <pic:cNvPicPr>
                      <a:picLocks noChangeAspect="1"/>
                    </pic:cNvPicPr>
                  </pic:nvPicPr>
                  <pic:blipFill>
                    <a:blip r:embed="rId47"/>
                    <a:stretch>
                      <a:fillRect/>
                    </a:stretch>
                  </pic:blipFill>
                  <pic:spPr>
                    <a:xfrm>
                      <a:off x="0" y="0"/>
                      <a:ext cx="6971030" cy="4521835"/>
                    </a:xfrm>
                    <a:prstGeom prst="rect">
                      <a:avLst/>
                    </a:prstGeom>
                    <a:noFill/>
                    <a:ln>
                      <a:noFill/>
                    </a:ln>
                  </pic:spPr>
                </pic:pic>
              </a:graphicData>
            </a:graphic>
          </wp:inline>
        </w:drawing>
      </w:r>
      <w:r>
        <w:rPr>
          <w:color w:val="auto"/>
        </w:rPr>
        <mc:AlternateContent>
          <mc:Choice Requires="wps">
            <w:drawing>
              <wp:anchor distT="0" distB="0" distL="114300" distR="114300" simplePos="0" relativeHeight="251703296" behindDoc="0" locked="0" layoutInCell="1" allowOverlap="1">
                <wp:simplePos x="0" y="0"/>
                <wp:positionH relativeFrom="column">
                  <wp:posOffset>3399155</wp:posOffset>
                </wp:positionH>
                <wp:positionV relativeFrom="paragraph">
                  <wp:posOffset>2167255</wp:posOffset>
                </wp:positionV>
                <wp:extent cx="1210945" cy="1262380"/>
                <wp:effectExtent l="12700" t="1270" r="14605" b="12700"/>
                <wp:wrapNone/>
                <wp:docPr id="158" name="任意多边形 158"/>
                <wp:cNvGraphicFramePr/>
                <a:graphic xmlns:a="http://schemas.openxmlformats.org/drawingml/2006/main">
                  <a:graphicData uri="http://schemas.microsoft.com/office/word/2010/wordprocessingShape">
                    <wps:wsp>
                      <wps:cNvSpPr/>
                      <wps:spPr>
                        <a:xfrm>
                          <a:off x="4277360" y="3711575"/>
                          <a:ext cx="1210945" cy="1262380"/>
                        </a:xfrm>
                        <a:custGeom>
                          <a:avLst/>
                          <a:gdLst>
                            <a:gd name="connisteX0" fmla="*/ 11230 w 1249480"/>
                            <a:gd name="connsiteY0" fmla="*/ 0 h 1261745"/>
                            <a:gd name="connisteX1" fmla="*/ 169980 w 1249480"/>
                            <a:gd name="connsiteY1" fmla="*/ 515620 h 1261745"/>
                            <a:gd name="connisteX2" fmla="*/ 1249480 w 1249480"/>
                            <a:gd name="connsiteY2" fmla="*/ 1261745 h 1261745"/>
                          </a:gdLst>
                          <a:ahLst/>
                          <a:cxnLst>
                            <a:cxn ang="0">
                              <a:pos x="connisteX0" y="connsiteY0"/>
                            </a:cxn>
                            <a:cxn ang="0">
                              <a:pos x="connisteX1" y="connsiteY1"/>
                            </a:cxn>
                            <a:cxn ang="0">
                              <a:pos x="connisteX2" y="connsiteY2"/>
                            </a:cxn>
                          </a:cxnLst>
                          <a:rect l="l" t="t" r="r" b="b"/>
                          <a:pathLst>
                            <a:path w="1249481" h="1261745">
                              <a:moveTo>
                                <a:pt x="11231" y="0"/>
                              </a:moveTo>
                              <a:cubicBezTo>
                                <a:pt x="21391" y="88265"/>
                                <a:pt x="-77669" y="263525"/>
                                <a:pt x="169981" y="515620"/>
                              </a:cubicBezTo>
                              <a:cubicBezTo>
                                <a:pt x="417631" y="767715"/>
                                <a:pt x="1036756" y="1122680"/>
                                <a:pt x="1249481" y="1261745"/>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67.65pt;margin-top:170.65pt;height:99.4pt;width:95.35pt;z-index:251703296;mso-width-relative:page;mso-height-relative:page;" filled="f" stroked="t" coordsize="1249481,1261745" o:gfxdata="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F7wbvjXAAAACwEAAA8AAAAAAAAAAQAgAAAAIgAAAGRycy9kb3ducmV2Lnht&#10;bFBLAQIUABQAAAAIAIdO4kDuavM4FwMAADkHAAAOAAAAAAAAAAEAIAAAACYBAABkcnMvZTJvRG9j&#10;LnhtbFBLBQYAAAAABgAGAFkBAACvBgAAAAA=&#10;" path="m11231,0c21391,88265,-77669,263525,169981,515620c417631,767715,1036756,1122680,1249481,1261745e">
                <v:path o:connectlocs="10883,0;164737,515879;1210945,1262380" o:connectangles="0,0,0"/>
                <v:fill on="f" focussize="0,0"/>
                <v:stroke weight="2pt" color="#FF0000 [2404]" joinstyle="round"/>
                <v:imagedata o:title=""/>
                <o:lock v:ext="edit" aspectratio="f"/>
              </v:shape>
            </w:pict>
          </mc:Fallback>
        </mc:AlternateContent>
      </w:r>
      <w:r>
        <w:rPr>
          <w:color w:val="auto"/>
        </w:rPr>
        <mc:AlternateContent>
          <mc:Choice Requires="wps">
            <w:drawing>
              <wp:anchor distT="0" distB="0" distL="114300" distR="114300" simplePos="0" relativeHeight="251702272" behindDoc="0" locked="0" layoutInCell="1" allowOverlap="1">
                <wp:simplePos x="0" y="0"/>
                <wp:positionH relativeFrom="column">
                  <wp:posOffset>3184525</wp:posOffset>
                </wp:positionH>
                <wp:positionV relativeFrom="paragraph">
                  <wp:posOffset>2174875</wp:posOffset>
                </wp:positionV>
                <wp:extent cx="184785" cy="992505"/>
                <wp:effectExtent l="12700" t="4445" r="12065" b="12700"/>
                <wp:wrapNone/>
                <wp:docPr id="155" name="任意多边形 155"/>
                <wp:cNvGraphicFramePr/>
                <a:graphic xmlns:a="http://schemas.openxmlformats.org/drawingml/2006/main">
                  <a:graphicData uri="http://schemas.microsoft.com/office/word/2010/wordprocessingShape">
                    <wps:wsp>
                      <wps:cNvSpPr/>
                      <wps:spPr>
                        <a:xfrm>
                          <a:off x="4084955" y="3687445"/>
                          <a:ext cx="184785" cy="992505"/>
                        </a:xfrm>
                        <a:custGeom>
                          <a:avLst/>
                          <a:gdLst>
                            <a:gd name="connisteX0" fmla="*/ 185004 w 185004"/>
                            <a:gd name="connsiteY0" fmla="*/ 0 h 992505"/>
                            <a:gd name="connisteX1" fmla="*/ 2759 w 185004"/>
                            <a:gd name="connsiteY1" fmla="*/ 555625 h 992505"/>
                            <a:gd name="connisteX2" fmla="*/ 89754 w 185004"/>
                            <a:gd name="connsiteY2" fmla="*/ 992505 h 992505"/>
                          </a:gdLst>
                          <a:ahLst/>
                          <a:cxnLst>
                            <a:cxn ang="0">
                              <a:pos x="connisteX0" y="connsiteY0"/>
                            </a:cxn>
                            <a:cxn ang="0">
                              <a:pos x="connisteX1" y="connsiteY1"/>
                            </a:cxn>
                            <a:cxn ang="0">
                              <a:pos x="connisteX2" y="connsiteY2"/>
                            </a:cxn>
                          </a:cxnLst>
                          <a:rect l="l" t="t" r="r" b="b"/>
                          <a:pathLst>
                            <a:path w="185004" h="992505">
                              <a:moveTo>
                                <a:pt x="185004" y="0"/>
                              </a:moveTo>
                              <a:cubicBezTo>
                                <a:pt x="146904" y="102235"/>
                                <a:pt x="21809" y="356870"/>
                                <a:pt x="2759" y="555625"/>
                              </a:cubicBezTo>
                              <a:cubicBezTo>
                                <a:pt x="-16291" y="754380"/>
                                <a:pt x="68799" y="916305"/>
                                <a:pt x="89754" y="992505"/>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0.75pt;margin-top:171.25pt;height:78.15pt;width:14.55pt;z-index:251702272;mso-width-relative:page;mso-height-relative:page;" filled="f" stroked="t" coordsize="185004,992505" o:gfxdata="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IJcZI9gAAAALAQAADwAAAAAAAAABACAAAAAiAAAAZHJzL2Rvd25yZXYueG1sUEsB&#10;AhQAFAAAAAgAh07iQCmE2oISAwAAJQcAAA4AAAAAAAAAAQAgAAAAJwEAAGRycy9lMm9Eb2MueG1s&#10;UEsFBgAAAAAGAAYAWQEAAKsGAAAAAA==&#10;" path="m185004,0c146904,102235,21809,356870,2759,555625c-16291,754380,68799,916305,89754,992505e">
                <v:path o:connectlocs="184785,0;2755,555625;89647,992505" o:connectangles="0,0,0"/>
                <v:fill on="f" focussize="0,0"/>
                <v:stroke weight="2pt" color="#FF0000 [2404]" joinstyle="round"/>
                <v:imagedata o:title=""/>
                <o:lock v:ext="edit" aspectratio="f"/>
              </v:shape>
            </w:pict>
          </mc:Fallback>
        </mc:AlternateContent>
      </w:r>
    </w:p>
    <w:p w14:paraId="47F830A5">
      <w:pPr>
        <w:pStyle w:val="2"/>
        <w:ind w:left="0" w:firstLine="0" w:firstLineChars="0"/>
        <w:rPr>
          <w:b w:val="0"/>
          <w:bCs w:val="0"/>
          <w:color w:val="auto"/>
        </w:rPr>
      </w:pPr>
      <w:bookmarkStart w:id="22" w:name="_Toc6350"/>
      <w:r>
        <w:rPr>
          <w:rFonts w:hint="eastAsia"/>
          <w:b w:val="0"/>
          <w:bCs w:val="0"/>
          <w:color w:val="auto"/>
        </w:rPr>
        <w:t>附图4 项目总平面布置图</w:t>
      </w:r>
      <w:bookmarkEnd w:id="22"/>
    </w:p>
    <w:p w14:paraId="176F15C4">
      <w:pPr>
        <w:ind w:firstLine="0" w:firstLineChars="0"/>
        <w:jc w:val="center"/>
        <w:sectPr>
          <w:pgSz w:w="16838" w:h="11906" w:orient="landscape"/>
          <w:pgMar w:top="1803" w:right="1418" w:bottom="1803" w:left="1418" w:header="369" w:footer="992" w:gutter="0"/>
          <w:pgBorders>
            <w:top w:val="none" w:sz="0" w:space="0"/>
            <w:left w:val="none" w:sz="0" w:space="0"/>
            <w:bottom w:val="none" w:sz="0" w:space="0"/>
            <w:right w:val="none" w:sz="0" w:space="0"/>
          </w:pgBorders>
          <w:cols w:space="720" w:num="1"/>
          <w:docGrid w:type="lines" w:linePitch="360" w:charSpace="0"/>
        </w:sectPr>
      </w:pPr>
      <w:r>
        <mc:AlternateContent>
          <mc:Choice Requires="wps">
            <w:drawing>
              <wp:anchor distT="0" distB="0" distL="114300" distR="114300" simplePos="0" relativeHeight="251707392" behindDoc="0" locked="0" layoutInCell="1" allowOverlap="1">
                <wp:simplePos x="0" y="0"/>
                <wp:positionH relativeFrom="column">
                  <wp:posOffset>6416040</wp:posOffset>
                </wp:positionH>
                <wp:positionV relativeFrom="paragraph">
                  <wp:posOffset>448945</wp:posOffset>
                </wp:positionV>
                <wp:extent cx="692785" cy="445770"/>
                <wp:effectExtent l="190500" t="4445" r="12065" b="216535"/>
                <wp:wrapNone/>
                <wp:docPr id="12" name="矩形标注 12"/>
                <wp:cNvGraphicFramePr/>
                <a:graphic xmlns:a="http://schemas.openxmlformats.org/drawingml/2006/main">
                  <a:graphicData uri="http://schemas.microsoft.com/office/word/2010/wordprocessingShape">
                    <wps:wsp>
                      <wps:cNvSpPr/>
                      <wps:spPr>
                        <a:xfrm>
                          <a:off x="0" y="0"/>
                          <a:ext cx="692785" cy="445770"/>
                        </a:xfrm>
                        <a:prstGeom prst="wedgeRectCallout">
                          <a:avLst>
                            <a:gd name="adj1" fmla="val -76856"/>
                            <a:gd name="adj2" fmla="val 96011"/>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EE867B1">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5.2pt;margin-top:35.35pt;height:35.1pt;width:54.55pt;z-index:251707392;v-text-anchor:middle;mso-width-relative:page;mso-height-relative:page;" fillcolor="#FFFFFF [3212]" filled="t" stroked="t" coordsize="21600,21600" o:gfxdata="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MpzE22wAAAAwBAAAPAAAAAAAAAAEAIAAAACIAAABkcnMvZG93bnJldi54&#10;bWxQSwECFAAUAAAACACHTuJAoEKqrqICAABMBQAADgAAAAAAAAABACAAAAAqAQAAZHJzL2Uyb0Rv&#10;Yy54bWxQSwUGAAAAAAYABgBZAQAAPgYAAAAA&#10;" adj="-5801,31538">
                <v:fill on="t" focussize="0,0"/>
                <v:stroke weight="0.5pt" color="#000000 [3213]" joinstyle="round"/>
                <v:imagedata o:title=""/>
                <o:lock v:ext="edit" aspectratio="f"/>
                <v:textbox>
                  <w:txbxContent>
                    <w:p w14:paraId="0EE867B1">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7375525</wp:posOffset>
                </wp:positionH>
                <wp:positionV relativeFrom="paragraph">
                  <wp:posOffset>3773805</wp:posOffset>
                </wp:positionV>
                <wp:extent cx="302260" cy="0"/>
                <wp:effectExtent l="0" t="12700" r="2540" b="15875"/>
                <wp:wrapNone/>
                <wp:docPr id="41" name="直接连接符 41"/>
                <wp:cNvGraphicFramePr/>
                <a:graphic xmlns:a="http://schemas.openxmlformats.org/drawingml/2006/main">
                  <a:graphicData uri="http://schemas.microsoft.com/office/word/2010/wordprocessingShape">
                    <wps:wsp>
                      <wps:cNvCnPr/>
                      <wps:spPr>
                        <a:xfrm>
                          <a:off x="2618105" y="5334000"/>
                          <a:ext cx="30226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80.75pt;margin-top:297.15pt;height:0pt;width:23.8pt;z-index:251663360;mso-width-relative:page;mso-height-relative:page;" filled="f" stroked="t" coordsize="21600,21600" o:gfxdata="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Vd9bJ&#10;2AAAAA0BAAAPAAAAAAAAAAEAIAAAACIAAABkcnMvZG93bnJldi54bWxQSwECFAAUAAAACACHTuJA&#10;nWAZWegBAACoAwAADgAAAAAAAAABACAAAAAnAQAAZHJzL2Uyb0RvYy54bWxQSwUGAAAAAAYABgBZ&#10;AQAAgQUAAAAA&#10;">
                <v:fill on="f" focussize="0,0"/>
                <v:stroke weight="2pt" color="#FF0000 [3204]" joinstyle="round"/>
                <v:imagedata o:title=""/>
                <o:lock v:ext="edit" aspectratio="f"/>
              </v:lin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7356475</wp:posOffset>
                </wp:positionH>
                <wp:positionV relativeFrom="paragraph">
                  <wp:posOffset>3552190</wp:posOffset>
                </wp:positionV>
                <wp:extent cx="302260" cy="0"/>
                <wp:effectExtent l="0" t="12700" r="2540" b="15875"/>
                <wp:wrapNone/>
                <wp:docPr id="42" name="直接连接符 42"/>
                <wp:cNvGraphicFramePr/>
                <a:graphic xmlns:a="http://schemas.openxmlformats.org/drawingml/2006/main">
                  <a:graphicData uri="http://schemas.microsoft.com/office/word/2010/wordprocessingShape">
                    <wps:wsp>
                      <wps:cNvCnPr/>
                      <wps:spPr>
                        <a:xfrm>
                          <a:off x="0" y="0"/>
                          <a:ext cx="302260" cy="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79.25pt;margin-top:279.7pt;height:0pt;width:23.8pt;z-index:251665408;mso-width-relative:page;mso-height-relative:page;" filled="f" stroked="t" coordsize="21600,21600" o:gfxdata="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tM1Tn2AAAAA0BAAAPAAAAAAAA&#10;AAEAIAAAACIAAABkcnMvZG93bnJldi54bWxQSwECFAAUAAAACACHTuJABxq08NkBAACcAwAADgAA&#10;AAAAAAABACAAAAAnAQAAZHJzL2Uyb0RvYy54bWxQSwUGAAAAAAYABgBZAQAAcgUAAAAA&#10;">
                <v:fill on="f" focussize="0,0"/>
                <v:stroke weight="2pt" color="#FFFF00 [3204]" joinstyle="round"/>
                <v:imagedata o:title=""/>
                <o:lock v:ext="edit" aspectratio="f"/>
              </v:lin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7201535</wp:posOffset>
                </wp:positionH>
                <wp:positionV relativeFrom="paragraph">
                  <wp:posOffset>3044190</wp:posOffset>
                </wp:positionV>
                <wp:extent cx="1481455" cy="950595"/>
                <wp:effectExtent l="4445" t="4445" r="19050" b="16510"/>
                <wp:wrapNone/>
                <wp:docPr id="40" name="文本框 40"/>
                <wp:cNvGraphicFramePr/>
                <a:graphic xmlns:a="http://schemas.openxmlformats.org/drawingml/2006/main">
                  <a:graphicData uri="http://schemas.microsoft.com/office/word/2010/wordprocessingShape">
                    <wps:wsp>
                      <wps:cNvSpPr txBox="1"/>
                      <wps:spPr>
                        <a:xfrm>
                          <a:off x="2462530" y="4876165"/>
                          <a:ext cx="1481455" cy="9505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CE94615">
                            <w:pPr>
                              <w:ind w:firstLine="0" w:firstLineChars="0"/>
                              <w:jc w:val="center"/>
                            </w:pPr>
                            <w:r>
                              <w:rPr>
                                <w:rFonts w:hint="eastAsia"/>
                              </w:rPr>
                              <w:t>图例</w:t>
                            </w:r>
                          </w:p>
                          <w:p w14:paraId="0C32533F">
                            <w:pPr>
                              <w:pStyle w:val="5"/>
                              <w:spacing w:line="240" w:lineRule="auto"/>
                              <w:ind w:firstLine="0" w:firstLineChars="0"/>
                              <w:jc w:val="center"/>
                              <w:rPr>
                                <w:sz w:val="18"/>
                                <w:szCs w:val="18"/>
                              </w:rPr>
                            </w:pPr>
                            <w:r>
                              <w:rPr>
                                <w:rFonts w:hint="eastAsia"/>
                                <w:sz w:val="18"/>
                                <w:szCs w:val="18"/>
                              </w:rPr>
                              <w:t xml:space="preserve">      既有油库铁路线</w:t>
                            </w:r>
                          </w:p>
                          <w:p w14:paraId="01B05389">
                            <w:pPr>
                              <w:spacing w:line="240" w:lineRule="auto"/>
                              <w:ind w:firstLine="0" w:firstLineChars="0"/>
                              <w:jc w:val="center"/>
                              <w:rPr>
                                <w:sz w:val="18"/>
                                <w:szCs w:val="18"/>
                              </w:rPr>
                            </w:pPr>
                            <w:r>
                              <w:rPr>
                                <w:rFonts w:hint="eastAsia"/>
                                <w:sz w:val="18"/>
                                <w:szCs w:val="18"/>
                              </w:rPr>
                              <w:t xml:space="preserve">      改建油库铁路线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7.05pt;margin-top:239.7pt;height:74.85pt;width:116.65pt;z-index:251662336;mso-width-relative:page;mso-height-relative:page;" fillcolor="#FFFFFF [3201]" filled="t" stroked="t" coordsize="21600,21600" o:gfxdata="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ujsd2tkAAAANAQAADwAAAAAAAAABACAAAAAiAAAAZHJzL2Rvd25yZXYueG1sUEsB&#10;AhQAFAAAAAgAh07iQIQgMxJmAgAAxQQAAA4AAAAAAAAAAQAgAAAAKAEAAGRycy9lMm9Eb2MueG1s&#10;UEsFBgAAAAAGAAYAWQEAAAAGAAAAAA==&#10;">
                <v:fill on="t" focussize="0,0"/>
                <v:stroke weight="0.5pt" color="#000000 [3204]" joinstyle="round"/>
                <v:imagedata o:title=""/>
                <o:lock v:ext="edit" aspectratio="f"/>
                <v:textbox>
                  <w:txbxContent>
                    <w:p w14:paraId="2CE94615">
                      <w:pPr>
                        <w:ind w:firstLine="0" w:firstLineChars="0"/>
                        <w:jc w:val="center"/>
                      </w:pPr>
                      <w:r>
                        <w:rPr>
                          <w:rFonts w:hint="eastAsia"/>
                        </w:rPr>
                        <w:t>图例</w:t>
                      </w:r>
                    </w:p>
                    <w:p w14:paraId="0C32533F">
                      <w:pPr>
                        <w:pStyle w:val="5"/>
                        <w:spacing w:line="240" w:lineRule="auto"/>
                        <w:ind w:firstLine="0" w:firstLineChars="0"/>
                        <w:jc w:val="center"/>
                        <w:rPr>
                          <w:sz w:val="18"/>
                          <w:szCs w:val="18"/>
                        </w:rPr>
                      </w:pPr>
                      <w:r>
                        <w:rPr>
                          <w:rFonts w:hint="eastAsia"/>
                          <w:sz w:val="18"/>
                          <w:szCs w:val="18"/>
                        </w:rPr>
                        <w:t xml:space="preserve">      既有油库铁路线</w:t>
                      </w:r>
                    </w:p>
                    <w:p w14:paraId="01B05389">
                      <w:pPr>
                        <w:spacing w:line="240" w:lineRule="auto"/>
                        <w:ind w:firstLine="0" w:firstLineChars="0"/>
                        <w:jc w:val="center"/>
                        <w:rPr>
                          <w:sz w:val="18"/>
                          <w:szCs w:val="18"/>
                        </w:rPr>
                      </w:pPr>
                      <w:r>
                        <w:rPr>
                          <w:rFonts w:hint="eastAsia"/>
                          <w:sz w:val="18"/>
                          <w:szCs w:val="18"/>
                        </w:rPr>
                        <w:t xml:space="preserve">      改建油库铁路线</w:t>
                      </w:r>
                    </w:p>
                  </w:txbxContent>
                </v:textbox>
              </v:shape>
            </w:pict>
          </mc:Fallback>
        </mc:AlternateContent>
      </w:r>
      <w:r>
        <w:drawing>
          <wp:anchor distT="0" distB="0" distL="114300" distR="114300" simplePos="0" relativeHeight="251664384" behindDoc="0" locked="0" layoutInCell="1" allowOverlap="1">
            <wp:simplePos x="0" y="0"/>
            <wp:positionH relativeFrom="column">
              <wp:posOffset>8295640</wp:posOffset>
            </wp:positionH>
            <wp:positionV relativeFrom="paragraph">
              <wp:posOffset>22225</wp:posOffset>
            </wp:positionV>
            <wp:extent cx="552450" cy="638175"/>
            <wp:effectExtent l="0" t="0" r="0" b="9525"/>
            <wp:wrapNone/>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48"/>
                    <a:srcRect l="2942" t="5263" r="11765" b="6580"/>
                    <a:stretch>
                      <a:fillRect/>
                    </a:stretch>
                  </pic:blipFill>
                  <pic:spPr>
                    <a:xfrm rot="10800000">
                      <a:off x="0" y="0"/>
                      <a:ext cx="552450" cy="638175"/>
                    </a:xfrm>
                    <a:prstGeom prst="rect">
                      <a:avLst/>
                    </a:prstGeom>
                    <a:noFill/>
                    <a:ln>
                      <a:noFill/>
                    </a:ln>
                  </pic:spPr>
                </pic:pic>
              </a:graphicData>
            </a:graphic>
          </wp:anchor>
        </w:drawing>
      </w:r>
      <w:r>
        <mc:AlternateContent>
          <mc:Choice Requires="wps">
            <w:drawing>
              <wp:anchor distT="0" distB="0" distL="114300" distR="114300" simplePos="0" relativeHeight="251672576" behindDoc="0" locked="0" layoutInCell="1" allowOverlap="1">
                <wp:simplePos x="0" y="0"/>
                <wp:positionH relativeFrom="column">
                  <wp:posOffset>3572510</wp:posOffset>
                </wp:positionH>
                <wp:positionV relativeFrom="paragraph">
                  <wp:posOffset>2325370</wp:posOffset>
                </wp:positionV>
                <wp:extent cx="2695575" cy="989330"/>
                <wp:effectExtent l="635" t="10160" r="8890" b="29210"/>
                <wp:wrapNone/>
                <wp:docPr id="59" name="任意多边形 59"/>
                <wp:cNvGraphicFramePr/>
                <a:graphic xmlns:a="http://schemas.openxmlformats.org/drawingml/2006/main">
                  <a:graphicData uri="http://schemas.microsoft.com/office/word/2010/wordprocessingShape">
                    <wps:wsp>
                      <wps:cNvSpPr/>
                      <wps:spPr>
                        <a:xfrm>
                          <a:off x="0" y="0"/>
                          <a:ext cx="2695575" cy="989330"/>
                        </a:xfrm>
                        <a:custGeom>
                          <a:avLst/>
                          <a:gdLst>
                            <a:gd name="connisteX0" fmla="*/ 0 w 3121660"/>
                            <a:gd name="connsiteY0" fmla="*/ 3143250 h 3143250"/>
                            <a:gd name="connisteX1" fmla="*/ 791210 w 3121660"/>
                            <a:gd name="connsiteY1" fmla="*/ 3011805 h 3143250"/>
                            <a:gd name="connisteX2" fmla="*/ 1238250 w 3121660"/>
                            <a:gd name="connsiteY2" fmla="*/ 2857500 h 3143250"/>
                            <a:gd name="connisteX3" fmla="*/ 1612265 w 3121660"/>
                            <a:gd name="connsiteY3" fmla="*/ 2600960 h 3143250"/>
                            <a:gd name="connisteX4" fmla="*/ 1883410 w 3121660"/>
                            <a:gd name="connsiteY4" fmla="*/ 2330450 h 3143250"/>
                            <a:gd name="connisteX5" fmla="*/ 2161540 w 3121660"/>
                            <a:gd name="connsiteY5" fmla="*/ 1824990 h 3143250"/>
                            <a:gd name="connisteX6" fmla="*/ 2469515 w 3121660"/>
                            <a:gd name="connsiteY6" fmla="*/ 1253490 h 3143250"/>
                            <a:gd name="connisteX7" fmla="*/ 3121660 w 3121660"/>
                            <a:gd name="connsiteY7" fmla="*/ 0 h 3143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3121660" h="3143250">
                              <a:moveTo>
                                <a:pt x="0" y="3143250"/>
                              </a:moveTo>
                              <a:cubicBezTo>
                                <a:pt x="149225" y="3119755"/>
                                <a:pt x="543560" y="3068955"/>
                                <a:pt x="791210" y="3011805"/>
                              </a:cubicBezTo>
                              <a:cubicBezTo>
                                <a:pt x="1038860" y="2954655"/>
                                <a:pt x="1073785" y="2939415"/>
                                <a:pt x="1238250" y="2857500"/>
                              </a:cubicBezTo>
                              <a:cubicBezTo>
                                <a:pt x="1402715" y="2775585"/>
                                <a:pt x="1483360" y="2706370"/>
                                <a:pt x="1612265" y="2600960"/>
                              </a:cubicBezTo>
                              <a:cubicBezTo>
                                <a:pt x="1741170" y="2495550"/>
                                <a:pt x="1773555" y="2485390"/>
                                <a:pt x="1883410" y="2330450"/>
                              </a:cubicBezTo>
                              <a:cubicBezTo>
                                <a:pt x="1993265" y="2175510"/>
                                <a:pt x="2044065" y="2040255"/>
                                <a:pt x="2161540" y="1824990"/>
                              </a:cubicBezTo>
                              <a:cubicBezTo>
                                <a:pt x="2279015" y="1609725"/>
                                <a:pt x="2277745" y="1618615"/>
                                <a:pt x="2469515" y="1253490"/>
                              </a:cubicBezTo>
                              <a:cubicBezTo>
                                <a:pt x="2661285" y="888365"/>
                                <a:pt x="2997200" y="239395"/>
                                <a:pt x="3121660" y="0"/>
                              </a:cubicBezTo>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1.3pt;margin-top:183.1pt;height:77.9pt;width:212.25pt;z-index:251672576;mso-width-relative:page;mso-height-relative:page;" filled="f" stroked="t" coordsize="3121660,3143250" o:gfxdata="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" path="m0,3143250c149225,3119755,543560,3068955,791210,3011805c1038860,2954655,1073785,2939415,1238250,2857500c1402715,2775585,1483360,2706370,1612265,2600960c1741170,2495550,1773555,2485390,1883410,2330450c1993265,2175510,2044065,2040255,2161540,1824990c2279015,1609725,2277745,1618615,2469515,1253490c2661285,888365,2997200,239395,3121660,0e">
                <v:path o:connectlocs="0,989330;683215,947958;1069237,899390;1392201,818645;1626337,733503;1866504,574410;2132443,394532;2695575,0" o:connectangles="0,0,0,0,0,0,0,0"/>
                <v:fill on="f" focussize="0,0"/>
                <v:stroke weight="2pt" color="#FFFF00 [2404]" joinstyle="round"/>
                <v:imagedata o:title=""/>
                <o:lock v:ext="edit" aspectratio="f"/>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3542030</wp:posOffset>
                </wp:positionH>
                <wp:positionV relativeFrom="paragraph">
                  <wp:posOffset>2471420</wp:posOffset>
                </wp:positionV>
                <wp:extent cx="3165475" cy="850900"/>
                <wp:effectExtent l="635" t="11430" r="15240" b="13970"/>
                <wp:wrapNone/>
                <wp:docPr id="58" name="任意多边形 58"/>
                <wp:cNvGraphicFramePr/>
                <a:graphic xmlns:a="http://schemas.openxmlformats.org/drawingml/2006/main">
                  <a:graphicData uri="http://schemas.microsoft.com/office/word/2010/wordprocessingShape">
                    <wps:wsp>
                      <wps:cNvSpPr/>
                      <wps:spPr>
                        <a:xfrm>
                          <a:off x="0" y="0"/>
                          <a:ext cx="3165475" cy="850900"/>
                        </a:xfrm>
                        <a:custGeom>
                          <a:avLst/>
                          <a:gdLst>
                            <a:gd name="connisteX0" fmla="*/ 0 w 3121660"/>
                            <a:gd name="connsiteY0" fmla="*/ 3143250 h 3143250"/>
                            <a:gd name="connisteX1" fmla="*/ 791210 w 3121660"/>
                            <a:gd name="connsiteY1" fmla="*/ 3011805 h 3143250"/>
                            <a:gd name="connisteX2" fmla="*/ 1238250 w 3121660"/>
                            <a:gd name="connsiteY2" fmla="*/ 2857500 h 3143250"/>
                            <a:gd name="connisteX3" fmla="*/ 1612265 w 3121660"/>
                            <a:gd name="connsiteY3" fmla="*/ 2600960 h 3143250"/>
                            <a:gd name="connisteX4" fmla="*/ 1883410 w 3121660"/>
                            <a:gd name="connsiteY4" fmla="*/ 2330450 h 3143250"/>
                            <a:gd name="connisteX5" fmla="*/ 2161540 w 3121660"/>
                            <a:gd name="connsiteY5" fmla="*/ 1824990 h 3143250"/>
                            <a:gd name="connisteX6" fmla="*/ 2469515 w 3121660"/>
                            <a:gd name="connsiteY6" fmla="*/ 1253490 h 3143250"/>
                            <a:gd name="connisteX7" fmla="*/ 3121660 w 3121660"/>
                            <a:gd name="connsiteY7" fmla="*/ 0 h 3143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3121660" h="3143250">
                              <a:moveTo>
                                <a:pt x="0" y="3143250"/>
                              </a:moveTo>
                              <a:cubicBezTo>
                                <a:pt x="149225" y="3119755"/>
                                <a:pt x="543560" y="3068955"/>
                                <a:pt x="791210" y="3011805"/>
                              </a:cubicBezTo>
                              <a:cubicBezTo>
                                <a:pt x="1038860" y="2954655"/>
                                <a:pt x="1073785" y="2939415"/>
                                <a:pt x="1238250" y="2857500"/>
                              </a:cubicBezTo>
                              <a:cubicBezTo>
                                <a:pt x="1402715" y="2775585"/>
                                <a:pt x="1483360" y="2706370"/>
                                <a:pt x="1612265" y="2600960"/>
                              </a:cubicBezTo>
                              <a:cubicBezTo>
                                <a:pt x="1741170" y="2495550"/>
                                <a:pt x="1773555" y="2485390"/>
                                <a:pt x="1883410" y="2330450"/>
                              </a:cubicBezTo>
                              <a:cubicBezTo>
                                <a:pt x="1993265" y="2175510"/>
                                <a:pt x="2044065" y="2040255"/>
                                <a:pt x="2161540" y="1824990"/>
                              </a:cubicBezTo>
                              <a:cubicBezTo>
                                <a:pt x="2279015" y="1609725"/>
                                <a:pt x="2277745" y="1618615"/>
                                <a:pt x="2469515" y="1253490"/>
                              </a:cubicBezTo>
                              <a:cubicBezTo>
                                <a:pt x="2661285" y="888365"/>
                                <a:pt x="2997200" y="239395"/>
                                <a:pt x="3121660" y="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8.9pt;margin-top:194.6pt;height:67pt;width:249.25pt;z-index:251671552;mso-width-relative:page;mso-height-relative:page;" filled="f" stroked="t" coordsize="3121660,3143250" o:gfxdata="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" path="m0,3143250c149225,3119755,543560,3068955,791210,3011805c1038860,2954655,1073785,2939415,1238250,2857500c1402715,2775585,1483360,2706370,1612265,2600960c1741170,2495550,1773555,2485390,1883410,2330450c1993265,2175510,2044065,2040255,2161540,1824990c2279015,1609725,2277745,1618615,2469515,1253490c2661285,888365,2997200,239395,3121660,0e">
                <v:path o:connectlocs="0,850900;802315,815316;1255629,773545;1634894,704098;1909845,630869;2191878,494037;2504176,339328;3165475,0" o:connectangles="0,0,0,0,0,0,0,0"/>
                <v:fill on="f" focussize="0,0"/>
                <v:stroke weight="2pt" color="#FF0000 [2404]" joinstyle="round"/>
                <v:imagedata o:title=""/>
                <o:lock v:ext="edit" aspectratio="f"/>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3528695</wp:posOffset>
                </wp:positionH>
                <wp:positionV relativeFrom="paragraph">
                  <wp:posOffset>194945</wp:posOffset>
                </wp:positionV>
                <wp:extent cx="3121660" cy="3143250"/>
                <wp:effectExtent l="1905" t="5715" r="19685" b="13335"/>
                <wp:wrapNone/>
                <wp:docPr id="56" name="任意多边形 56"/>
                <wp:cNvGraphicFramePr/>
                <a:graphic xmlns:a="http://schemas.openxmlformats.org/drawingml/2006/main">
                  <a:graphicData uri="http://schemas.microsoft.com/office/word/2010/wordprocessingShape">
                    <wps:wsp>
                      <wps:cNvSpPr/>
                      <wps:spPr>
                        <a:xfrm>
                          <a:off x="4429125" y="1783715"/>
                          <a:ext cx="3121660" cy="3143250"/>
                        </a:xfrm>
                        <a:custGeom>
                          <a:avLst/>
                          <a:gdLst>
                            <a:gd name="connisteX0" fmla="*/ 0 w 3121660"/>
                            <a:gd name="connsiteY0" fmla="*/ 3143250 h 3143250"/>
                            <a:gd name="connisteX1" fmla="*/ 791210 w 3121660"/>
                            <a:gd name="connsiteY1" fmla="*/ 3011805 h 3143250"/>
                            <a:gd name="connisteX2" fmla="*/ 1238250 w 3121660"/>
                            <a:gd name="connsiteY2" fmla="*/ 2857500 h 3143250"/>
                            <a:gd name="connisteX3" fmla="*/ 1612265 w 3121660"/>
                            <a:gd name="connsiteY3" fmla="*/ 2600960 h 3143250"/>
                            <a:gd name="connisteX4" fmla="*/ 1883410 w 3121660"/>
                            <a:gd name="connsiteY4" fmla="*/ 2330450 h 3143250"/>
                            <a:gd name="connisteX5" fmla="*/ 2161540 w 3121660"/>
                            <a:gd name="connsiteY5" fmla="*/ 1824990 h 3143250"/>
                            <a:gd name="connisteX6" fmla="*/ 2469515 w 3121660"/>
                            <a:gd name="connsiteY6" fmla="*/ 1253490 h 3143250"/>
                            <a:gd name="connisteX7" fmla="*/ 3121660 w 3121660"/>
                            <a:gd name="connsiteY7" fmla="*/ 0 h 3143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3121660" h="3143250">
                              <a:moveTo>
                                <a:pt x="0" y="3143250"/>
                              </a:moveTo>
                              <a:cubicBezTo>
                                <a:pt x="149225" y="3119755"/>
                                <a:pt x="543560" y="3068955"/>
                                <a:pt x="791210" y="3011805"/>
                              </a:cubicBezTo>
                              <a:cubicBezTo>
                                <a:pt x="1038860" y="2954655"/>
                                <a:pt x="1073785" y="2939415"/>
                                <a:pt x="1238250" y="2857500"/>
                              </a:cubicBezTo>
                              <a:cubicBezTo>
                                <a:pt x="1402715" y="2775585"/>
                                <a:pt x="1483360" y="2706370"/>
                                <a:pt x="1612265" y="2600960"/>
                              </a:cubicBezTo>
                              <a:cubicBezTo>
                                <a:pt x="1741170" y="2495550"/>
                                <a:pt x="1773555" y="2485390"/>
                                <a:pt x="1883410" y="2330450"/>
                              </a:cubicBezTo>
                              <a:cubicBezTo>
                                <a:pt x="1993265" y="2175510"/>
                                <a:pt x="2044065" y="2040255"/>
                                <a:pt x="2161540" y="1824990"/>
                              </a:cubicBezTo>
                              <a:cubicBezTo>
                                <a:pt x="2279015" y="1609725"/>
                                <a:pt x="2277745" y="1618615"/>
                                <a:pt x="2469515" y="1253490"/>
                              </a:cubicBezTo>
                              <a:cubicBezTo>
                                <a:pt x="2661285" y="888365"/>
                                <a:pt x="2997200" y="239395"/>
                                <a:pt x="3121660" y="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7.85pt;margin-top:15.35pt;height:247.5pt;width:245.8pt;z-index:251670528;mso-width-relative:page;mso-height-relative:page;" filled="f" stroked="t" coordsize="3121660,3143250" o:gfxdata="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&#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" path="m0,3143250c149225,3119755,543560,3068955,791210,3011805c1038860,2954655,1073785,2939415,1238250,2857500c1402715,2775585,1483360,2706370,1612265,2600960c1741170,2495550,1773555,2485390,1883410,2330450c1993265,2175510,2044065,2040255,2161540,1824990c2279015,1609725,2277745,1618615,2469515,1253490c2661285,888365,2997200,239395,3121660,0e">
                <v:path o:connectlocs="0,3143250;791210,3011805;1238250,2857500;1612265,2600960;1883410,2330450;2161540,1824990;2469515,1253490;3121660,0" o:connectangles="0,0,0,0,0,0,0,0"/>
                <v:fill on="f" focussize="0,0"/>
                <v:stroke weight="2pt" color="#FF0000 [2404]" joinstyle="round"/>
                <v:imagedata o:title=""/>
                <o:lock v:ext="edit" aspectratio="f"/>
              </v:shape>
            </w:pict>
          </mc:Fallback>
        </mc:AlternateContent>
      </w:r>
      <w:r>
        <w:drawing>
          <wp:inline distT="0" distB="0" distL="114300" distR="114300">
            <wp:extent cx="8888730" cy="4062095"/>
            <wp:effectExtent l="0" t="0" r="7620" b="14605"/>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49"/>
                    <a:stretch>
                      <a:fillRect/>
                    </a:stretch>
                  </pic:blipFill>
                  <pic:spPr>
                    <a:xfrm>
                      <a:off x="0" y="0"/>
                      <a:ext cx="8888730" cy="4062095"/>
                    </a:xfrm>
                    <a:prstGeom prst="rect">
                      <a:avLst/>
                    </a:prstGeom>
                    <a:noFill/>
                    <a:ln>
                      <a:noFill/>
                    </a:ln>
                  </pic:spPr>
                </pic:pic>
              </a:graphicData>
            </a:graphic>
          </wp:inline>
        </w:drawing>
      </w:r>
    </w:p>
    <w:p w14:paraId="1BA2C24B">
      <w:pPr>
        <w:pStyle w:val="2"/>
        <w:ind w:left="0" w:firstLine="0" w:firstLineChars="0"/>
        <w:rPr>
          <w:b w:val="0"/>
          <w:bCs w:val="0"/>
        </w:rPr>
      </w:pPr>
      <w:bookmarkStart w:id="23" w:name="_Toc31157"/>
      <w:r>
        <w:rPr>
          <w:rFonts w:hint="eastAsia"/>
          <w:b w:val="0"/>
          <w:bCs w:val="0"/>
        </w:rPr>
        <w:t>附图5 土地利用现状图</w:t>
      </w:r>
      <w:bookmarkEnd w:id="23"/>
    </w:p>
    <w:p w14:paraId="4E0472AA">
      <w:pPr>
        <w:ind w:firstLine="0" w:firstLineChars="0"/>
        <w:jc w:val="center"/>
      </w:pPr>
      <w:r>
        <mc:AlternateContent>
          <mc:Choice Requires="wps">
            <w:drawing>
              <wp:anchor distT="0" distB="0" distL="114300" distR="114300" simplePos="0" relativeHeight="251669504" behindDoc="0" locked="0" layoutInCell="1" allowOverlap="1">
                <wp:simplePos x="0" y="0"/>
                <wp:positionH relativeFrom="column">
                  <wp:posOffset>3421380</wp:posOffset>
                </wp:positionH>
                <wp:positionV relativeFrom="paragraph">
                  <wp:posOffset>735330</wp:posOffset>
                </wp:positionV>
                <wp:extent cx="715645" cy="492760"/>
                <wp:effectExtent l="0" t="0" r="8255" b="78740"/>
                <wp:wrapNone/>
                <wp:docPr id="54" name="圆角矩形标注 54"/>
                <wp:cNvGraphicFramePr/>
                <a:graphic xmlns:a="http://schemas.openxmlformats.org/drawingml/2006/main">
                  <a:graphicData uri="http://schemas.microsoft.com/office/word/2010/wordprocessingShape">
                    <wps:wsp>
                      <wps:cNvSpPr/>
                      <wps:spPr>
                        <a:xfrm>
                          <a:off x="4552950" y="2273935"/>
                          <a:ext cx="715645" cy="492760"/>
                        </a:xfrm>
                        <a:prstGeom prst="wedgeRoundRectCallou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04177FA">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9.4pt;margin-top:57.9pt;height:38.8pt;width:56.35pt;z-index:251669504;v-text-anchor:middle;mso-width-relative:page;mso-height-relative:page;" fillcolor="#FFFFFF [3212]" filled="t" stroked="f" coordsize="21600,21600" o:gfxdata="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D3EdHfcAAAACwEAAA8AAAAAAAAAAQAgAAAAIgAAAGRycy9kb3ducmV2LnhtbFBLAQIUABQA&#10;AAAIAIdO4kC8x2OVlwIAAOkEAAAOAAAAAAAAAAEAIAAAACsBAABkcnMvZTJvRG9jLnhtbFBLBQYA&#10;AAAABgAGAFkBAAA0BgAAAAA=&#10;" adj="6300,24300,14400">
                <v:fill on="t" focussize="0,0"/>
                <v:stroke on="f" weight="2pt"/>
                <v:imagedata o:title=""/>
                <o:lock v:ext="edit" aspectratio="f"/>
                <v:textbox>
                  <w:txbxContent>
                    <w:p w14:paraId="504177FA">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3482340</wp:posOffset>
                </wp:positionH>
                <wp:positionV relativeFrom="paragraph">
                  <wp:posOffset>1289685</wp:posOffset>
                </wp:positionV>
                <wp:extent cx="147955" cy="156210"/>
                <wp:effectExtent l="0" t="8890" r="23495" b="6350"/>
                <wp:wrapNone/>
                <wp:docPr id="53" name="直接箭头连接符 53"/>
                <wp:cNvGraphicFramePr/>
                <a:graphic xmlns:a="http://schemas.openxmlformats.org/drawingml/2006/main">
                  <a:graphicData uri="http://schemas.microsoft.com/office/word/2010/wordprocessingShape">
                    <wps:wsp>
                      <wps:cNvCnPr/>
                      <wps:spPr>
                        <a:xfrm flipH="1">
                          <a:off x="4369435" y="2792095"/>
                          <a:ext cx="147955" cy="15621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74.2pt;margin-top:101.55pt;height:12.3pt;width:11.65pt;z-index:251668480;mso-width-relative:page;mso-height-relative:page;" filled="f" stroked="t" coordsize="21600,21600" o:gfxdata="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q2oetoAAAALAQAA&#10;DwAAAAAAAAABACAAAAAiAAAAZHJzL2Rvd25yZXYueG1sUEsBAhQAFAAAAAgAh07iQKRneMIXAgAA&#10;5AMAAA4AAAAAAAAAAQAgAAAAKQEAAGRycy9lMm9Eb2MueG1sUEsFBgAAAAAGAAYAWQEAALIFAAAA&#10;AA==&#10;">
                <v:fill on="f" focussize="0,0"/>
                <v:stroke weight="2pt" color="#FF0000 [3204]" joinstyle="round" endarrow="open"/>
                <v:imagedata o:title=""/>
                <o:lock v:ext="edit" aspectratio="f"/>
              </v:shape>
            </w:pict>
          </mc:Fallback>
        </mc:AlternateContent>
      </w:r>
      <w:r>
        <w:rPr>
          <w:rFonts w:hint="eastAsia"/>
        </w:rPr>
        <w:drawing>
          <wp:anchor distT="0" distB="0" distL="114300" distR="114300" simplePos="0" relativeHeight="251667456" behindDoc="0" locked="0" layoutInCell="1" allowOverlap="1">
            <wp:simplePos x="0" y="0"/>
            <wp:positionH relativeFrom="column">
              <wp:posOffset>1622425</wp:posOffset>
            </wp:positionH>
            <wp:positionV relativeFrom="paragraph">
              <wp:posOffset>4035425</wp:posOffset>
            </wp:positionV>
            <wp:extent cx="1400175" cy="438150"/>
            <wp:effectExtent l="0" t="0" r="9525" b="0"/>
            <wp:wrapNone/>
            <wp:docPr id="49" name="图片 49" descr="7a62e7910922814159a1937f5a2e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7a62e7910922814159a1937f5a2e294"/>
                    <pic:cNvPicPr>
                      <a:picLocks noChangeAspect="1"/>
                    </pic:cNvPicPr>
                  </pic:nvPicPr>
                  <pic:blipFill>
                    <a:blip r:embed="rId50"/>
                    <a:stretch>
                      <a:fillRect/>
                    </a:stretch>
                  </pic:blipFill>
                  <pic:spPr>
                    <a:xfrm>
                      <a:off x="0" y="0"/>
                      <a:ext cx="1400175" cy="438150"/>
                    </a:xfrm>
                    <a:prstGeom prst="rect">
                      <a:avLst/>
                    </a:prstGeom>
                  </pic:spPr>
                </pic:pic>
              </a:graphicData>
            </a:graphic>
          </wp:anchor>
        </w:drawing>
      </w:r>
      <w:r>
        <w:rPr>
          <w:rFonts w:hint="eastAsia"/>
        </w:rPr>
        <w:drawing>
          <wp:inline distT="0" distB="0" distL="114300" distR="114300">
            <wp:extent cx="5654675" cy="4420870"/>
            <wp:effectExtent l="0" t="0" r="3175" b="17780"/>
            <wp:docPr id="47" name="图片 47" descr="4472abd6de3d58175a901d195533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4472abd6de3d58175a901d195533d12"/>
                    <pic:cNvPicPr>
                      <a:picLocks noChangeAspect="1"/>
                    </pic:cNvPicPr>
                  </pic:nvPicPr>
                  <pic:blipFill>
                    <a:blip r:embed="rId51"/>
                    <a:stretch>
                      <a:fillRect/>
                    </a:stretch>
                  </pic:blipFill>
                  <pic:spPr>
                    <a:xfrm>
                      <a:off x="0" y="0"/>
                      <a:ext cx="5654675" cy="4420870"/>
                    </a:xfrm>
                    <a:prstGeom prst="rect">
                      <a:avLst/>
                    </a:prstGeom>
                  </pic:spPr>
                </pic:pic>
              </a:graphicData>
            </a:graphic>
          </wp:inline>
        </w:drawing>
      </w:r>
    </w:p>
    <w:p w14:paraId="1BAFBF2C">
      <w:pPr>
        <w:pStyle w:val="2"/>
        <w:ind w:left="0" w:firstLine="0" w:firstLineChars="0"/>
        <w:rPr>
          <w:b w:val="0"/>
          <w:bCs w:val="0"/>
        </w:rPr>
      </w:pPr>
      <w:bookmarkStart w:id="24" w:name="_Toc29898"/>
      <w:r>
        <w:rPr>
          <w:rFonts w:hint="eastAsia"/>
          <w:b w:val="0"/>
          <w:bCs w:val="0"/>
        </w:rPr>
        <w:t>附图6 既有油库专用线走行线</w:t>
      </w:r>
      <w:bookmarkEnd w:id="24"/>
    </w:p>
    <w:p w14:paraId="4045C58A">
      <w:pPr>
        <w:ind w:firstLine="482"/>
        <w:rPr>
          <w:b/>
          <w:bCs/>
        </w:rPr>
      </w:pPr>
      <w:r>
        <w:rPr>
          <w:b/>
          <w:bCs/>
        </w:rPr>
        <w:drawing>
          <wp:inline distT="0" distB="0" distL="114300" distR="114300">
            <wp:extent cx="3837305" cy="2912110"/>
            <wp:effectExtent l="0" t="0" r="10795" b="2540"/>
            <wp:docPr id="7" name="图片 15" descr="IMG_20240724_09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5" descr="IMG_20240724_094140"/>
                    <pic:cNvPicPr>
                      <a:picLocks noChangeAspect="1"/>
                    </pic:cNvPicPr>
                  </pic:nvPicPr>
                  <pic:blipFill>
                    <a:blip r:embed="rId52"/>
                    <a:srcRect t="43095"/>
                    <a:stretch>
                      <a:fillRect/>
                    </a:stretch>
                  </pic:blipFill>
                  <pic:spPr>
                    <a:xfrm>
                      <a:off x="0" y="0"/>
                      <a:ext cx="3837305" cy="2912110"/>
                    </a:xfrm>
                    <a:prstGeom prst="rect">
                      <a:avLst/>
                    </a:prstGeom>
                    <a:noFill/>
                    <a:ln>
                      <a:noFill/>
                    </a:ln>
                  </pic:spPr>
                </pic:pic>
              </a:graphicData>
            </a:graphic>
          </wp:inline>
        </w:drawing>
      </w:r>
      <w:r>
        <w:rPr>
          <w:b/>
          <w:bCs/>
        </w:rPr>
        <w:drawing>
          <wp:inline distT="0" distB="0" distL="114300" distR="114300">
            <wp:extent cx="3689350" cy="2929890"/>
            <wp:effectExtent l="0" t="0" r="6350" b="3810"/>
            <wp:docPr id="8" name="图片 16" descr="IMG_20240724_09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IMG_20240724_094817"/>
                    <pic:cNvPicPr>
                      <a:picLocks noChangeAspect="1"/>
                    </pic:cNvPicPr>
                  </pic:nvPicPr>
                  <pic:blipFill>
                    <a:blip r:embed="rId16"/>
                    <a:srcRect t="37117" b="3334"/>
                    <a:stretch>
                      <a:fillRect/>
                    </a:stretch>
                  </pic:blipFill>
                  <pic:spPr>
                    <a:xfrm>
                      <a:off x="0" y="0"/>
                      <a:ext cx="3689350" cy="2929890"/>
                    </a:xfrm>
                    <a:prstGeom prst="rect">
                      <a:avLst/>
                    </a:prstGeom>
                    <a:noFill/>
                    <a:ln>
                      <a:noFill/>
                    </a:ln>
                  </pic:spPr>
                </pic:pic>
              </a:graphicData>
            </a:graphic>
          </wp:inline>
        </w:drawing>
      </w:r>
    </w:p>
    <w:p w14:paraId="4FB80EB5">
      <w:pPr>
        <w:ind w:firstLine="482"/>
        <w:rPr>
          <w:b/>
          <w:bCs/>
        </w:rPr>
        <w:sectPr>
          <w:pgSz w:w="16838" w:h="11906" w:orient="landscape"/>
          <w:pgMar w:top="1803" w:right="1418" w:bottom="1803" w:left="1418" w:header="369" w:footer="992" w:gutter="0"/>
          <w:pgBorders>
            <w:top w:val="none" w:sz="0" w:space="0"/>
            <w:left w:val="none" w:sz="0" w:space="0"/>
            <w:bottom w:val="none" w:sz="0" w:space="0"/>
            <w:right w:val="none" w:sz="0" w:space="0"/>
          </w:pgBorders>
          <w:cols w:space="720" w:num="1"/>
          <w:docGrid w:type="lines" w:linePitch="360" w:charSpace="0"/>
        </w:sectPr>
      </w:pPr>
    </w:p>
    <w:p w14:paraId="63190BD8">
      <w:pPr>
        <w:pStyle w:val="2"/>
        <w:ind w:left="0" w:firstLine="0" w:firstLineChars="0"/>
        <w:rPr>
          <w:b w:val="0"/>
          <w:bCs w:val="0"/>
        </w:rPr>
      </w:pPr>
      <w:bookmarkStart w:id="25" w:name="_Toc22367"/>
      <w:r>
        <w:rPr>
          <w:rFonts w:hint="eastAsia"/>
          <w:b w:val="0"/>
          <w:bCs w:val="0"/>
        </w:rPr>
        <w:t>附图7 既有3道、4道线路</w:t>
      </w:r>
      <w:bookmarkEnd w:id="25"/>
    </w:p>
    <w:p w14:paraId="52E8525B">
      <w:pPr>
        <w:ind w:firstLine="480"/>
        <w:sectPr>
          <w:pgSz w:w="16838" w:h="11906" w:orient="landscape"/>
          <w:pgMar w:top="1803" w:right="1418" w:bottom="1803" w:left="1418" w:header="369" w:footer="992" w:gutter="0"/>
          <w:pgBorders>
            <w:top w:val="none" w:sz="0" w:space="0"/>
            <w:left w:val="none" w:sz="0" w:space="0"/>
            <w:bottom w:val="none" w:sz="0" w:space="0"/>
            <w:right w:val="none" w:sz="0" w:space="0"/>
          </w:pgBorders>
          <w:cols w:space="720" w:num="1"/>
          <w:docGrid w:type="lines" w:linePitch="360" w:charSpace="0"/>
        </w:sectPr>
      </w:pPr>
      <w:r>
        <w:drawing>
          <wp:inline distT="0" distB="0" distL="114300" distR="114300">
            <wp:extent cx="3892550" cy="3091815"/>
            <wp:effectExtent l="0" t="0" r="12700" b="13335"/>
            <wp:docPr id="9" name="图片 17" descr="IMG_20240724_09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7" descr="IMG_20240724_094817"/>
                    <pic:cNvPicPr>
                      <a:picLocks noChangeAspect="1"/>
                    </pic:cNvPicPr>
                  </pic:nvPicPr>
                  <pic:blipFill>
                    <a:blip r:embed="rId16"/>
                    <a:srcRect t="37117" b="3334"/>
                    <a:stretch>
                      <a:fillRect/>
                    </a:stretch>
                  </pic:blipFill>
                  <pic:spPr>
                    <a:xfrm>
                      <a:off x="0" y="0"/>
                      <a:ext cx="3892550" cy="3091815"/>
                    </a:xfrm>
                    <a:prstGeom prst="rect">
                      <a:avLst/>
                    </a:prstGeom>
                    <a:noFill/>
                    <a:ln>
                      <a:noFill/>
                    </a:ln>
                  </pic:spPr>
                </pic:pic>
              </a:graphicData>
            </a:graphic>
          </wp:inline>
        </w:drawing>
      </w:r>
      <w:r>
        <w:drawing>
          <wp:inline distT="0" distB="0" distL="114300" distR="114300">
            <wp:extent cx="4138930" cy="3104515"/>
            <wp:effectExtent l="0" t="0" r="13970" b="635"/>
            <wp:docPr id="10" name="图片 18" descr="IMG_20240724_09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8" descr="IMG_20240724_095158"/>
                    <pic:cNvPicPr>
                      <a:picLocks noChangeAspect="1"/>
                    </pic:cNvPicPr>
                  </pic:nvPicPr>
                  <pic:blipFill>
                    <a:blip r:embed="rId53"/>
                    <a:stretch>
                      <a:fillRect/>
                    </a:stretch>
                  </pic:blipFill>
                  <pic:spPr>
                    <a:xfrm>
                      <a:off x="0" y="0"/>
                      <a:ext cx="4138930" cy="3104515"/>
                    </a:xfrm>
                    <a:prstGeom prst="rect">
                      <a:avLst/>
                    </a:prstGeom>
                    <a:noFill/>
                    <a:ln>
                      <a:noFill/>
                    </a:ln>
                  </pic:spPr>
                </pic:pic>
              </a:graphicData>
            </a:graphic>
          </wp:inline>
        </w:drawing>
      </w:r>
    </w:p>
    <w:p w14:paraId="35AC54AF">
      <w:pPr>
        <w:pStyle w:val="2"/>
        <w:ind w:left="0" w:firstLine="0" w:firstLineChars="0"/>
        <w:rPr>
          <w:b w:val="0"/>
          <w:bCs w:val="0"/>
          <w:color w:val="auto"/>
        </w:rPr>
      </w:pPr>
      <w:bookmarkStart w:id="26" w:name="_Toc27798"/>
      <w:r>
        <w:rPr>
          <w:rFonts w:hint="eastAsia"/>
          <w:b w:val="0"/>
          <w:bCs w:val="0"/>
          <w:color w:val="auto"/>
        </w:rPr>
        <w:t>附图8 施工总布置图</w:t>
      </w:r>
      <w:bookmarkEnd w:id="26"/>
    </w:p>
    <w:p w14:paraId="2F399F6F">
      <w:pPr>
        <w:ind w:firstLine="0" w:firstLineChars="0"/>
        <w:jc w:val="center"/>
        <w:rPr>
          <w:color w:val="auto"/>
        </w:rPr>
        <w:sectPr>
          <w:pgSz w:w="16838" w:h="11906" w:orient="landscape"/>
          <w:pgMar w:top="1803" w:right="1418" w:bottom="1803" w:left="1418" w:header="369" w:footer="992" w:gutter="0"/>
          <w:pgBorders>
            <w:top w:val="none" w:sz="0" w:space="0"/>
            <w:left w:val="none" w:sz="0" w:space="0"/>
            <w:bottom w:val="none" w:sz="0" w:space="0"/>
            <w:right w:val="none" w:sz="0" w:space="0"/>
          </w:pgBorders>
          <w:cols w:space="720" w:num="1"/>
          <w:docGrid w:type="lines" w:linePitch="360" w:charSpace="0"/>
        </w:sectPr>
      </w:pPr>
      <w:r>
        <w:rPr>
          <w:color w:val="auto"/>
        </w:rPr>
        <mc:AlternateContent>
          <mc:Choice Requires="wps">
            <w:drawing>
              <wp:anchor distT="0" distB="0" distL="114300" distR="114300" simplePos="0" relativeHeight="251701248" behindDoc="0" locked="0" layoutInCell="1" allowOverlap="1">
                <wp:simplePos x="0" y="0"/>
                <wp:positionH relativeFrom="column">
                  <wp:posOffset>1962785</wp:posOffset>
                </wp:positionH>
                <wp:positionV relativeFrom="paragraph">
                  <wp:posOffset>2988310</wp:posOffset>
                </wp:positionV>
                <wp:extent cx="165100" cy="177800"/>
                <wp:effectExtent l="9525" t="9525" r="15875" b="22225"/>
                <wp:wrapNone/>
                <wp:docPr id="91" name="矩形 91"/>
                <wp:cNvGraphicFramePr/>
                <a:graphic xmlns:a="http://schemas.openxmlformats.org/drawingml/2006/main">
                  <a:graphicData uri="http://schemas.microsoft.com/office/word/2010/wordprocessingShape">
                    <wps:wsp>
                      <wps:cNvSpPr/>
                      <wps:spPr>
                        <a:xfrm>
                          <a:off x="0" y="0"/>
                          <a:ext cx="165100" cy="1778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4.55pt;margin-top:235.3pt;height:14pt;width:13pt;z-index:251701248;v-text-anchor:middle;mso-width-relative:page;mso-height-relative:page;" filled="f" stroked="t" coordsize="21600,21600" o:gfxdata="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J&#10;Z9dx2QAAAAsBAAAPAAAAAAAAAAEAIAAAACIAAABkcnMvZG93bnJldi54bWxQSwECFAAUAAAACACH&#10;TuJAWPlroFwCAAC1BAAADgAAAAAAAAABACAAAAAoAQAAZHJzL2Uyb0RvYy54bWxQSwUGAAAAAAYA&#10;BgBZAQAA9gUAAAAA&#10;">
                <v:fill on="f" focussize="0,0"/>
                <v:stroke weight="1.5pt" color="#FF0000 [2404]" joinstyle="round"/>
                <v:imagedata o:title=""/>
                <o:lock v:ext="edit" aspectratio="f"/>
              </v:rect>
            </w:pict>
          </mc:Fallback>
        </mc:AlternateContent>
      </w:r>
      <w:r>
        <w:rPr>
          <w:color w:val="auto"/>
        </w:rPr>
        <mc:AlternateContent>
          <mc:Choice Requires="wps">
            <w:drawing>
              <wp:anchor distT="0" distB="0" distL="114300" distR="114300" simplePos="0" relativeHeight="251700224" behindDoc="0" locked="0" layoutInCell="1" allowOverlap="1">
                <wp:simplePos x="0" y="0"/>
                <wp:positionH relativeFrom="column">
                  <wp:posOffset>4680585</wp:posOffset>
                </wp:positionH>
                <wp:positionV relativeFrom="paragraph">
                  <wp:posOffset>2444750</wp:posOffset>
                </wp:positionV>
                <wp:extent cx="671195" cy="400050"/>
                <wp:effectExtent l="182880" t="5080" r="22225" b="52070"/>
                <wp:wrapNone/>
                <wp:docPr id="57" name="矩形标注 57"/>
                <wp:cNvGraphicFramePr/>
                <a:graphic xmlns:a="http://schemas.openxmlformats.org/drawingml/2006/main">
                  <a:graphicData uri="http://schemas.microsoft.com/office/word/2010/wordprocessingShape">
                    <wps:wsp>
                      <wps:cNvSpPr/>
                      <wps:spPr>
                        <a:xfrm>
                          <a:off x="0" y="0"/>
                          <a:ext cx="671195" cy="400050"/>
                        </a:xfrm>
                        <a:prstGeom prst="wedgeRectCallout">
                          <a:avLst>
                            <a:gd name="adj1" fmla="val -74122"/>
                            <a:gd name="adj2" fmla="val 55714"/>
                          </a:avLst>
                        </a:prstGeom>
                        <a:solidFill>
                          <a:srgbClr val="FFFFFF"/>
                        </a:solidFill>
                        <a:ln w="9525" cap="flat" cmpd="sng">
                          <a:solidFill>
                            <a:srgbClr val="000000"/>
                          </a:solidFill>
                          <a:prstDash val="solid"/>
                          <a:miter/>
                          <a:headEnd type="none" w="med" len="med"/>
                          <a:tailEnd type="none" w="med" len="med"/>
                        </a:ln>
                      </wps:spPr>
                      <wps:txbx>
                        <w:txbxContent>
                          <w:p w14:paraId="17A26C25">
                            <w:pPr>
                              <w:ind w:firstLine="0" w:firstLineChars="0"/>
                            </w:pPr>
                            <w:r>
                              <w:rPr>
                                <w:rFonts w:hint="eastAsia"/>
                              </w:rPr>
                              <w:t>本项目</w:t>
                            </w:r>
                          </w:p>
                        </w:txbxContent>
                      </wps:txbx>
                      <wps:bodyPr upright="1"/>
                    </wps:wsp>
                  </a:graphicData>
                </a:graphic>
              </wp:anchor>
            </w:drawing>
          </mc:Choice>
          <mc:Fallback>
            <w:pict>
              <v:shape id="_x0000_s1026" o:spid="_x0000_s1026" o:spt="61" type="#_x0000_t61" style="position:absolute;left:0pt;margin-left:368.55pt;margin-top:192.5pt;height:31.5pt;width:52.85pt;z-index:251700224;mso-width-relative:page;mso-height-relative:page;" fillcolor="#FFFFFF" filled="t" stroked="t" coordsize="21600,21600" o:gfxdata="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NxIAp2wAAAAsBAAAPAAAAAAAAAAEAIAAAACIAAABkcnMv&#10;ZG93bnJldi54bWxQSwECFAAUAAAACACHTuJAZsFKSjkCAACOBAAADgAAAAAAAAABACAAAAAqAQAA&#10;ZHJzL2Uyb0RvYy54bWxQSwUGAAAAAAYABgBZAQAA1QUAAAAA&#10;" adj="-5210,22834">
                <v:fill on="t" focussize="0,0"/>
                <v:stroke color="#000000" joinstyle="miter"/>
                <v:imagedata o:title=""/>
                <o:lock v:ext="edit" aspectratio="f"/>
                <v:textbox>
                  <w:txbxContent>
                    <w:p w14:paraId="17A26C25">
                      <w:pPr>
                        <w:ind w:firstLine="0" w:firstLineChars="0"/>
                      </w:pPr>
                      <w:r>
                        <w:rPr>
                          <w:rFonts w:hint="eastAsia"/>
                        </w:rPr>
                        <w:t>本项目</w:t>
                      </w:r>
                    </w:p>
                  </w:txbxContent>
                </v:textbox>
              </v:shape>
            </w:pict>
          </mc:Fallback>
        </mc:AlternateContent>
      </w:r>
      <w:r>
        <w:rPr>
          <w:color w:val="auto"/>
        </w:rPr>
        <mc:AlternateContent>
          <mc:Choice Requires="wps">
            <w:drawing>
              <wp:anchor distT="0" distB="0" distL="114300" distR="114300" simplePos="0" relativeHeight="251677696" behindDoc="0" locked="0" layoutInCell="1" allowOverlap="1">
                <wp:simplePos x="0" y="0"/>
                <wp:positionH relativeFrom="column">
                  <wp:posOffset>1832610</wp:posOffset>
                </wp:positionH>
                <wp:positionV relativeFrom="paragraph">
                  <wp:posOffset>2468880</wp:posOffset>
                </wp:positionV>
                <wp:extent cx="1294765" cy="1790700"/>
                <wp:effectExtent l="4445" t="4445" r="15240" b="14605"/>
                <wp:wrapNone/>
                <wp:docPr id="64" name="文本框 64"/>
                <wp:cNvGraphicFramePr/>
                <a:graphic xmlns:a="http://schemas.openxmlformats.org/drawingml/2006/main">
                  <a:graphicData uri="http://schemas.microsoft.com/office/word/2010/wordprocessingShape">
                    <wps:wsp>
                      <wps:cNvSpPr txBox="1"/>
                      <wps:spPr>
                        <a:xfrm>
                          <a:off x="6180455" y="3848735"/>
                          <a:ext cx="1294765" cy="1790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2F3D349">
                            <w:pPr>
                              <w:ind w:firstLine="0" w:firstLineChars="0"/>
                              <w:jc w:val="center"/>
                            </w:pPr>
                            <w:r>
                              <w:rPr>
                                <w:rFonts w:hint="eastAsia"/>
                              </w:rPr>
                              <w:t>图  例</w:t>
                            </w:r>
                          </w:p>
                          <w:p w14:paraId="4EFD5FD3">
                            <w:pPr>
                              <w:ind w:firstLine="480"/>
                            </w:pPr>
                            <w:r>
                              <w:rPr>
                                <w:rFonts w:hint="eastAsia"/>
                              </w:rPr>
                              <w:t>临时堆土场</w:t>
                            </w:r>
                          </w:p>
                          <w:p w14:paraId="6952065B">
                            <w:pPr>
                              <w:ind w:firstLine="480"/>
                            </w:pPr>
                            <w:r>
                              <w:rPr>
                                <w:rFonts w:hint="eastAsia"/>
                              </w:rPr>
                              <w:t>本项目</w:t>
                            </w:r>
                          </w:p>
                          <w:p w14:paraId="0ACAAFB2">
                            <w:pPr>
                              <w:ind w:firstLine="480"/>
                            </w:pPr>
                            <w:r>
                              <w:rPr>
                                <w:rFonts w:hint="eastAsia"/>
                              </w:rPr>
                              <w:t>施工便道</w:t>
                            </w:r>
                          </w:p>
                          <w:p w14:paraId="1CC302F4">
                            <w:pPr>
                              <w:ind w:firstLine="480"/>
                            </w:pPr>
                            <w:r>
                              <w:rPr>
                                <w:rFonts w:hint="eastAsia"/>
                              </w:rPr>
                              <w:t>施工场地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3pt;margin-top:194.4pt;height:141pt;width:101.95pt;z-index:251677696;mso-width-relative:page;mso-height-relative:page;" fillcolor="#FFFFFF [3201]" filled="t" stroked="t" coordsize="21600,21600" o:gfxdata="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bhNaEdgAAAALAQAADwAAAAAAAAABACAAAAAiAAAAZHJzL2Rvd25yZXYueG1s&#10;UEsBAhQAFAAAAAgAh07iQO6AKLNqAgAAxgQAAA4AAAAAAAAAAQAgAAAAJwEAAGRycy9lMm9Eb2Mu&#10;eG1sUEsFBgAAAAAGAAYAWQEAAAMGAAAAAA==&#10;">
                <v:fill on="t" focussize="0,0"/>
                <v:stroke weight="0.5pt" color="#000000 [3204]" joinstyle="round"/>
                <v:imagedata o:title=""/>
                <o:lock v:ext="edit" aspectratio="f"/>
                <v:textbox>
                  <w:txbxContent>
                    <w:p w14:paraId="32F3D349">
                      <w:pPr>
                        <w:ind w:firstLine="0" w:firstLineChars="0"/>
                        <w:jc w:val="center"/>
                      </w:pPr>
                      <w:r>
                        <w:rPr>
                          <w:rFonts w:hint="eastAsia"/>
                        </w:rPr>
                        <w:t>图  例</w:t>
                      </w:r>
                    </w:p>
                    <w:p w14:paraId="4EFD5FD3">
                      <w:pPr>
                        <w:ind w:firstLine="480"/>
                      </w:pPr>
                      <w:r>
                        <w:rPr>
                          <w:rFonts w:hint="eastAsia"/>
                        </w:rPr>
                        <w:t>临时堆土场</w:t>
                      </w:r>
                    </w:p>
                    <w:p w14:paraId="6952065B">
                      <w:pPr>
                        <w:ind w:firstLine="480"/>
                      </w:pPr>
                      <w:r>
                        <w:rPr>
                          <w:rFonts w:hint="eastAsia"/>
                        </w:rPr>
                        <w:t>本项目</w:t>
                      </w:r>
                    </w:p>
                    <w:p w14:paraId="0ACAAFB2">
                      <w:pPr>
                        <w:ind w:firstLine="480"/>
                      </w:pPr>
                      <w:r>
                        <w:rPr>
                          <w:rFonts w:hint="eastAsia"/>
                        </w:rPr>
                        <w:t>施工便道</w:t>
                      </w:r>
                    </w:p>
                    <w:p w14:paraId="1CC302F4">
                      <w:pPr>
                        <w:ind w:firstLine="480"/>
                      </w:pPr>
                      <w:r>
                        <w:rPr>
                          <w:rFonts w:hint="eastAsia"/>
                        </w:rPr>
                        <w:t>施工场地</w:t>
                      </w:r>
                    </w:p>
                  </w:txbxContent>
                </v:textbox>
              </v:shape>
            </w:pict>
          </mc:Fallback>
        </mc:AlternateContent>
      </w:r>
      <w:r>
        <w:rPr>
          <w:color w:val="auto"/>
        </w:rPr>
        <mc:AlternateContent>
          <mc:Choice Requires="wps">
            <w:drawing>
              <wp:anchor distT="0" distB="0" distL="114300" distR="114300" simplePos="0" relativeHeight="251683840" behindDoc="0" locked="0" layoutInCell="1" allowOverlap="1">
                <wp:simplePos x="0" y="0"/>
                <wp:positionH relativeFrom="column">
                  <wp:posOffset>4797425</wp:posOffset>
                </wp:positionH>
                <wp:positionV relativeFrom="paragraph">
                  <wp:posOffset>1115695</wp:posOffset>
                </wp:positionV>
                <wp:extent cx="976630" cy="400050"/>
                <wp:effectExtent l="294640" t="4445" r="5080" b="14605"/>
                <wp:wrapNone/>
                <wp:docPr id="70" name="矩形标注 70"/>
                <wp:cNvGraphicFramePr/>
                <a:graphic xmlns:a="http://schemas.openxmlformats.org/drawingml/2006/main">
                  <a:graphicData uri="http://schemas.microsoft.com/office/word/2010/wordprocessingShape">
                    <wps:wsp>
                      <wps:cNvSpPr/>
                      <wps:spPr>
                        <a:xfrm>
                          <a:off x="0" y="0"/>
                          <a:ext cx="976630" cy="400050"/>
                        </a:xfrm>
                        <a:prstGeom prst="wedgeRectCallout">
                          <a:avLst>
                            <a:gd name="adj1" fmla="val -77503"/>
                            <a:gd name="adj2" fmla="val -11587"/>
                          </a:avLst>
                        </a:prstGeom>
                        <a:solidFill>
                          <a:srgbClr val="FFFFFF"/>
                        </a:solidFill>
                        <a:ln w="9525" cap="flat" cmpd="sng">
                          <a:solidFill>
                            <a:srgbClr val="000000"/>
                          </a:solidFill>
                          <a:prstDash val="solid"/>
                          <a:miter/>
                          <a:headEnd type="none" w="med" len="med"/>
                          <a:tailEnd type="none" w="med" len="med"/>
                        </a:ln>
                      </wps:spPr>
                      <wps:txbx>
                        <w:txbxContent>
                          <w:p w14:paraId="584C4F11">
                            <w:pPr>
                              <w:ind w:firstLine="0" w:firstLineChars="0"/>
                            </w:pPr>
                            <w:r>
                              <w:rPr>
                                <w:rFonts w:hint="eastAsia"/>
                              </w:rPr>
                              <w:t>临时堆土场</w:t>
                            </w:r>
                          </w:p>
                        </w:txbxContent>
                      </wps:txbx>
                      <wps:bodyPr upright="1"/>
                    </wps:wsp>
                  </a:graphicData>
                </a:graphic>
              </wp:anchor>
            </w:drawing>
          </mc:Choice>
          <mc:Fallback>
            <w:pict>
              <v:shape id="_x0000_s1026" o:spid="_x0000_s1026" o:spt="61" type="#_x0000_t61" style="position:absolute;left:0pt;margin-left:377.75pt;margin-top:87.85pt;height:31.5pt;width:76.9pt;z-index:251683840;mso-width-relative:page;mso-height-relative:page;" fillcolor="#FFFFFF" filled="t" stroked="t" coordsize="21600,21600" o:gfxdata="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6n+vfYAAAACwEAAA8AAAAAAAAAAQAgAAAAIgAAAGRycy9kb3du&#10;cmV2LnhtbFBLAQIUABQAAAAIAIdO4kDo8e68OAIAAI8EAAAOAAAAAAAAAAEAIAAAACcBAABkcnMv&#10;ZTJvRG9jLnhtbFBLBQYAAAAABgAGAFkBAADRBQAAAAA=&#10;" adj="-5941,8297">
                <v:fill on="t" focussize="0,0"/>
                <v:stroke color="#000000" joinstyle="miter"/>
                <v:imagedata o:title=""/>
                <o:lock v:ext="edit" aspectratio="f"/>
                <v:textbox>
                  <w:txbxContent>
                    <w:p w14:paraId="584C4F11">
                      <w:pPr>
                        <w:ind w:firstLine="0" w:firstLineChars="0"/>
                      </w:pPr>
                      <w:r>
                        <w:rPr>
                          <w:rFonts w:hint="eastAsia"/>
                        </w:rPr>
                        <w:t>临时堆土场</w:t>
                      </w:r>
                    </w:p>
                  </w:txbxContent>
                </v:textbox>
              </v:shape>
            </w:pict>
          </mc:Fallback>
        </mc:AlternateContent>
      </w:r>
      <w:r>
        <w:rPr>
          <w:color w:val="auto"/>
        </w:rPr>
        <mc:AlternateContent>
          <mc:Choice Requires="wps">
            <w:drawing>
              <wp:anchor distT="0" distB="0" distL="114300" distR="114300" simplePos="0" relativeHeight="251699200" behindDoc="0" locked="0" layoutInCell="1" allowOverlap="1">
                <wp:simplePos x="0" y="0"/>
                <wp:positionH relativeFrom="column">
                  <wp:posOffset>4293870</wp:posOffset>
                </wp:positionH>
                <wp:positionV relativeFrom="paragraph">
                  <wp:posOffset>1223010</wp:posOffset>
                </wp:positionV>
                <wp:extent cx="165100" cy="177800"/>
                <wp:effectExtent l="9525" t="9525" r="15875" b="22225"/>
                <wp:wrapNone/>
                <wp:docPr id="46" name="矩形 46"/>
                <wp:cNvGraphicFramePr/>
                <a:graphic xmlns:a="http://schemas.openxmlformats.org/drawingml/2006/main">
                  <a:graphicData uri="http://schemas.microsoft.com/office/word/2010/wordprocessingShape">
                    <wps:wsp>
                      <wps:cNvSpPr/>
                      <wps:spPr>
                        <a:xfrm>
                          <a:off x="0" y="0"/>
                          <a:ext cx="165100" cy="1778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8.1pt;margin-top:96.3pt;height:14pt;width:13pt;z-index:251699200;v-text-anchor:middle;mso-width-relative:page;mso-height-relative:page;" filled="f" stroked="t" coordsize="21600,21600" o:gfxdata="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JH5+&#10;QtcAAAALAQAADwAAAAAAAAABACAAAAAiAAAAZHJzL2Rvd25yZXYueG1sUEsBAhQAFAAAAAgAh07i&#10;QNPUQglcAgAAtQQAAA4AAAAAAAAAAQAgAAAAJgEAAGRycy9lMm9Eb2MueG1sUEsFBgAAAAAGAAYA&#10;WQEAAPQFAAAAAA==&#10;">
                <v:fill on="f" focussize="0,0"/>
                <v:stroke weight="1.5pt" color="#FF0000 [2404]" joinstyle="round"/>
                <v:imagedata o:title=""/>
                <o:lock v:ext="edit" aspectratio="f"/>
              </v:rect>
            </w:pict>
          </mc:Fallback>
        </mc:AlternateContent>
      </w:r>
      <w:r>
        <w:rPr>
          <w:color w:val="auto"/>
        </w:rPr>
        <mc:AlternateContent>
          <mc:Choice Requires="wps">
            <w:drawing>
              <wp:anchor distT="0" distB="0" distL="114300" distR="114300" simplePos="0" relativeHeight="251674624" behindDoc="0" locked="0" layoutInCell="1" allowOverlap="1">
                <wp:simplePos x="0" y="0"/>
                <wp:positionH relativeFrom="column">
                  <wp:posOffset>4161790</wp:posOffset>
                </wp:positionH>
                <wp:positionV relativeFrom="paragraph">
                  <wp:posOffset>779145</wp:posOffset>
                </wp:positionV>
                <wp:extent cx="534670" cy="2689860"/>
                <wp:effectExtent l="12700" t="9525" r="24130" b="5715"/>
                <wp:wrapNone/>
                <wp:docPr id="61" name="任意多边形 61"/>
                <wp:cNvGraphicFramePr/>
                <a:graphic xmlns:a="http://schemas.openxmlformats.org/drawingml/2006/main">
                  <a:graphicData uri="http://schemas.microsoft.com/office/word/2010/wordprocessingShape">
                    <wps:wsp>
                      <wps:cNvSpPr/>
                      <wps:spPr>
                        <a:xfrm>
                          <a:off x="5226685" y="2343785"/>
                          <a:ext cx="534670" cy="2689860"/>
                        </a:xfrm>
                        <a:custGeom>
                          <a:avLst/>
                          <a:gdLst>
                            <a:gd name="connisteX0" fmla="*/ 521776 w 521776"/>
                            <a:gd name="connsiteY0" fmla="*/ 0 h 2802043"/>
                            <a:gd name="connisteX1" fmla="*/ 1076 w 521776"/>
                            <a:gd name="connsiteY1" fmla="*/ 762000 h 2802043"/>
                            <a:gd name="connisteX2" fmla="*/ 407476 w 521776"/>
                            <a:gd name="connsiteY2" fmla="*/ 2635250 h 2802043"/>
                            <a:gd name="connisteX3" fmla="*/ 407476 w 521776"/>
                            <a:gd name="connsiteY3" fmla="*/ 2635250 h 2802043"/>
                            <a:gd name="connisteX4" fmla="*/ 407476 w 521776"/>
                            <a:gd name="connsiteY4" fmla="*/ 2628900 h 2802043"/>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21776" h="2802044">
                              <a:moveTo>
                                <a:pt x="521776" y="0"/>
                              </a:moveTo>
                              <a:cubicBezTo>
                                <a:pt x="409381" y="114935"/>
                                <a:pt x="23936" y="234950"/>
                                <a:pt x="1076" y="762000"/>
                              </a:cubicBezTo>
                              <a:cubicBezTo>
                                <a:pt x="-21784" y="1289050"/>
                                <a:pt x="326196" y="2260600"/>
                                <a:pt x="407476" y="2635250"/>
                              </a:cubicBezTo>
                              <a:cubicBezTo>
                                <a:pt x="488756" y="3009900"/>
                                <a:pt x="407476" y="2636520"/>
                                <a:pt x="407476" y="2635250"/>
                              </a:cubicBezTo>
                              <a:cubicBezTo>
                                <a:pt x="407476" y="2633980"/>
                                <a:pt x="407476" y="2630170"/>
                                <a:pt x="407476" y="262890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27.7pt;margin-top:61.35pt;height:211.8pt;width:42.1pt;z-index:251674624;mso-width-relative:page;mso-height-relative:page;" filled="f" stroked="t" coordsize="521776,2802044" o:gfxdata="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" path="m521776,0c409381,114935,23936,234950,1076,762000c-21784,1289050,326196,2260600,407476,2635250c488756,3009900,407476,2636520,407476,2635250c407476,2633980,407476,2630170,407476,2628900e">
                <v:path o:connectlocs="534670,0;1102,731492;417545,2529744;417545,2529744;417545,2523648" o:connectangles="0,0,0,0,0"/>
                <v:fill on="f" focussize="0,0"/>
                <v:stroke weight="2pt" color="#FF0000 [2404]" joinstyle="round"/>
                <v:imagedata o:title=""/>
                <o:lock v:ext="edit" aspectratio="f"/>
              </v:shap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3178175</wp:posOffset>
                </wp:positionH>
                <wp:positionV relativeFrom="paragraph">
                  <wp:posOffset>775970</wp:posOffset>
                </wp:positionV>
                <wp:extent cx="1534160" cy="1483995"/>
                <wp:effectExtent l="10795" t="10795" r="17145" b="10160"/>
                <wp:wrapNone/>
                <wp:docPr id="48" name="任意多边形 48"/>
                <wp:cNvGraphicFramePr/>
                <a:graphic xmlns:a="http://schemas.openxmlformats.org/drawingml/2006/main">
                  <a:graphicData uri="http://schemas.microsoft.com/office/word/2010/wordprocessingShape">
                    <wps:wsp>
                      <wps:cNvSpPr/>
                      <wps:spPr>
                        <a:xfrm>
                          <a:off x="4027805" y="2254885"/>
                          <a:ext cx="1534160" cy="1483995"/>
                        </a:xfrm>
                        <a:custGeom>
                          <a:avLst/>
                          <a:gdLst>
                            <a:gd name="connisteX0" fmla="*/ 1619250 w 1619250"/>
                            <a:gd name="connsiteY0" fmla="*/ 0 h 1593850"/>
                            <a:gd name="connisteX1" fmla="*/ 609600 w 1619250"/>
                            <a:gd name="connsiteY1" fmla="*/ 673100 h 1593850"/>
                            <a:gd name="connisteX2" fmla="*/ 0 w 1619250"/>
                            <a:gd name="connsiteY2" fmla="*/ 1593850 h 1593850"/>
                          </a:gdLst>
                          <a:ahLst/>
                          <a:cxnLst>
                            <a:cxn ang="0">
                              <a:pos x="connisteX0" y="connsiteY0"/>
                            </a:cxn>
                            <a:cxn ang="0">
                              <a:pos x="connisteX1" y="connsiteY1"/>
                            </a:cxn>
                            <a:cxn ang="0">
                              <a:pos x="connisteX2" y="connsiteY2"/>
                            </a:cxn>
                          </a:cxnLst>
                          <a:rect l="l" t="t" r="r" b="b"/>
                          <a:pathLst>
                            <a:path w="1619250" h="1593850">
                              <a:moveTo>
                                <a:pt x="1619250" y="0"/>
                              </a:moveTo>
                              <a:cubicBezTo>
                                <a:pt x="1429385" y="116205"/>
                                <a:pt x="933450" y="354330"/>
                                <a:pt x="609600" y="673100"/>
                              </a:cubicBezTo>
                              <a:cubicBezTo>
                                <a:pt x="285750" y="991870"/>
                                <a:pt x="101600" y="1423035"/>
                                <a:pt x="0" y="159385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0.25pt;margin-top:61.1pt;height:116.85pt;width:120.8pt;z-index:251673600;mso-width-relative:page;mso-height-relative:page;" filled="f" stroked="t" coordsize="1619250,1593850" o:gfxdata="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G/rsXDXAAAACwEAAA8AAAAAAAAAAQAgAAAAIgAAAGRycy9kb3ducmV2LnhtbFBL&#10;AQIUABQAAAAIAIdO4kAD9u+XFAMAADEHAAAOAAAAAAAAAAEAIAAAACYBAABkcnMvZTJvRG9jLnht&#10;bFBLBQYAAAAABgAGAFkBAACsBgAAAAA=&#10;" path="m1619250,0c1429385,116205,933450,354330,609600,673100c285750,991870,101600,1423035,0,1593850e">
                <v:path o:connectlocs="1534160,0;577566,626707;0,1483995" o:connectangles="0,0,0"/>
                <v:fill on="f" focussize="0,0"/>
                <v:stroke weight="2pt" color="#FF0000 [2404]" joinstyle="round"/>
                <v:imagedata o:title=""/>
                <o:lock v:ext="edit" aspectratio="f"/>
              </v:shape>
            </w:pict>
          </mc:Fallback>
        </mc:AlternateContent>
      </w:r>
      <w:r>
        <w:rPr>
          <w:color w:val="auto"/>
        </w:rPr>
        <mc:AlternateContent>
          <mc:Choice Requires="wps">
            <w:drawing>
              <wp:anchor distT="0" distB="0" distL="114300" distR="114300" simplePos="0" relativeHeight="251684864" behindDoc="0" locked="0" layoutInCell="1" allowOverlap="1">
                <wp:simplePos x="0" y="0"/>
                <wp:positionH relativeFrom="column">
                  <wp:posOffset>5362575</wp:posOffset>
                </wp:positionH>
                <wp:positionV relativeFrom="paragraph">
                  <wp:posOffset>299085</wp:posOffset>
                </wp:positionV>
                <wp:extent cx="850265" cy="400050"/>
                <wp:effectExtent l="252730" t="4445" r="20955" b="14605"/>
                <wp:wrapNone/>
                <wp:docPr id="71" name="矩形标注 71"/>
                <wp:cNvGraphicFramePr/>
                <a:graphic xmlns:a="http://schemas.openxmlformats.org/drawingml/2006/main">
                  <a:graphicData uri="http://schemas.microsoft.com/office/word/2010/wordprocessingShape">
                    <wps:wsp>
                      <wps:cNvSpPr/>
                      <wps:spPr>
                        <a:xfrm>
                          <a:off x="0" y="0"/>
                          <a:ext cx="850265" cy="400050"/>
                        </a:xfrm>
                        <a:prstGeom prst="wedgeRectCallout">
                          <a:avLst>
                            <a:gd name="adj1" fmla="val -77032"/>
                            <a:gd name="adj2" fmla="val 10157"/>
                          </a:avLst>
                        </a:prstGeom>
                        <a:solidFill>
                          <a:srgbClr val="FFFFFF"/>
                        </a:solidFill>
                        <a:ln w="9525" cap="flat" cmpd="sng">
                          <a:solidFill>
                            <a:srgbClr val="000000"/>
                          </a:solidFill>
                          <a:prstDash val="solid"/>
                          <a:miter/>
                          <a:headEnd type="none" w="med" len="med"/>
                          <a:tailEnd type="none" w="med" len="med"/>
                        </a:ln>
                      </wps:spPr>
                      <wps:txbx>
                        <w:txbxContent>
                          <w:p w14:paraId="5861DC55">
                            <w:pPr>
                              <w:ind w:firstLine="0" w:firstLineChars="0"/>
                            </w:pPr>
                            <w:r>
                              <w:rPr>
                                <w:rFonts w:hint="eastAsia"/>
                              </w:rPr>
                              <w:t>施工便道工程</w:t>
                            </w:r>
                          </w:p>
                        </w:txbxContent>
                      </wps:txbx>
                      <wps:bodyPr upright="1"/>
                    </wps:wsp>
                  </a:graphicData>
                </a:graphic>
              </wp:anchor>
            </w:drawing>
          </mc:Choice>
          <mc:Fallback>
            <w:pict>
              <v:shape id="_x0000_s1026" o:spid="_x0000_s1026" o:spt="61" type="#_x0000_t61" style="position:absolute;left:0pt;margin-left:422.25pt;margin-top:23.55pt;height:31.5pt;width:66.95pt;z-index:251684864;mso-width-relative:page;mso-height-relative:page;" fillcolor="#FFFFFF" filled="t" stroked="t" coordsize="21600,21600" o:gfxdata="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fJNR2QAAAAoBAAAPAAAAAAAAAAEAIAAAACIAAABkcnMvZG93&#10;bnJldi54bWxQSwECFAAUAAAACACHTuJAzSSSczgCAACOBAAADgAAAAAAAAABACAAAAAoAQAAZHJz&#10;L2Uyb0RvYy54bWxQSwUGAAAAAAYABgBZAQAA0gUAAAAA&#10;" adj="-5839,12994">
                <v:fill on="t" focussize="0,0"/>
                <v:stroke color="#000000" joinstyle="miter"/>
                <v:imagedata o:title=""/>
                <o:lock v:ext="edit" aspectratio="f"/>
                <v:textbox>
                  <w:txbxContent>
                    <w:p w14:paraId="5861DC55">
                      <w:pPr>
                        <w:ind w:firstLine="0" w:firstLineChars="0"/>
                      </w:pPr>
                      <w:r>
                        <w:rPr>
                          <w:rFonts w:hint="eastAsia"/>
                        </w:rPr>
                        <w:t>施工便道工程</w:t>
                      </w:r>
                    </w:p>
                  </w:txbxContent>
                </v:textbox>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4380230</wp:posOffset>
                </wp:positionH>
                <wp:positionV relativeFrom="paragraph">
                  <wp:posOffset>1699895</wp:posOffset>
                </wp:positionV>
                <wp:extent cx="850265" cy="400050"/>
                <wp:effectExtent l="229235" t="4445" r="6350" b="52705"/>
                <wp:wrapNone/>
                <wp:docPr id="69" name="矩形标注 69"/>
                <wp:cNvGraphicFramePr/>
                <a:graphic xmlns:a="http://schemas.openxmlformats.org/drawingml/2006/main">
                  <a:graphicData uri="http://schemas.microsoft.com/office/word/2010/wordprocessingShape">
                    <wps:wsp>
                      <wps:cNvSpPr/>
                      <wps:spPr>
                        <a:xfrm>
                          <a:off x="0" y="0"/>
                          <a:ext cx="850265" cy="400050"/>
                        </a:xfrm>
                        <a:prstGeom prst="wedgeRectCallout">
                          <a:avLst>
                            <a:gd name="adj1" fmla="val -74122"/>
                            <a:gd name="adj2" fmla="val 55714"/>
                          </a:avLst>
                        </a:prstGeom>
                        <a:solidFill>
                          <a:srgbClr val="FFFFFF"/>
                        </a:solidFill>
                        <a:ln w="9525" cap="flat" cmpd="sng">
                          <a:solidFill>
                            <a:srgbClr val="000000"/>
                          </a:solidFill>
                          <a:prstDash val="solid"/>
                          <a:miter/>
                          <a:headEnd type="none" w="med" len="med"/>
                          <a:tailEnd type="none" w="med" len="med"/>
                        </a:ln>
                      </wps:spPr>
                      <wps:txbx>
                        <w:txbxContent>
                          <w:p w14:paraId="0907E95E">
                            <w:pPr>
                              <w:ind w:firstLine="0" w:firstLineChars="0"/>
                            </w:pPr>
                            <w:r>
                              <w:rPr>
                                <w:rFonts w:hint="eastAsia"/>
                              </w:rPr>
                              <w:t>施工场地</w:t>
                            </w:r>
                          </w:p>
                        </w:txbxContent>
                      </wps:txbx>
                      <wps:bodyPr upright="1"/>
                    </wps:wsp>
                  </a:graphicData>
                </a:graphic>
              </wp:anchor>
            </w:drawing>
          </mc:Choice>
          <mc:Fallback>
            <w:pict>
              <v:shape id="_x0000_s1026" o:spid="_x0000_s1026" o:spt="61" type="#_x0000_t61" style="position:absolute;left:0pt;margin-left:344.9pt;margin-top:133.85pt;height:31.5pt;width:66.95pt;z-index:251682816;mso-width-relative:page;mso-height-relative:page;" fillcolor="#FFFFFF" filled="t" stroked="t" coordsize="21600,21600" o:gfxdata="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icbLbbAAAACwEAAA8AAAAAAAAAAQAgAAAAIgAAAGRycy9k&#10;b3ducmV2LnhtbFBLAQIUABQAAAAIAIdO4kAalolGOAIAAI4EAAAOAAAAAAAAAAEAIAAAACoBAABk&#10;cnMvZTJvRG9jLnhtbFBLBQYAAAAABgAGAFkBAADUBQAAAAA=&#10;" adj="-5210,22834">
                <v:fill on="t" focussize="0,0"/>
                <v:stroke color="#000000" joinstyle="miter"/>
                <v:imagedata o:title=""/>
                <o:lock v:ext="edit" aspectratio="f"/>
                <v:textbox>
                  <w:txbxContent>
                    <w:p w14:paraId="0907E95E">
                      <w:pPr>
                        <w:ind w:firstLine="0" w:firstLineChars="0"/>
                      </w:pPr>
                      <w:r>
                        <w:rPr>
                          <w:rFonts w:hint="eastAsia"/>
                        </w:rPr>
                        <w:t>施工场地</w:t>
                      </w:r>
                    </w:p>
                  </w:txbxContent>
                </v:textbox>
              </v:shape>
            </w:pict>
          </mc:Fallback>
        </mc:AlternateContent>
      </w:r>
      <w:r>
        <w:rPr>
          <w:color w:val="auto"/>
        </w:rPr>
        <mc:AlternateContent>
          <mc:Choice Requires="wps">
            <w:drawing>
              <wp:anchor distT="0" distB="0" distL="114300" distR="114300" simplePos="0" relativeHeight="251678720" behindDoc="0" locked="0" layoutInCell="1" allowOverlap="1">
                <wp:simplePos x="0" y="0"/>
                <wp:positionH relativeFrom="column">
                  <wp:posOffset>1908810</wp:posOffset>
                </wp:positionH>
                <wp:positionV relativeFrom="paragraph">
                  <wp:posOffset>3366135</wp:posOffset>
                </wp:positionV>
                <wp:extent cx="241300" cy="0"/>
                <wp:effectExtent l="0" t="12700" r="0" b="12700"/>
                <wp:wrapNone/>
                <wp:docPr id="65" name="直接连接符 65"/>
                <wp:cNvGraphicFramePr/>
                <a:graphic xmlns:a="http://schemas.openxmlformats.org/drawingml/2006/main">
                  <a:graphicData uri="http://schemas.microsoft.com/office/word/2010/wordprocessingShape">
                    <wps:wsp>
                      <wps:cNvCnPr/>
                      <wps:spPr>
                        <a:xfrm>
                          <a:off x="2795905" y="4648835"/>
                          <a:ext cx="24130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50.3pt;margin-top:265.05pt;height:0pt;width:19pt;z-index:251678720;mso-width-relative:page;mso-height-relative:page;" filled="f" stroked="t" coordsize="21600,21600" o:gfxdata="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973cMdUA&#10;AAALAQAADwAAAAAAAAABACAAAAAiAAAAZHJzL2Rvd25yZXYueG1sUEsBAhQAFAAAAAgAh07iQIuH&#10;VYzpAQAAqAMAAA4AAAAAAAAAAQAgAAAAJAEAAGRycy9lMm9Eb2MueG1sUEsFBgAAAAAGAAYAWQEA&#10;AH8FAAAAAA==&#10;">
                <v:fill on="f" focussize="0,0"/>
                <v:stroke weight="2pt" color="#FF0000 [3204]" joinstyle="round"/>
                <v:imagedata o:title=""/>
                <o:lock v:ext="edit" aspectratio="f"/>
              </v:line>
            </w:pict>
          </mc:Fallback>
        </mc:AlternateContent>
      </w:r>
      <w:r>
        <w:rPr>
          <w:color w:val="auto"/>
        </w:rPr>
        <mc:AlternateContent>
          <mc:Choice Requires="wps">
            <w:drawing>
              <wp:anchor distT="0" distB="0" distL="114300" distR="114300" simplePos="0" relativeHeight="251679744" behindDoc="0" locked="0" layoutInCell="1" allowOverlap="1">
                <wp:simplePos x="0" y="0"/>
                <wp:positionH relativeFrom="column">
                  <wp:posOffset>1908175</wp:posOffset>
                </wp:positionH>
                <wp:positionV relativeFrom="paragraph">
                  <wp:posOffset>3688715</wp:posOffset>
                </wp:positionV>
                <wp:extent cx="241300" cy="0"/>
                <wp:effectExtent l="0" t="12700" r="0" b="12700"/>
                <wp:wrapNone/>
                <wp:docPr id="66" name="直接连接符 66"/>
                <wp:cNvGraphicFramePr/>
                <a:graphic xmlns:a="http://schemas.openxmlformats.org/drawingml/2006/main">
                  <a:graphicData uri="http://schemas.microsoft.com/office/word/2010/wordprocessingShape">
                    <wps:wsp>
                      <wps:cNvCnPr/>
                      <wps:spPr>
                        <a:xfrm>
                          <a:off x="0" y="0"/>
                          <a:ext cx="241300" cy="0"/>
                        </a:xfrm>
                        <a:prstGeom prst="line">
                          <a:avLst/>
                        </a:prstGeom>
                        <a:ln>
                          <a:solidFill>
                            <a:srgbClr val="040ECB"/>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50.25pt;margin-top:290.45pt;height:0pt;width:19pt;z-index:251679744;mso-width-relative:page;mso-height-relative:page;" filled="f" stroked="t" coordsize="21600,21600" o:gfxdata="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pWE0G1wAAAAsBAAAPAAAAAAAA&#10;AAEAIAAAACIAAABkcnMvZG93bnJldi54bWxQSwECFAAUAAAACACHTuJAGr8LBdoBAACcAwAADgAA&#10;AAAAAAABACAAAAAmAQAAZHJzL2Uyb0RvYy54bWxQSwUGAAAAAAYABgBZAQAAcgUAAAAA&#10;">
                <v:fill on="f" focussize="0,0"/>
                <v:stroke weight="2pt" color="#040ECB [3204]" joinstyle="round"/>
                <v:imagedata o:title=""/>
                <o:lock v:ext="edit" aspectratio="f"/>
              </v:lin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1958975</wp:posOffset>
                </wp:positionH>
                <wp:positionV relativeFrom="paragraph">
                  <wp:posOffset>3968115</wp:posOffset>
                </wp:positionV>
                <wp:extent cx="165100" cy="177800"/>
                <wp:effectExtent l="9525" t="9525" r="15875" b="22225"/>
                <wp:wrapNone/>
                <wp:docPr id="67" name="矩形 67"/>
                <wp:cNvGraphicFramePr/>
                <a:graphic xmlns:a="http://schemas.openxmlformats.org/drawingml/2006/main">
                  <a:graphicData uri="http://schemas.microsoft.com/office/word/2010/wordprocessingShape">
                    <wps:wsp>
                      <wps:cNvSpPr/>
                      <wps:spPr>
                        <a:xfrm>
                          <a:off x="0" y="0"/>
                          <a:ext cx="165100" cy="177800"/>
                        </a:xfrm>
                        <a:prstGeom prst="rect">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4.25pt;margin-top:312.45pt;height:14pt;width:13pt;z-index:251680768;v-text-anchor:middle;mso-width-relative:page;mso-height-relative:page;" filled="f" stroked="t" coordsize="21600,21600" o:gfxdata="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Fp&#10;LlbZAAAACwEAAA8AAAAAAAAAAQAgAAAAIgAAAGRycy9kb3ducmV2LnhtbFBLAQIUABQAAAAIAIdO&#10;4kDe4MpNWwIAALUEAAAOAAAAAAAAAAEAIAAAACgBAABkcnMvZTJvRG9jLnhtbFBLBQYAAAAABgAG&#10;AFkBAAD1BQAAAAA=&#10;">
                <v:fill on="f" focussize="0,0"/>
                <v:stroke weight="1.5pt" color="#FFFF00 [2404]" joinstyle="round"/>
                <v:imagedata o:title=""/>
                <o:lock v:ext="edit" aspectratio="f"/>
              </v:rect>
            </w:pict>
          </mc:Fallback>
        </mc:AlternateContent>
      </w:r>
      <w:r>
        <w:rPr>
          <w:color w:val="auto"/>
        </w:rPr>
        <w:drawing>
          <wp:anchor distT="0" distB="0" distL="114300" distR="114300" simplePos="0" relativeHeight="251681792" behindDoc="0" locked="0" layoutInCell="1" allowOverlap="1">
            <wp:simplePos x="0" y="0"/>
            <wp:positionH relativeFrom="column">
              <wp:posOffset>6511925</wp:posOffset>
            </wp:positionH>
            <wp:positionV relativeFrom="paragraph">
              <wp:posOffset>5080</wp:posOffset>
            </wp:positionV>
            <wp:extent cx="552450" cy="638175"/>
            <wp:effectExtent l="0" t="0" r="0" b="9525"/>
            <wp:wrapNone/>
            <wp:docPr id="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
                    <pic:cNvPicPr>
                      <a:picLocks noChangeAspect="1"/>
                    </pic:cNvPicPr>
                  </pic:nvPicPr>
                  <pic:blipFill>
                    <a:blip r:embed="rId48"/>
                    <a:srcRect l="2942" t="5263" r="11765" b="6580"/>
                    <a:stretch>
                      <a:fillRect/>
                    </a:stretch>
                  </pic:blipFill>
                  <pic:spPr>
                    <a:xfrm>
                      <a:off x="0" y="0"/>
                      <a:ext cx="552450" cy="63817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76672" behindDoc="0" locked="0" layoutInCell="1" allowOverlap="1">
                <wp:simplePos x="0" y="0"/>
                <wp:positionH relativeFrom="column">
                  <wp:posOffset>4676775</wp:posOffset>
                </wp:positionH>
                <wp:positionV relativeFrom="paragraph">
                  <wp:posOffset>151765</wp:posOffset>
                </wp:positionV>
                <wp:extent cx="812800" cy="659765"/>
                <wp:effectExtent l="8255" t="10160" r="17145" b="15875"/>
                <wp:wrapNone/>
                <wp:docPr id="63" name="直接连接符 63"/>
                <wp:cNvGraphicFramePr/>
                <a:graphic xmlns:a="http://schemas.openxmlformats.org/drawingml/2006/main">
                  <a:graphicData uri="http://schemas.microsoft.com/office/word/2010/wordprocessingShape">
                    <wps:wsp>
                      <wps:cNvCnPr/>
                      <wps:spPr>
                        <a:xfrm flipV="1">
                          <a:off x="5647055" y="2317750"/>
                          <a:ext cx="812800" cy="659765"/>
                        </a:xfrm>
                        <a:prstGeom prst="line">
                          <a:avLst/>
                        </a:prstGeom>
                        <a:ln>
                          <a:solidFill>
                            <a:srgbClr val="040ECB"/>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68.25pt;margin-top:11.95pt;height:51.95pt;width:64pt;z-index:251676672;mso-width-relative:page;mso-height-relative:page;" filled="f" stroked="t" coordsize="21600,21600" o:gfxdata="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V7vwCdsAAAAKAQAADwAAAAAAAAABACAAAAAiAAAAZHJzL2Rvd25yZXYueG1s&#10;UEsBAhQAFAAAAAgAh07iQK842yL1AQAAtwMAAA4AAAAAAAAAAQAgAAAAKgEAAGRycy9lMm9Eb2Mu&#10;eG1sUEsFBgAAAAAGAAYAWQEAAJEFAAAAAA==&#10;">
                <v:fill on="f" focussize="0,0"/>
                <v:stroke weight="2pt" color="#040ECB [3204]" joinstyle="round"/>
                <v:imagedata o:title=""/>
                <o:lock v:ext="edit" aspectratio="f"/>
              </v:lin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olumn">
                  <wp:posOffset>3971925</wp:posOffset>
                </wp:positionH>
                <wp:positionV relativeFrom="paragraph">
                  <wp:posOffset>1980565</wp:posOffset>
                </wp:positionV>
                <wp:extent cx="165100" cy="177800"/>
                <wp:effectExtent l="9525" t="9525" r="15875" b="22225"/>
                <wp:wrapNone/>
                <wp:docPr id="62" name="矩形 62"/>
                <wp:cNvGraphicFramePr/>
                <a:graphic xmlns:a="http://schemas.openxmlformats.org/drawingml/2006/main">
                  <a:graphicData uri="http://schemas.microsoft.com/office/word/2010/wordprocessingShape">
                    <wps:wsp>
                      <wps:cNvSpPr/>
                      <wps:spPr>
                        <a:xfrm>
                          <a:off x="4872355" y="3518535"/>
                          <a:ext cx="165100" cy="177800"/>
                        </a:xfrm>
                        <a:prstGeom prst="rect">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2.75pt;margin-top:155.95pt;height:14pt;width:13pt;z-index:251675648;v-text-anchor:middle;mso-width-relative:page;mso-height-relative:page;" filled="f" stroked="t" coordsize="21600,21600" o:gfxdata="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7QNNl2QAAAAsBAAAPAAAAAAAAAAEAIAAAACIAAABkcnMvZG93bnJldi54&#10;bWxQSwECFAAUAAAACACHTuJAlKMDvWsCAADBBAAADgAAAAAAAAABACAAAAAoAQAAZHJzL2Uyb0Rv&#10;Yy54bWxQSwUGAAAAAAYABgBZAQAABQYAAAAA&#10;">
                <v:fill on="f" focussize="0,0"/>
                <v:stroke weight="1.5pt" color="#FFFF00 [2404]" joinstyle="round"/>
                <v:imagedata o:title=""/>
                <o:lock v:ext="edit" aspectratio="f"/>
              </v:rect>
            </w:pict>
          </mc:Fallback>
        </mc:AlternateContent>
      </w:r>
      <w:r>
        <w:rPr>
          <w:rFonts w:hint="eastAsia"/>
          <w:color w:val="auto"/>
        </w:rPr>
        <w:drawing>
          <wp:inline distT="0" distB="0" distL="114300" distR="114300">
            <wp:extent cx="5269865" cy="4341495"/>
            <wp:effectExtent l="0" t="0" r="6985" b="190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54"/>
                    <a:stretch>
                      <a:fillRect/>
                    </a:stretch>
                  </pic:blipFill>
                  <pic:spPr>
                    <a:xfrm>
                      <a:off x="0" y="0"/>
                      <a:ext cx="5269865" cy="4341495"/>
                    </a:xfrm>
                    <a:prstGeom prst="rect">
                      <a:avLst/>
                    </a:prstGeom>
                    <a:noFill/>
                    <a:ln>
                      <a:noFill/>
                    </a:ln>
                  </pic:spPr>
                </pic:pic>
              </a:graphicData>
            </a:graphic>
          </wp:inline>
        </w:drawing>
      </w:r>
    </w:p>
    <w:p w14:paraId="50A62157">
      <w:pPr>
        <w:pStyle w:val="2"/>
        <w:ind w:left="0" w:firstLine="0" w:firstLineChars="0"/>
        <w:rPr>
          <w:b w:val="0"/>
          <w:bCs w:val="0"/>
          <w:color w:val="auto"/>
        </w:rPr>
      </w:pPr>
      <w:bookmarkStart w:id="27" w:name="_Toc3264"/>
      <w:r>
        <w:rPr>
          <w:rFonts w:hint="eastAsia"/>
          <w:b w:val="0"/>
          <w:bCs w:val="0"/>
          <w:color w:val="auto"/>
        </w:rPr>
        <w:t xml:space="preserve">附图9 </w:t>
      </w:r>
      <w:r>
        <w:rPr>
          <w:b w:val="0"/>
          <w:bCs w:val="0"/>
          <w:color w:val="auto"/>
        </w:rPr>
        <w:t>生态保护措施平面布置图</w:t>
      </w:r>
      <w:bookmarkEnd w:id="27"/>
    </w:p>
    <w:p w14:paraId="04C074A8">
      <w:pPr>
        <w:ind w:firstLine="0" w:firstLineChars="0"/>
        <w:jc w:val="center"/>
        <w:sectPr>
          <w:pgSz w:w="16838" w:h="11906" w:orient="landscape"/>
          <w:pgMar w:top="1803" w:right="1418" w:bottom="1803" w:left="1418" w:header="369" w:footer="992" w:gutter="0"/>
          <w:pgBorders>
            <w:top w:val="none" w:sz="0" w:space="0"/>
            <w:left w:val="none" w:sz="0" w:space="0"/>
            <w:bottom w:val="none" w:sz="0" w:space="0"/>
            <w:right w:val="none" w:sz="0" w:space="0"/>
          </w:pgBorders>
          <w:cols w:space="720" w:num="1"/>
          <w:docGrid w:type="lines" w:linePitch="360" w:charSpace="0"/>
        </w:sectPr>
      </w:pPr>
      <w:r>
        <mc:AlternateContent>
          <mc:Choice Requires="wps">
            <w:drawing>
              <wp:anchor distT="0" distB="0" distL="114300" distR="114300" simplePos="0" relativeHeight="251687936" behindDoc="0" locked="0" layoutInCell="1" allowOverlap="1">
                <wp:simplePos x="0" y="0"/>
                <wp:positionH relativeFrom="column">
                  <wp:posOffset>3990975</wp:posOffset>
                </wp:positionH>
                <wp:positionV relativeFrom="paragraph">
                  <wp:posOffset>1997075</wp:posOffset>
                </wp:positionV>
                <wp:extent cx="165100" cy="177800"/>
                <wp:effectExtent l="9525" t="9525" r="15875" b="22225"/>
                <wp:wrapNone/>
                <wp:docPr id="75" name="矩形 75"/>
                <wp:cNvGraphicFramePr/>
                <a:graphic xmlns:a="http://schemas.openxmlformats.org/drawingml/2006/main">
                  <a:graphicData uri="http://schemas.microsoft.com/office/word/2010/wordprocessingShape">
                    <wps:wsp>
                      <wps:cNvSpPr/>
                      <wps:spPr>
                        <a:xfrm>
                          <a:off x="0" y="0"/>
                          <a:ext cx="165100" cy="177800"/>
                        </a:xfrm>
                        <a:prstGeom prst="rect">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4.25pt;margin-top:157.25pt;height:14pt;width:13pt;z-index:251687936;v-text-anchor:middle;mso-width-relative:page;mso-height-relative:page;" filled="f" stroked="t" coordsize="21600,21600" o:gfxdata="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t6&#10;7WTZAAAACwEAAA8AAAAAAAAAAQAgAAAAIgAAAGRycy9kb3ducmV2LnhtbFBLAQIUABQAAAAIAIdO&#10;4kA+O7E3WwIAALUEAAAOAAAAAAAAAAEAIAAAACgBAABkcnMvZTJvRG9jLnhtbFBLBQYAAAAABgAG&#10;AFkBAAD1BQAAAAA=&#10;">
                <v:fill on="f" focussize="0,0"/>
                <v:stroke weight="1.5pt" color="#FFFF00 [2404]" joinstyle="round"/>
                <v:imagedata o:title=""/>
                <o:lock v:ext="edit" aspectratio="f"/>
              </v:rect>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4608830</wp:posOffset>
                </wp:positionH>
                <wp:positionV relativeFrom="paragraph">
                  <wp:posOffset>206375</wp:posOffset>
                </wp:positionV>
                <wp:extent cx="812800" cy="659765"/>
                <wp:effectExtent l="8255" t="10160" r="17145" b="15875"/>
                <wp:wrapNone/>
                <wp:docPr id="79" name="直接连接符 79"/>
                <wp:cNvGraphicFramePr/>
                <a:graphic xmlns:a="http://schemas.openxmlformats.org/drawingml/2006/main">
                  <a:graphicData uri="http://schemas.microsoft.com/office/word/2010/wordprocessingShape">
                    <wps:wsp>
                      <wps:cNvCnPr/>
                      <wps:spPr>
                        <a:xfrm flipV="1">
                          <a:off x="0" y="0"/>
                          <a:ext cx="812800" cy="659765"/>
                        </a:xfrm>
                        <a:prstGeom prst="line">
                          <a:avLst/>
                        </a:prstGeom>
                        <a:ln>
                          <a:solidFill>
                            <a:srgbClr val="040ECB"/>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62.9pt;margin-top:16.25pt;height:51.95pt;width:64pt;z-index:251691008;mso-width-relative:page;mso-height-relative:page;" filled="f" stroked="t" coordsize="21600,21600" o:gfxdata="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I6m&#10;4mvaAAAACgEAAA8AAAAAAAAAAQAgAAAAIgAAAGRycy9kb3ducmV2LnhtbFBLAQIUABQAAAAIAIdO&#10;4kCSELcc6AEAAKsDAAAOAAAAAAAAAAEAIAAAACkBAABkcnMvZTJvRG9jLnhtbFBLBQYAAAAABgAG&#10;AFkBAACDBQAAAAA=&#10;">
                <v:fill on="f" focussize="0,0"/>
                <v:stroke weight="2pt" color="#040ECB [3204]" joinstyle="round"/>
                <v:imagedata o:title=""/>
                <o:lock v:ext="edit" aspectratio="f"/>
              </v:lin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4512310</wp:posOffset>
                </wp:positionH>
                <wp:positionV relativeFrom="paragraph">
                  <wp:posOffset>2242820</wp:posOffset>
                </wp:positionV>
                <wp:extent cx="1823085" cy="1480820"/>
                <wp:effectExtent l="326390" t="127635" r="22225" b="10795"/>
                <wp:wrapNone/>
                <wp:docPr id="76" name="矩形标注 76"/>
                <wp:cNvGraphicFramePr/>
                <a:graphic xmlns:a="http://schemas.openxmlformats.org/drawingml/2006/main">
                  <a:graphicData uri="http://schemas.microsoft.com/office/word/2010/wordprocessingShape">
                    <wps:wsp>
                      <wps:cNvSpPr/>
                      <wps:spPr>
                        <a:xfrm>
                          <a:off x="0" y="0"/>
                          <a:ext cx="1823085" cy="1480820"/>
                        </a:xfrm>
                        <a:prstGeom prst="wedgeRectCallout">
                          <a:avLst>
                            <a:gd name="adj1" fmla="val -67032"/>
                            <a:gd name="adj2" fmla="val -56903"/>
                          </a:avLst>
                        </a:prstGeom>
                        <a:solidFill>
                          <a:srgbClr val="FFFFFF"/>
                        </a:solidFill>
                        <a:ln w="9525" cap="flat" cmpd="sng">
                          <a:solidFill>
                            <a:srgbClr val="000000"/>
                          </a:solidFill>
                          <a:prstDash val="solid"/>
                          <a:miter/>
                          <a:headEnd type="none" w="med" len="med"/>
                          <a:tailEnd type="none" w="med" len="med"/>
                        </a:ln>
                      </wps:spPr>
                      <wps:txbx>
                        <w:txbxContent>
                          <w:p w14:paraId="6088F0D5">
                            <w:pPr>
                              <w:ind w:firstLine="0" w:firstLineChars="0"/>
                              <w:rPr>
                                <w:color w:val="0000FF"/>
                              </w:rPr>
                            </w:pPr>
                            <w:r>
                              <w:rPr>
                                <w:rFonts w:hint="eastAsia"/>
                                <w:color w:val="0000FF"/>
                              </w:rPr>
                              <w:t>施工场地：</w:t>
                            </w:r>
                            <w:r>
                              <w:rPr>
                                <w:rFonts w:hint="eastAsia"/>
                                <w:color w:val="0000FF"/>
                                <w:lang w:val="en-US" w:eastAsia="zh-CN"/>
                              </w:rPr>
                              <w:t>基础开挖</w:t>
                            </w:r>
                            <w:r>
                              <w:rPr>
                                <w:rFonts w:hint="eastAsia"/>
                                <w:color w:val="0000FF"/>
                              </w:rPr>
                              <w:t>、回填、全面整地、撒播种草、编织袋土埂、密目网覆盖、排水沟、沉砂池</w:t>
                            </w:r>
                          </w:p>
                        </w:txbxContent>
                      </wps:txbx>
                      <wps:bodyPr upright="1"/>
                    </wps:wsp>
                  </a:graphicData>
                </a:graphic>
              </wp:anchor>
            </w:drawing>
          </mc:Choice>
          <mc:Fallback>
            <w:pict>
              <v:shape id="_x0000_s1026" o:spid="_x0000_s1026" o:spt="61" type="#_x0000_t61" style="position:absolute;left:0pt;margin-left:355.3pt;margin-top:176.6pt;height:116.6pt;width:143.55pt;z-index:251688960;mso-width-relative:page;mso-height-relative:page;" fillcolor="#FFFFFF" filled="t" stroked="t" coordsize="21600,21600" o:gfxdata="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xTlfpNoAAAALAQAADwAAAAAAAAABACAAAAAiAAAAZHJz&#10;L2Rvd25yZXYueG1sUEsBAhQAFAAAAAgAh07iQPOww747AgAAkQQAAA4AAAAAAAAAAQAgAAAAKQEA&#10;AGRycy9lMm9Eb2MueG1sUEsFBgAAAAAGAAYAWQEAANYFAAAAAA==&#10;" adj="-3679,-1491">
                <v:fill on="t" focussize="0,0"/>
                <v:stroke color="#000000" joinstyle="miter"/>
                <v:imagedata o:title=""/>
                <o:lock v:ext="edit" aspectratio="f"/>
                <v:textbox>
                  <w:txbxContent>
                    <w:p w14:paraId="6088F0D5">
                      <w:pPr>
                        <w:ind w:firstLine="0" w:firstLineChars="0"/>
                        <w:rPr>
                          <w:color w:val="0000FF"/>
                        </w:rPr>
                      </w:pPr>
                      <w:r>
                        <w:rPr>
                          <w:rFonts w:hint="eastAsia"/>
                          <w:color w:val="0000FF"/>
                        </w:rPr>
                        <w:t>施工场地：</w:t>
                      </w:r>
                      <w:r>
                        <w:rPr>
                          <w:rFonts w:hint="eastAsia"/>
                          <w:color w:val="0000FF"/>
                          <w:lang w:val="en-US" w:eastAsia="zh-CN"/>
                        </w:rPr>
                        <w:t>基础开挖</w:t>
                      </w:r>
                      <w:r>
                        <w:rPr>
                          <w:rFonts w:hint="eastAsia"/>
                          <w:color w:val="0000FF"/>
                        </w:rPr>
                        <w:t>、回填、全面整地、撒播种草、编织袋土埂、密目网覆盖、排水沟、沉砂池</w:t>
                      </w:r>
                    </w:p>
                  </w:txbxContent>
                </v:textbox>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4121150</wp:posOffset>
                </wp:positionH>
                <wp:positionV relativeFrom="paragraph">
                  <wp:posOffset>864235</wp:posOffset>
                </wp:positionV>
                <wp:extent cx="554355" cy="2585085"/>
                <wp:effectExtent l="12700" t="9525" r="23495" b="15240"/>
                <wp:wrapNone/>
                <wp:docPr id="74" name="任意多边形 74"/>
                <wp:cNvGraphicFramePr/>
                <a:graphic xmlns:a="http://schemas.openxmlformats.org/drawingml/2006/main">
                  <a:graphicData uri="http://schemas.microsoft.com/office/word/2010/wordprocessingShape">
                    <wps:wsp>
                      <wps:cNvSpPr/>
                      <wps:spPr>
                        <a:xfrm>
                          <a:off x="0" y="0"/>
                          <a:ext cx="554355" cy="2585085"/>
                        </a:xfrm>
                        <a:custGeom>
                          <a:avLst/>
                          <a:gdLst>
                            <a:gd name="connisteX0" fmla="*/ 521776 w 521776"/>
                            <a:gd name="connsiteY0" fmla="*/ 0 h 2802043"/>
                            <a:gd name="connisteX1" fmla="*/ 1076 w 521776"/>
                            <a:gd name="connsiteY1" fmla="*/ 762000 h 2802043"/>
                            <a:gd name="connisteX2" fmla="*/ 407476 w 521776"/>
                            <a:gd name="connsiteY2" fmla="*/ 2635250 h 2802043"/>
                            <a:gd name="connisteX3" fmla="*/ 407476 w 521776"/>
                            <a:gd name="connsiteY3" fmla="*/ 2635250 h 2802043"/>
                            <a:gd name="connisteX4" fmla="*/ 407476 w 521776"/>
                            <a:gd name="connsiteY4" fmla="*/ 2628900 h 2802043"/>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21776" h="2802044">
                              <a:moveTo>
                                <a:pt x="521776" y="0"/>
                              </a:moveTo>
                              <a:cubicBezTo>
                                <a:pt x="409381" y="114935"/>
                                <a:pt x="23936" y="234950"/>
                                <a:pt x="1076" y="762000"/>
                              </a:cubicBezTo>
                              <a:cubicBezTo>
                                <a:pt x="-21784" y="1289050"/>
                                <a:pt x="326196" y="2260600"/>
                                <a:pt x="407476" y="2635250"/>
                              </a:cubicBezTo>
                              <a:cubicBezTo>
                                <a:pt x="488756" y="3009900"/>
                                <a:pt x="407476" y="2636520"/>
                                <a:pt x="407476" y="2635250"/>
                              </a:cubicBezTo>
                              <a:cubicBezTo>
                                <a:pt x="407476" y="2633980"/>
                                <a:pt x="407476" y="2630170"/>
                                <a:pt x="407476" y="262890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24.5pt;margin-top:68.05pt;height:203.55pt;width:43.65pt;z-index:251686912;mso-width-relative:page;mso-height-relative:page;" filled="f" stroked="t" coordsize="521776,2802044" o:gfxdata="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" path="m521776,0c409381,114935,23936,234950,1076,762000c-21784,1289050,326196,2260600,407476,2635250c488756,3009900,407476,2636520,407476,2635250c407476,2633980,407476,2630170,407476,2628900e">
                <v:path o:connectlocs="554355,0;1143,702999;432918,2431206;432918,2431206;432918,2425348" o:connectangles="0,0,0,0,0"/>
                <v:fill on="f" focussize="0,0"/>
                <v:stroke weight="2pt" color="#FF0000 [2404]" joinstyle="round"/>
                <v:imagedata o:title=""/>
                <o:lock v:ext="edit" aspectratio="f"/>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3226435</wp:posOffset>
                </wp:positionH>
                <wp:positionV relativeFrom="paragraph">
                  <wp:posOffset>805815</wp:posOffset>
                </wp:positionV>
                <wp:extent cx="1476375" cy="1454150"/>
                <wp:effectExtent l="10795" t="10795" r="17780" b="20955"/>
                <wp:wrapNone/>
                <wp:docPr id="73" name="任意多边形 73"/>
                <wp:cNvGraphicFramePr/>
                <a:graphic xmlns:a="http://schemas.openxmlformats.org/drawingml/2006/main">
                  <a:graphicData uri="http://schemas.microsoft.com/office/word/2010/wordprocessingShape">
                    <wps:wsp>
                      <wps:cNvSpPr/>
                      <wps:spPr>
                        <a:xfrm>
                          <a:off x="0" y="0"/>
                          <a:ext cx="1476375" cy="1454150"/>
                        </a:xfrm>
                        <a:custGeom>
                          <a:avLst/>
                          <a:gdLst>
                            <a:gd name="connisteX0" fmla="*/ 1619250 w 1619250"/>
                            <a:gd name="connsiteY0" fmla="*/ 0 h 1593850"/>
                            <a:gd name="connisteX1" fmla="*/ 609600 w 1619250"/>
                            <a:gd name="connsiteY1" fmla="*/ 673100 h 1593850"/>
                            <a:gd name="connisteX2" fmla="*/ 0 w 1619250"/>
                            <a:gd name="connsiteY2" fmla="*/ 1593850 h 1593850"/>
                          </a:gdLst>
                          <a:ahLst/>
                          <a:cxnLst>
                            <a:cxn ang="0">
                              <a:pos x="connisteX0" y="connsiteY0"/>
                            </a:cxn>
                            <a:cxn ang="0">
                              <a:pos x="connisteX1" y="connsiteY1"/>
                            </a:cxn>
                            <a:cxn ang="0">
                              <a:pos x="connisteX2" y="connsiteY2"/>
                            </a:cxn>
                          </a:cxnLst>
                          <a:rect l="l" t="t" r="r" b="b"/>
                          <a:pathLst>
                            <a:path w="1619250" h="1593850">
                              <a:moveTo>
                                <a:pt x="1619250" y="0"/>
                              </a:moveTo>
                              <a:cubicBezTo>
                                <a:pt x="1429385" y="116205"/>
                                <a:pt x="933450" y="354330"/>
                                <a:pt x="609600" y="673100"/>
                              </a:cubicBezTo>
                              <a:cubicBezTo>
                                <a:pt x="285750" y="991870"/>
                                <a:pt x="101600" y="1423035"/>
                                <a:pt x="0" y="159385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4.05pt;margin-top:63.45pt;height:114.5pt;width:116.25pt;z-index:251685888;mso-width-relative:page;mso-height-relative:page;" filled="f" stroked="t" coordsize="1619250,1593850" o:gfxdata="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CG+r22&#10;2AAAAAsBAAAPAAAAAAAAAAEAIAAAACIAAABkcnMvZG93bnJldi54bWxQSwECFAAUAAAACACHTuJA&#10;+X048QUDAAAlBwAADgAAAAAAAAABACAAAAAnAQAAZHJzL2Uyb0RvYy54bWxQSwUGAAAAAAYABgBZ&#10;AQAAngYAAAAA&#10;" path="m1619250,0c1429385,116205,933450,354330,609600,673100c285750,991870,101600,1423035,0,1593850e">
                <v:path o:connectlocs="1476375,0;555811,614103;0,1454150" o:connectangles="0,0,0"/>
                <v:fill on="f" focussize="0,0"/>
                <v:stroke weight="2pt" color="#FF0000 [2404]" joinstyle="round"/>
                <v:imagedata o:title=""/>
                <o:lock v:ext="edit" aspectratio="f"/>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1938020</wp:posOffset>
                </wp:positionH>
                <wp:positionV relativeFrom="paragraph">
                  <wp:posOffset>4143375</wp:posOffset>
                </wp:positionV>
                <wp:extent cx="241300" cy="0"/>
                <wp:effectExtent l="0" t="12700" r="0" b="12700"/>
                <wp:wrapNone/>
                <wp:docPr id="82" name="直接连接符 82"/>
                <wp:cNvGraphicFramePr/>
                <a:graphic xmlns:a="http://schemas.openxmlformats.org/drawingml/2006/main">
                  <a:graphicData uri="http://schemas.microsoft.com/office/word/2010/wordprocessingShape">
                    <wps:wsp>
                      <wps:cNvCnPr/>
                      <wps:spPr>
                        <a:xfrm>
                          <a:off x="0" y="0"/>
                          <a:ext cx="24130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52.6pt;margin-top:326.25pt;height:0pt;width:19pt;z-index:251694080;mso-width-relative:page;mso-height-relative:page;" filled="f" stroked="t" coordsize="21600,21600" o:gfxdata="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CXxba7XAAAACwEAAA8AAAAAAAAA&#10;AQAgAAAAIgAAAGRycy9kb3ducmV2LnhtbFBLAQIUABQAAAAIAIdO4kAsnnf+2QEAAJwDAAAOAAAA&#10;AAAAAAEAIAAAACYBAABkcnMvZTJvRG9jLnhtbFBLBQYAAAAABgAGAFkBAABxBQAAAAA=&#10;">
                <v:fill on="f" focussize="0,0"/>
                <v:stroke weight="2pt" color="#FF0000 [3204]" joinstyle="round"/>
                <v:imagedata o:title=""/>
                <o:lock v:ext="edit" aspectratio="f"/>
              </v:lin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1969135</wp:posOffset>
                </wp:positionH>
                <wp:positionV relativeFrom="paragraph">
                  <wp:posOffset>3735070</wp:posOffset>
                </wp:positionV>
                <wp:extent cx="165100" cy="177800"/>
                <wp:effectExtent l="9525" t="9525" r="15875" b="22225"/>
                <wp:wrapNone/>
                <wp:docPr id="84" name="矩形 84"/>
                <wp:cNvGraphicFramePr/>
                <a:graphic xmlns:a="http://schemas.openxmlformats.org/drawingml/2006/main">
                  <a:graphicData uri="http://schemas.microsoft.com/office/word/2010/wordprocessingShape">
                    <wps:wsp>
                      <wps:cNvSpPr/>
                      <wps:spPr>
                        <a:xfrm>
                          <a:off x="0" y="0"/>
                          <a:ext cx="165100" cy="177800"/>
                        </a:xfrm>
                        <a:prstGeom prst="rect">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5.05pt;margin-top:294.1pt;height:14pt;width:13pt;z-index:251696128;v-text-anchor:middle;mso-width-relative:page;mso-height-relative:page;" filled="f" stroked="t" coordsize="21600,21600" o:gfxdata="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rt&#10;ukDZAAAACwEAAA8AAAAAAAAAAQAgAAAAIgAAAGRycy9kb3ducmV2LnhtbFBLAQIUABQAAAAIAIdO&#10;4kCGIXoCWwIAALUEAAAOAAAAAAAAAAEAIAAAACgBAABkcnMvZTJvRG9jLnhtbFBLBQYAAAAABgAG&#10;AFkBAAD1BQAAAAA=&#10;">
                <v:fill on="f" focussize="0,0"/>
                <v:stroke weight="1.5pt" color="#FFFF00 [2404]" joinstyle="round"/>
                <v:imagedata o:title=""/>
                <o:lock v:ext="edit" aspectratio="f"/>
              </v:rect>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1927860</wp:posOffset>
                </wp:positionH>
                <wp:positionV relativeFrom="paragraph">
                  <wp:posOffset>3474720</wp:posOffset>
                </wp:positionV>
                <wp:extent cx="241300" cy="0"/>
                <wp:effectExtent l="0" t="12700" r="0" b="12700"/>
                <wp:wrapNone/>
                <wp:docPr id="83" name="直接连接符 83"/>
                <wp:cNvGraphicFramePr/>
                <a:graphic xmlns:a="http://schemas.openxmlformats.org/drawingml/2006/main">
                  <a:graphicData uri="http://schemas.microsoft.com/office/word/2010/wordprocessingShape">
                    <wps:wsp>
                      <wps:cNvCnPr/>
                      <wps:spPr>
                        <a:xfrm>
                          <a:off x="0" y="0"/>
                          <a:ext cx="241300" cy="0"/>
                        </a:xfrm>
                        <a:prstGeom prst="line">
                          <a:avLst/>
                        </a:prstGeom>
                        <a:ln>
                          <a:solidFill>
                            <a:srgbClr val="040ECB"/>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51.8pt;margin-top:273.6pt;height:0pt;width:19pt;z-index:251695104;mso-width-relative:page;mso-height-relative:page;" filled="f" stroked="t" coordsize="21600,21600" o:gfxdata="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EexJT1wAAAAsBAAAPAAAAAAAA&#10;AAEAIAAAACIAAABkcnMvZG93bnJldi54bWxQSwECFAAUAAAACACHTuJAsb9MntoBAACcAwAADgAA&#10;AAAAAAABACAAAAAmAQAAZHJzL2Uyb0RvYy54bWxQSwUGAAAAAAYABgBZAQAAcgUAAAAA&#10;">
                <v:fill on="f" focussize="0,0"/>
                <v:stroke weight="2pt" color="#040ECB [3204]" joinstyle="round"/>
                <v:imagedata o:title=""/>
                <o:lock v:ext="edit" aspectratio="f"/>
              </v:line>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1955800</wp:posOffset>
                </wp:positionH>
                <wp:positionV relativeFrom="paragraph">
                  <wp:posOffset>3051810</wp:posOffset>
                </wp:positionV>
                <wp:extent cx="165100" cy="177800"/>
                <wp:effectExtent l="9525" t="9525" r="15875" b="22225"/>
                <wp:wrapNone/>
                <wp:docPr id="18" name="矩形 18"/>
                <wp:cNvGraphicFramePr/>
                <a:graphic xmlns:a="http://schemas.openxmlformats.org/drawingml/2006/main">
                  <a:graphicData uri="http://schemas.microsoft.com/office/word/2010/wordprocessingShape">
                    <wps:wsp>
                      <wps:cNvSpPr/>
                      <wps:spPr>
                        <a:xfrm>
                          <a:off x="0" y="0"/>
                          <a:ext cx="165100" cy="1778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4pt;margin-top:240.3pt;height:14pt;width:13pt;z-index:251706368;v-text-anchor:middle;mso-width-relative:page;mso-height-relative:page;" filled="f" stroked="t" coordsize="21600,21600" o:gfxdata="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7&#10;XsCD2gAAAAsBAAAPAAAAAAAAAAEAIAAAACIAAABkcnMvZG93bnJldi54bWxQSwECFAAUAAAACACH&#10;TuJAFGeMkVsCAAC1BAAADgAAAAAAAAABACAAAAApAQAAZHJzL2Uyb0RvYy54bWxQSwUGAAAAAAYA&#10;BgBZAQAA9gUAAAAA&#10;">
                <v:fill on="f" focussize="0,0"/>
                <v:stroke weight="1.5pt" color="#FF0000 [2404]" joinstyle="round"/>
                <v:imagedata o:title=""/>
                <o:lock v:ext="edit" aspectratio="f"/>
              </v:rect>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1832610</wp:posOffset>
                </wp:positionH>
                <wp:positionV relativeFrom="paragraph">
                  <wp:posOffset>2582545</wp:posOffset>
                </wp:positionV>
                <wp:extent cx="1294765" cy="1740535"/>
                <wp:effectExtent l="4445" t="4445" r="15240" b="7620"/>
                <wp:wrapNone/>
                <wp:docPr id="81" name="文本框 81"/>
                <wp:cNvGraphicFramePr/>
                <a:graphic xmlns:a="http://schemas.openxmlformats.org/drawingml/2006/main">
                  <a:graphicData uri="http://schemas.microsoft.com/office/word/2010/wordprocessingShape">
                    <wps:wsp>
                      <wps:cNvSpPr txBox="1"/>
                      <wps:spPr>
                        <a:xfrm>
                          <a:off x="0" y="0"/>
                          <a:ext cx="1294765" cy="17405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D161CA5">
                            <w:pPr>
                              <w:ind w:firstLine="0" w:firstLineChars="0"/>
                              <w:jc w:val="center"/>
                            </w:pPr>
                            <w:r>
                              <w:rPr>
                                <w:rFonts w:hint="eastAsia"/>
                              </w:rPr>
                              <w:t>图  例</w:t>
                            </w:r>
                          </w:p>
                          <w:p w14:paraId="1455B106">
                            <w:pPr>
                              <w:ind w:firstLine="480"/>
                            </w:pPr>
                            <w:r>
                              <w:rPr>
                                <w:rFonts w:hint="eastAsia"/>
                              </w:rPr>
                              <w:t>临时堆土场</w:t>
                            </w:r>
                          </w:p>
                          <w:p w14:paraId="3674E6CE">
                            <w:pPr>
                              <w:ind w:firstLine="480"/>
                            </w:pPr>
                            <w:r>
                              <w:rPr>
                                <w:rFonts w:hint="eastAsia"/>
                              </w:rPr>
                              <w:t>施工便道</w:t>
                            </w:r>
                          </w:p>
                          <w:p w14:paraId="3DC74C72">
                            <w:pPr>
                              <w:ind w:firstLine="480"/>
                              <w:rPr>
                                <w:rFonts w:hint="eastAsia"/>
                              </w:rPr>
                            </w:pPr>
                            <w:r>
                              <w:rPr>
                                <w:rFonts w:hint="eastAsia"/>
                              </w:rPr>
                              <w:t>施工场地</w:t>
                            </w:r>
                          </w:p>
                          <w:p w14:paraId="7009D568">
                            <w:pPr>
                              <w:ind w:firstLine="480"/>
                              <w:rPr>
                                <w:rFonts w:hint="eastAsia" w:eastAsia="宋体"/>
                                <w:lang w:val="en-US" w:eastAsia="zh-CN"/>
                              </w:rPr>
                            </w:pPr>
                            <w:r>
                              <w:rPr>
                                <w:rFonts w:hint="eastAsia"/>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3pt;margin-top:203.35pt;height:137.05pt;width:101.95pt;z-index:251693056;mso-width-relative:page;mso-height-relative:page;" fillcolor="#FFFFFF [3201]" filled="t" stroked="t" coordsize="21600,21600" o:gfxdata="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ZQaM&#10;etgAAAALAQAADwAAAAAAAAABACAAAAAiAAAAZHJzL2Rvd25yZXYueG1sUEsBAhQAFAAAAAgAh07i&#10;QKLNqtFbAgAAugQAAA4AAAAAAAAAAQAgAAAAJwEAAGRycy9lMm9Eb2MueG1sUEsFBgAAAAAGAAYA&#10;WQEAAPQFAAAAAA==&#10;">
                <v:fill on="t" focussize="0,0"/>
                <v:stroke weight="0.5pt" color="#000000 [3204]" joinstyle="round"/>
                <v:imagedata o:title=""/>
                <o:lock v:ext="edit" aspectratio="f"/>
                <v:textbox>
                  <w:txbxContent>
                    <w:p w14:paraId="3D161CA5">
                      <w:pPr>
                        <w:ind w:firstLine="0" w:firstLineChars="0"/>
                        <w:jc w:val="center"/>
                      </w:pPr>
                      <w:r>
                        <w:rPr>
                          <w:rFonts w:hint="eastAsia"/>
                        </w:rPr>
                        <w:t>图  例</w:t>
                      </w:r>
                    </w:p>
                    <w:p w14:paraId="1455B106">
                      <w:pPr>
                        <w:ind w:firstLine="480"/>
                      </w:pPr>
                      <w:r>
                        <w:rPr>
                          <w:rFonts w:hint="eastAsia"/>
                        </w:rPr>
                        <w:t>临时堆土场</w:t>
                      </w:r>
                    </w:p>
                    <w:p w14:paraId="3674E6CE">
                      <w:pPr>
                        <w:ind w:firstLine="480"/>
                      </w:pPr>
                      <w:r>
                        <w:rPr>
                          <w:rFonts w:hint="eastAsia"/>
                        </w:rPr>
                        <w:t>施工便道</w:t>
                      </w:r>
                    </w:p>
                    <w:p w14:paraId="3DC74C72">
                      <w:pPr>
                        <w:ind w:firstLine="480"/>
                        <w:rPr>
                          <w:rFonts w:hint="eastAsia"/>
                        </w:rPr>
                      </w:pPr>
                      <w:r>
                        <w:rPr>
                          <w:rFonts w:hint="eastAsia"/>
                        </w:rPr>
                        <w:t>施工场地</w:t>
                      </w:r>
                    </w:p>
                    <w:p w14:paraId="7009D568">
                      <w:pPr>
                        <w:ind w:firstLine="480"/>
                        <w:rPr>
                          <w:rFonts w:hint="eastAsia" w:eastAsia="宋体"/>
                          <w:lang w:val="en-US" w:eastAsia="zh-CN"/>
                        </w:rPr>
                      </w:pPr>
                      <w:r>
                        <w:rPr>
                          <w:rFonts w:hint="eastAsia"/>
                          <w:lang w:val="en-US" w:eastAsia="zh-CN"/>
                        </w:rPr>
                        <w:t>本项目</w:t>
                      </w:r>
                    </w:p>
                  </w:txbxContent>
                </v:textbox>
              </v:shap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4332605</wp:posOffset>
                </wp:positionH>
                <wp:positionV relativeFrom="paragraph">
                  <wp:posOffset>1290955</wp:posOffset>
                </wp:positionV>
                <wp:extent cx="165100" cy="177800"/>
                <wp:effectExtent l="9525" t="9525" r="15875" b="22225"/>
                <wp:wrapNone/>
                <wp:docPr id="17" name="矩形 17"/>
                <wp:cNvGraphicFramePr/>
                <a:graphic xmlns:a="http://schemas.openxmlformats.org/drawingml/2006/main">
                  <a:graphicData uri="http://schemas.microsoft.com/office/word/2010/wordprocessingShape">
                    <wps:wsp>
                      <wps:cNvSpPr/>
                      <wps:spPr>
                        <a:xfrm>
                          <a:off x="0" y="0"/>
                          <a:ext cx="165100" cy="1778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1.15pt;margin-top:101.65pt;height:14pt;width:13pt;z-index:251705344;v-text-anchor:middle;mso-width-relative:page;mso-height-relative:page;" filled="f" stroked="t" coordsize="21600,21600" o:gfxdata="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rH&#10;XXbYAAAACwEAAA8AAAAAAAAAAQAgAAAAIgAAAGRycy9kb3ducmV2LnhtbFBLAQIUABQAAAAIAIdO&#10;4kDVoCeLXAIAALUEAAAOAAAAAAAAAAEAIAAAACcBAABkcnMvZTJvRG9jLnhtbFBLBQYAAAAABgAG&#10;AFkBAAD1BQAAAAA=&#10;">
                <v:fill on="f" focussize="0,0"/>
                <v:stroke weight="1.5pt" color="#FF0000 [2404]" joinstyle="round"/>
                <v:imagedata o:title=""/>
                <o:lock v:ext="edit" aspectratio="f"/>
              </v:rect>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4918710</wp:posOffset>
                </wp:positionH>
                <wp:positionV relativeFrom="paragraph">
                  <wp:posOffset>848360</wp:posOffset>
                </wp:positionV>
                <wp:extent cx="1800860" cy="1125855"/>
                <wp:effectExtent l="459105" t="5080" r="6985" b="12065"/>
                <wp:wrapNone/>
                <wp:docPr id="78" name="矩形标注 78"/>
                <wp:cNvGraphicFramePr/>
                <a:graphic xmlns:a="http://schemas.openxmlformats.org/drawingml/2006/main">
                  <a:graphicData uri="http://schemas.microsoft.com/office/word/2010/wordprocessingShape">
                    <wps:wsp>
                      <wps:cNvSpPr/>
                      <wps:spPr>
                        <a:xfrm>
                          <a:off x="0" y="0"/>
                          <a:ext cx="1800860" cy="1125855"/>
                        </a:xfrm>
                        <a:prstGeom prst="wedgeRectCallout">
                          <a:avLst>
                            <a:gd name="adj1" fmla="val -74561"/>
                            <a:gd name="adj2" fmla="val -2908"/>
                          </a:avLst>
                        </a:prstGeom>
                        <a:solidFill>
                          <a:srgbClr val="FFFFFF"/>
                        </a:solidFill>
                        <a:ln w="9525" cap="flat" cmpd="sng">
                          <a:solidFill>
                            <a:srgbClr val="000000"/>
                          </a:solidFill>
                          <a:prstDash val="solid"/>
                          <a:miter/>
                          <a:headEnd type="none" w="med" len="med"/>
                          <a:tailEnd type="none" w="med" len="med"/>
                        </a:ln>
                      </wps:spPr>
                      <wps:txbx>
                        <w:txbxContent>
                          <w:p w14:paraId="30F3F8B0">
                            <w:pPr>
                              <w:ind w:firstLine="0" w:firstLineChars="0"/>
                              <w:rPr>
                                <w:rFonts w:hint="default" w:eastAsia="宋体"/>
                                <w:color w:val="0000FF"/>
                                <w:lang w:val="en-US" w:eastAsia="zh-CN"/>
                              </w:rPr>
                            </w:pPr>
                            <w:r>
                              <w:rPr>
                                <w:rFonts w:hint="eastAsia"/>
                                <w:color w:val="0000FF"/>
                              </w:rPr>
                              <w:t>临时堆土场：</w:t>
                            </w:r>
                            <w:r>
                              <w:rPr>
                                <w:rFonts w:hint="eastAsia"/>
                                <w:color w:val="0000FF"/>
                                <w:lang w:val="en-US" w:eastAsia="zh-CN"/>
                              </w:rPr>
                              <w:t>基础开挖</w:t>
                            </w:r>
                            <w:r>
                              <w:rPr>
                                <w:rFonts w:hint="eastAsia"/>
                                <w:color w:val="0000FF"/>
                              </w:rPr>
                              <w:t>、回填、全面整地、</w:t>
                            </w:r>
                            <w:r>
                              <w:rPr>
                                <w:rFonts w:hint="eastAsia"/>
                                <w:color w:val="0000FF"/>
                                <w:lang w:val="en-US" w:eastAsia="zh-CN"/>
                              </w:rPr>
                              <w:t>设置临时排水沟、沉砂池等设施</w:t>
                            </w:r>
                          </w:p>
                        </w:txbxContent>
                      </wps:txbx>
                      <wps:bodyPr upright="1"/>
                    </wps:wsp>
                  </a:graphicData>
                </a:graphic>
              </wp:anchor>
            </w:drawing>
          </mc:Choice>
          <mc:Fallback>
            <w:pict>
              <v:shape id="_x0000_s1026" o:spid="_x0000_s1026" o:spt="61" type="#_x0000_t61" style="position:absolute;left:0pt;margin-left:387.3pt;margin-top:66.8pt;height:88.65pt;width:141.8pt;z-index:251689984;mso-width-relative:page;mso-height-relative:page;" fillcolor="#FFFFFF" filled="t" stroked="t" coordsize="21600,21600" o:gfxdata="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01QgnNoAAAAMAQAADwAAAAAAAAABACAAAAAiAAAAZHJzL2Rv&#10;d25yZXYueG1sUEsBAhQAFAAAAAgAh07iQGVkEck4AgAAkAQAAA4AAAAAAAAAAQAgAAAAKQEAAGRy&#10;cy9lMm9Eb2MueG1sUEsFBgAAAAAGAAYAWQEAANMFAAAAAA==&#10;" adj="-5305,10172">
                <v:fill on="t" focussize="0,0"/>
                <v:stroke color="#000000" joinstyle="miter"/>
                <v:imagedata o:title=""/>
                <o:lock v:ext="edit" aspectratio="f"/>
                <v:textbox>
                  <w:txbxContent>
                    <w:p w14:paraId="30F3F8B0">
                      <w:pPr>
                        <w:ind w:firstLine="0" w:firstLineChars="0"/>
                        <w:rPr>
                          <w:rFonts w:hint="default" w:eastAsia="宋体"/>
                          <w:color w:val="0000FF"/>
                          <w:lang w:val="en-US" w:eastAsia="zh-CN"/>
                        </w:rPr>
                      </w:pPr>
                      <w:r>
                        <w:rPr>
                          <w:rFonts w:hint="eastAsia"/>
                          <w:color w:val="0000FF"/>
                        </w:rPr>
                        <w:t>临时堆土场：</w:t>
                      </w:r>
                      <w:r>
                        <w:rPr>
                          <w:rFonts w:hint="eastAsia"/>
                          <w:color w:val="0000FF"/>
                          <w:lang w:val="en-US" w:eastAsia="zh-CN"/>
                        </w:rPr>
                        <w:t>基础开挖</w:t>
                      </w:r>
                      <w:r>
                        <w:rPr>
                          <w:rFonts w:hint="eastAsia"/>
                          <w:color w:val="0000FF"/>
                        </w:rPr>
                        <w:t>、回填、全面整地、</w:t>
                      </w:r>
                      <w:r>
                        <w:rPr>
                          <w:rFonts w:hint="eastAsia"/>
                          <w:color w:val="0000FF"/>
                          <w:lang w:val="en-US" w:eastAsia="zh-CN"/>
                        </w:rPr>
                        <w:t>设置临时排水沟、沉砂池等设施</w:t>
                      </w:r>
                    </w:p>
                  </w:txbxContent>
                </v:textbox>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2606675</wp:posOffset>
                </wp:positionH>
                <wp:positionV relativeFrom="paragraph">
                  <wp:posOffset>34290</wp:posOffset>
                </wp:positionV>
                <wp:extent cx="1414145" cy="1365250"/>
                <wp:effectExtent l="4445" t="4445" r="810260" b="20955"/>
                <wp:wrapNone/>
                <wp:docPr id="80" name="矩形标注 80"/>
                <wp:cNvGraphicFramePr/>
                <a:graphic xmlns:a="http://schemas.openxmlformats.org/drawingml/2006/main">
                  <a:graphicData uri="http://schemas.microsoft.com/office/word/2010/wordprocessingShape">
                    <wps:wsp>
                      <wps:cNvSpPr/>
                      <wps:spPr>
                        <a:xfrm>
                          <a:off x="0" y="0"/>
                          <a:ext cx="1414145" cy="1365250"/>
                        </a:xfrm>
                        <a:prstGeom prst="wedgeRectCallout">
                          <a:avLst>
                            <a:gd name="adj1" fmla="val 104827"/>
                            <a:gd name="adj2" fmla="val -7302"/>
                          </a:avLst>
                        </a:prstGeom>
                        <a:solidFill>
                          <a:srgbClr val="FFFFFF"/>
                        </a:solidFill>
                        <a:ln w="9525" cap="flat" cmpd="sng">
                          <a:solidFill>
                            <a:srgbClr val="000000"/>
                          </a:solidFill>
                          <a:prstDash val="solid"/>
                          <a:miter/>
                          <a:headEnd type="none" w="med" len="med"/>
                          <a:tailEnd type="none" w="med" len="med"/>
                        </a:ln>
                      </wps:spPr>
                      <wps:txbx>
                        <w:txbxContent>
                          <w:p w14:paraId="195B9CB1">
                            <w:pPr>
                              <w:ind w:firstLine="0" w:firstLineChars="0"/>
                            </w:pPr>
                            <w:r>
                              <w:rPr>
                                <w:rFonts w:hint="eastAsia"/>
                              </w:rPr>
                              <w:t>施工便道：表土剥离、表土回填、全面整地、撒播种草、编织袋土工程</w:t>
                            </w:r>
                          </w:p>
                        </w:txbxContent>
                      </wps:txbx>
                      <wps:bodyPr upright="1"/>
                    </wps:wsp>
                  </a:graphicData>
                </a:graphic>
              </wp:anchor>
            </w:drawing>
          </mc:Choice>
          <mc:Fallback>
            <w:pict>
              <v:shape id="_x0000_s1026" o:spid="_x0000_s1026" o:spt="61" type="#_x0000_t61" style="position:absolute;left:0pt;margin-left:205.25pt;margin-top:2.7pt;height:107.5pt;width:111.35pt;z-index:251692032;mso-width-relative:page;mso-height-relative:page;" fillcolor="#FFFFFF" filled="t" stroked="t" coordsize="21600,21600" o:gfxdata="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M+nTUHbAAAACQEAAA8AAAAAAAAAAQAgAAAAIgAAAGRycy9k&#10;b3ducmV2LnhtbFBLAQIUABQAAAAIAIdO4kC4HgMLOAIAAJAEAAAOAAAAAAAAAAEAIAAAACoBAABk&#10;cnMvZTJvRG9jLnhtbFBLBQYAAAAABgAGAFkBAADUBQAAAAA=&#10;" adj="33443,9223">
                <v:fill on="t" focussize="0,0"/>
                <v:stroke color="#000000" joinstyle="miter"/>
                <v:imagedata o:title=""/>
                <o:lock v:ext="edit" aspectratio="f"/>
                <v:textbox>
                  <w:txbxContent>
                    <w:p w14:paraId="195B9CB1">
                      <w:pPr>
                        <w:ind w:firstLine="0" w:firstLineChars="0"/>
                      </w:pPr>
                      <w:r>
                        <w:rPr>
                          <w:rFonts w:hint="eastAsia"/>
                        </w:rPr>
                        <w:t>施工便道：表土剥离、表土回填、全面整地、撒播种草、编织袋土工程</w:t>
                      </w:r>
                    </w:p>
                  </w:txbxContent>
                </v:textbox>
              </v:shape>
            </w:pict>
          </mc:Fallback>
        </mc:AlternateContent>
      </w:r>
      <w:r>
        <w:drawing>
          <wp:anchor distT="0" distB="0" distL="114300" distR="114300" simplePos="0" relativeHeight="251697152" behindDoc="0" locked="0" layoutInCell="1" allowOverlap="1">
            <wp:simplePos x="0" y="0"/>
            <wp:positionH relativeFrom="column">
              <wp:posOffset>6511925</wp:posOffset>
            </wp:positionH>
            <wp:positionV relativeFrom="paragraph">
              <wp:posOffset>5080</wp:posOffset>
            </wp:positionV>
            <wp:extent cx="552450" cy="638175"/>
            <wp:effectExtent l="0" t="0" r="0" b="9525"/>
            <wp:wrapNone/>
            <wp:docPr id="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3"/>
                    <pic:cNvPicPr>
                      <a:picLocks noChangeAspect="1"/>
                    </pic:cNvPicPr>
                  </pic:nvPicPr>
                  <pic:blipFill>
                    <a:blip r:embed="rId48"/>
                    <a:srcRect l="2942" t="5263" r="11765" b="6580"/>
                    <a:stretch>
                      <a:fillRect/>
                    </a:stretch>
                  </pic:blipFill>
                  <pic:spPr>
                    <a:xfrm>
                      <a:off x="0" y="0"/>
                      <a:ext cx="552450" cy="638175"/>
                    </a:xfrm>
                    <a:prstGeom prst="rect">
                      <a:avLst/>
                    </a:prstGeom>
                    <a:noFill/>
                    <a:ln>
                      <a:noFill/>
                    </a:ln>
                  </pic:spPr>
                </pic:pic>
              </a:graphicData>
            </a:graphic>
          </wp:anchor>
        </w:drawing>
      </w:r>
      <w:r>
        <w:drawing>
          <wp:inline distT="0" distB="0" distL="114300" distR="114300">
            <wp:extent cx="5269865" cy="4341495"/>
            <wp:effectExtent l="0" t="0" r="6985" b="1905"/>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54"/>
                    <a:stretch>
                      <a:fillRect/>
                    </a:stretch>
                  </pic:blipFill>
                  <pic:spPr>
                    <a:xfrm>
                      <a:off x="0" y="0"/>
                      <a:ext cx="5269865" cy="4341495"/>
                    </a:xfrm>
                    <a:prstGeom prst="rect">
                      <a:avLst/>
                    </a:prstGeom>
                    <a:noFill/>
                    <a:ln>
                      <a:noFill/>
                    </a:ln>
                  </pic:spPr>
                </pic:pic>
              </a:graphicData>
            </a:graphic>
          </wp:inline>
        </w:drawing>
      </w:r>
    </w:p>
    <w:p w14:paraId="77A8F120">
      <w:pPr>
        <w:pStyle w:val="2"/>
        <w:ind w:left="0" w:firstLine="0" w:firstLineChars="0"/>
        <w:rPr>
          <w:b w:val="0"/>
          <w:bCs w:val="0"/>
        </w:rPr>
      </w:pPr>
      <w:bookmarkStart w:id="28" w:name="_Toc2247"/>
      <w:r>
        <w:rPr>
          <w:b w:val="0"/>
          <w:bCs w:val="0"/>
        </w:rPr>
        <w:t>附件1 营业执照</w:t>
      </w:r>
      <w:bookmarkEnd w:id="28"/>
    </w:p>
    <w:p w14:paraId="27374220">
      <w:pPr>
        <w:ind w:firstLine="0" w:firstLineChars="0"/>
        <w:jc w:val="center"/>
        <w:sectPr>
          <w:pgSz w:w="16838" w:h="11906" w:orient="landscape"/>
          <w:pgMar w:top="1803" w:right="1418" w:bottom="1803" w:left="1418" w:header="369" w:footer="992" w:gutter="0"/>
          <w:pgBorders>
            <w:top w:val="none" w:sz="0" w:space="0"/>
            <w:left w:val="none" w:sz="0" w:space="0"/>
            <w:bottom w:val="none" w:sz="0" w:space="0"/>
            <w:right w:val="none" w:sz="0" w:space="0"/>
          </w:pgBorders>
          <w:cols w:space="720" w:num="1"/>
          <w:docGrid w:type="lines" w:linePitch="360" w:charSpace="0"/>
        </w:sectPr>
      </w:pPr>
      <w:r>
        <w:drawing>
          <wp:inline distT="0" distB="0" distL="114300" distR="114300">
            <wp:extent cx="7336155" cy="4700270"/>
            <wp:effectExtent l="0" t="0" r="17145" b="5080"/>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55"/>
                    <a:stretch>
                      <a:fillRect/>
                    </a:stretch>
                  </pic:blipFill>
                  <pic:spPr>
                    <a:xfrm>
                      <a:off x="0" y="0"/>
                      <a:ext cx="7336155" cy="4700270"/>
                    </a:xfrm>
                    <a:prstGeom prst="rect">
                      <a:avLst/>
                    </a:prstGeom>
                    <a:noFill/>
                    <a:ln>
                      <a:noFill/>
                    </a:ln>
                  </pic:spPr>
                </pic:pic>
              </a:graphicData>
            </a:graphic>
          </wp:inline>
        </w:drawing>
      </w:r>
    </w:p>
    <w:p w14:paraId="0DF095E0">
      <w:pPr>
        <w:pStyle w:val="2"/>
        <w:ind w:left="0" w:firstLine="0" w:firstLineChars="0"/>
        <w:rPr>
          <w:b w:val="0"/>
          <w:bCs w:val="0"/>
          <w:color w:val="0000FF"/>
        </w:rPr>
      </w:pPr>
      <w:bookmarkStart w:id="29" w:name="_Toc19281"/>
      <w:r>
        <w:rPr>
          <w:rFonts w:hint="eastAsia"/>
          <w:b w:val="0"/>
          <w:bCs w:val="0"/>
          <w:color w:val="0000FF"/>
        </w:rPr>
        <w:t>附件2 监测报告</w:t>
      </w:r>
      <w:bookmarkEnd w:id="29"/>
    </w:p>
    <w:p w14:paraId="61B27A74">
      <w:pPr>
        <w:ind w:firstLine="0" w:firstLineChars="0"/>
        <w:jc w:val="center"/>
      </w:pPr>
      <w:r>
        <w:drawing>
          <wp:inline distT="0" distB="0" distL="114300" distR="114300">
            <wp:extent cx="5267960" cy="7441565"/>
            <wp:effectExtent l="0" t="0" r="8890" b="698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56"/>
                    <a:stretch>
                      <a:fillRect/>
                    </a:stretch>
                  </pic:blipFill>
                  <pic:spPr>
                    <a:xfrm>
                      <a:off x="0" y="0"/>
                      <a:ext cx="5267960" cy="7441565"/>
                    </a:xfrm>
                    <a:prstGeom prst="rect">
                      <a:avLst/>
                    </a:prstGeom>
                    <a:noFill/>
                    <a:ln>
                      <a:noFill/>
                    </a:ln>
                  </pic:spPr>
                </pic:pic>
              </a:graphicData>
            </a:graphic>
          </wp:inline>
        </w:drawing>
      </w:r>
      <w:r>
        <w:drawing>
          <wp:inline distT="0" distB="0" distL="114300" distR="114300">
            <wp:extent cx="5267960" cy="7450455"/>
            <wp:effectExtent l="0" t="0" r="8890" b="17145"/>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57"/>
                    <a:stretch>
                      <a:fillRect/>
                    </a:stretch>
                  </pic:blipFill>
                  <pic:spPr>
                    <a:xfrm>
                      <a:off x="0" y="0"/>
                      <a:ext cx="5267960" cy="7450455"/>
                    </a:xfrm>
                    <a:prstGeom prst="rect">
                      <a:avLst/>
                    </a:prstGeom>
                    <a:noFill/>
                    <a:ln>
                      <a:noFill/>
                    </a:ln>
                  </pic:spPr>
                </pic:pic>
              </a:graphicData>
            </a:graphic>
          </wp:inline>
        </w:drawing>
      </w:r>
      <w:r>
        <w:drawing>
          <wp:inline distT="0" distB="0" distL="114300" distR="114300">
            <wp:extent cx="5267960" cy="7423785"/>
            <wp:effectExtent l="0" t="0" r="8890" b="571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58"/>
                    <a:stretch>
                      <a:fillRect/>
                    </a:stretch>
                  </pic:blipFill>
                  <pic:spPr>
                    <a:xfrm>
                      <a:off x="0" y="0"/>
                      <a:ext cx="5267960" cy="7423785"/>
                    </a:xfrm>
                    <a:prstGeom prst="rect">
                      <a:avLst/>
                    </a:prstGeom>
                    <a:noFill/>
                    <a:ln>
                      <a:noFill/>
                    </a:ln>
                  </pic:spPr>
                </pic:pic>
              </a:graphicData>
            </a:graphic>
          </wp:inline>
        </w:drawing>
      </w:r>
      <w:r>
        <w:drawing>
          <wp:inline distT="0" distB="0" distL="114300" distR="114300">
            <wp:extent cx="5269865" cy="7457440"/>
            <wp:effectExtent l="0" t="0" r="6985" b="1016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59"/>
                    <a:stretch>
                      <a:fillRect/>
                    </a:stretch>
                  </pic:blipFill>
                  <pic:spPr>
                    <a:xfrm>
                      <a:off x="0" y="0"/>
                      <a:ext cx="5269865" cy="7457440"/>
                    </a:xfrm>
                    <a:prstGeom prst="rect">
                      <a:avLst/>
                    </a:prstGeom>
                    <a:noFill/>
                    <a:ln>
                      <a:noFill/>
                    </a:ln>
                  </pic:spPr>
                </pic:pic>
              </a:graphicData>
            </a:graphic>
          </wp:inline>
        </w:drawing>
      </w:r>
      <w:r>
        <w:drawing>
          <wp:inline distT="0" distB="0" distL="114300" distR="114300">
            <wp:extent cx="5269865" cy="7439025"/>
            <wp:effectExtent l="0" t="0" r="6985" b="952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60"/>
                    <a:stretch>
                      <a:fillRect/>
                    </a:stretch>
                  </pic:blipFill>
                  <pic:spPr>
                    <a:xfrm>
                      <a:off x="0" y="0"/>
                      <a:ext cx="5269865" cy="7439025"/>
                    </a:xfrm>
                    <a:prstGeom prst="rect">
                      <a:avLst/>
                    </a:prstGeom>
                    <a:noFill/>
                    <a:ln>
                      <a:noFill/>
                    </a:ln>
                  </pic:spPr>
                </pic:pic>
              </a:graphicData>
            </a:graphic>
          </wp:inline>
        </w:drawing>
      </w:r>
    </w:p>
    <w:p w14:paraId="1710AA4E">
      <w:pPr>
        <w:ind w:firstLine="0" w:firstLineChars="0"/>
        <w:jc w:val="center"/>
      </w:pPr>
    </w:p>
    <w:p w14:paraId="756236F8">
      <w:pPr>
        <w:ind w:firstLine="0" w:firstLineChars="0"/>
        <w:jc w:val="center"/>
        <w:sectPr>
          <w:pgSz w:w="11906" w:h="16838"/>
          <w:pgMar w:top="1418" w:right="1803" w:bottom="1418" w:left="1803" w:header="369" w:footer="992" w:gutter="0"/>
          <w:pgBorders>
            <w:top w:val="none" w:sz="0" w:space="0"/>
            <w:left w:val="none" w:sz="0" w:space="0"/>
            <w:bottom w:val="none" w:sz="0" w:space="0"/>
            <w:right w:val="none" w:sz="0" w:space="0"/>
          </w:pgBorders>
          <w:cols w:space="720" w:num="1"/>
          <w:docGrid w:type="lines" w:linePitch="360" w:charSpace="0"/>
        </w:sectPr>
      </w:pPr>
    </w:p>
    <w:p w14:paraId="53E3B09E">
      <w:pPr>
        <w:pStyle w:val="2"/>
        <w:ind w:left="0" w:firstLine="0" w:firstLineChars="0"/>
        <w:rPr>
          <w:b w:val="0"/>
          <w:bCs w:val="0"/>
        </w:rPr>
      </w:pPr>
      <w:bookmarkStart w:id="30" w:name="_Toc15172"/>
      <w:r>
        <w:rPr>
          <w:rFonts w:hint="eastAsia"/>
          <w:b w:val="0"/>
          <w:bCs w:val="0"/>
        </w:rPr>
        <w:t>附件3 生态环境分区管控分析报告</w:t>
      </w:r>
      <w:bookmarkEnd w:id="30"/>
    </w:p>
    <w:p w14:paraId="60FB8639">
      <w:pPr>
        <w:ind w:firstLine="0" w:firstLineChars="0"/>
        <w:jc w:val="center"/>
      </w:pPr>
      <w:r>
        <w:drawing>
          <wp:inline distT="0" distB="0" distL="114300" distR="114300">
            <wp:extent cx="5269865" cy="3721100"/>
            <wp:effectExtent l="0" t="0" r="6985" b="12700"/>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61"/>
                    <a:stretch>
                      <a:fillRect/>
                    </a:stretch>
                  </pic:blipFill>
                  <pic:spPr>
                    <a:xfrm>
                      <a:off x="0" y="0"/>
                      <a:ext cx="5269865" cy="3721100"/>
                    </a:xfrm>
                    <a:prstGeom prst="rect">
                      <a:avLst/>
                    </a:prstGeom>
                    <a:noFill/>
                    <a:ln>
                      <a:noFill/>
                    </a:ln>
                  </pic:spPr>
                </pic:pic>
              </a:graphicData>
            </a:graphic>
          </wp:inline>
        </w:drawing>
      </w:r>
      <w:r>
        <w:drawing>
          <wp:inline distT="0" distB="0" distL="114300" distR="114300">
            <wp:extent cx="5263515" cy="3733800"/>
            <wp:effectExtent l="0" t="0" r="13335" b="0"/>
            <wp:docPr id="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
                    <pic:cNvPicPr>
                      <a:picLocks noChangeAspect="1"/>
                    </pic:cNvPicPr>
                  </pic:nvPicPr>
                  <pic:blipFill>
                    <a:blip r:embed="rId62"/>
                    <a:stretch>
                      <a:fillRect/>
                    </a:stretch>
                  </pic:blipFill>
                  <pic:spPr>
                    <a:xfrm>
                      <a:off x="0" y="0"/>
                      <a:ext cx="5263515" cy="3733800"/>
                    </a:xfrm>
                    <a:prstGeom prst="rect">
                      <a:avLst/>
                    </a:prstGeom>
                    <a:noFill/>
                    <a:ln>
                      <a:noFill/>
                    </a:ln>
                  </pic:spPr>
                </pic:pic>
              </a:graphicData>
            </a:graphic>
          </wp:inline>
        </w:drawing>
      </w:r>
      <w:r>
        <w:drawing>
          <wp:inline distT="0" distB="0" distL="114300" distR="114300">
            <wp:extent cx="5265420" cy="3738880"/>
            <wp:effectExtent l="0" t="0" r="11430" b="13970"/>
            <wp:docPr id="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2"/>
                    <pic:cNvPicPr>
                      <a:picLocks noChangeAspect="1"/>
                    </pic:cNvPicPr>
                  </pic:nvPicPr>
                  <pic:blipFill>
                    <a:blip r:embed="rId63"/>
                    <a:stretch>
                      <a:fillRect/>
                    </a:stretch>
                  </pic:blipFill>
                  <pic:spPr>
                    <a:xfrm>
                      <a:off x="0" y="0"/>
                      <a:ext cx="5265420" cy="3738880"/>
                    </a:xfrm>
                    <a:prstGeom prst="rect">
                      <a:avLst/>
                    </a:prstGeom>
                    <a:noFill/>
                    <a:ln>
                      <a:noFill/>
                    </a:ln>
                  </pic:spPr>
                </pic:pic>
              </a:graphicData>
            </a:graphic>
          </wp:inline>
        </w:drawing>
      </w:r>
      <w:r>
        <w:drawing>
          <wp:inline distT="0" distB="0" distL="114300" distR="114300">
            <wp:extent cx="5265420" cy="3733165"/>
            <wp:effectExtent l="0" t="0" r="11430" b="635"/>
            <wp:docPr id="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3"/>
                    <pic:cNvPicPr>
                      <a:picLocks noChangeAspect="1"/>
                    </pic:cNvPicPr>
                  </pic:nvPicPr>
                  <pic:blipFill>
                    <a:blip r:embed="rId64"/>
                    <a:stretch>
                      <a:fillRect/>
                    </a:stretch>
                  </pic:blipFill>
                  <pic:spPr>
                    <a:xfrm>
                      <a:off x="0" y="0"/>
                      <a:ext cx="5265420" cy="3733165"/>
                    </a:xfrm>
                    <a:prstGeom prst="rect">
                      <a:avLst/>
                    </a:prstGeom>
                    <a:noFill/>
                    <a:ln>
                      <a:noFill/>
                    </a:ln>
                  </pic:spPr>
                </pic:pic>
              </a:graphicData>
            </a:graphic>
          </wp:inline>
        </w:drawing>
      </w:r>
      <w:r>
        <w:drawing>
          <wp:inline distT="0" distB="0" distL="114300" distR="114300">
            <wp:extent cx="5269865" cy="3714750"/>
            <wp:effectExtent l="0" t="0" r="6985" b="0"/>
            <wp:docPr id="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4"/>
                    <pic:cNvPicPr>
                      <a:picLocks noChangeAspect="1"/>
                    </pic:cNvPicPr>
                  </pic:nvPicPr>
                  <pic:blipFill>
                    <a:blip r:embed="rId65"/>
                    <a:stretch>
                      <a:fillRect/>
                    </a:stretch>
                  </pic:blipFill>
                  <pic:spPr>
                    <a:xfrm>
                      <a:off x="0" y="0"/>
                      <a:ext cx="5269865" cy="3714750"/>
                    </a:xfrm>
                    <a:prstGeom prst="rect">
                      <a:avLst/>
                    </a:prstGeom>
                    <a:noFill/>
                    <a:ln>
                      <a:noFill/>
                    </a:ln>
                  </pic:spPr>
                </pic:pic>
              </a:graphicData>
            </a:graphic>
          </wp:inline>
        </w:drawing>
      </w:r>
      <w:r>
        <w:drawing>
          <wp:inline distT="0" distB="0" distL="114300" distR="114300">
            <wp:extent cx="5269865" cy="3733800"/>
            <wp:effectExtent l="0" t="0" r="6985" b="0"/>
            <wp:docPr id="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
                    <pic:cNvPicPr>
                      <a:picLocks noChangeAspect="1"/>
                    </pic:cNvPicPr>
                  </pic:nvPicPr>
                  <pic:blipFill>
                    <a:blip r:embed="rId66"/>
                    <a:stretch>
                      <a:fillRect/>
                    </a:stretch>
                  </pic:blipFill>
                  <pic:spPr>
                    <a:xfrm>
                      <a:off x="0" y="0"/>
                      <a:ext cx="5269865" cy="3733800"/>
                    </a:xfrm>
                    <a:prstGeom prst="rect">
                      <a:avLst/>
                    </a:prstGeom>
                    <a:noFill/>
                    <a:ln>
                      <a:noFill/>
                    </a:ln>
                  </pic:spPr>
                </pic:pic>
              </a:graphicData>
            </a:graphic>
          </wp:inline>
        </w:drawing>
      </w:r>
      <w:r>
        <w:drawing>
          <wp:inline distT="0" distB="0" distL="114300" distR="114300">
            <wp:extent cx="5263515" cy="3714750"/>
            <wp:effectExtent l="0" t="0" r="13335" b="0"/>
            <wp:docPr id="9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6"/>
                    <pic:cNvPicPr>
                      <a:picLocks noChangeAspect="1"/>
                    </pic:cNvPicPr>
                  </pic:nvPicPr>
                  <pic:blipFill>
                    <a:blip r:embed="rId67"/>
                    <a:stretch>
                      <a:fillRect/>
                    </a:stretch>
                  </pic:blipFill>
                  <pic:spPr>
                    <a:xfrm>
                      <a:off x="0" y="0"/>
                      <a:ext cx="5263515" cy="3714750"/>
                    </a:xfrm>
                    <a:prstGeom prst="rect">
                      <a:avLst/>
                    </a:prstGeom>
                    <a:noFill/>
                    <a:ln>
                      <a:noFill/>
                    </a:ln>
                  </pic:spPr>
                </pic:pic>
              </a:graphicData>
            </a:graphic>
          </wp:inline>
        </w:drawing>
      </w:r>
      <w:r>
        <w:drawing>
          <wp:inline distT="0" distB="0" distL="114300" distR="114300">
            <wp:extent cx="5263515" cy="3714750"/>
            <wp:effectExtent l="0" t="0" r="13335" b="0"/>
            <wp:docPr id="9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7"/>
                    <pic:cNvPicPr>
                      <a:picLocks noChangeAspect="1"/>
                    </pic:cNvPicPr>
                  </pic:nvPicPr>
                  <pic:blipFill>
                    <a:blip r:embed="rId68"/>
                    <a:stretch>
                      <a:fillRect/>
                    </a:stretch>
                  </pic:blipFill>
                  <pic:spPr>
                    <a:xfrm>
                      <a:off x="0" y="0"/>
                      <a:ext cx="5263515" cy="3714750"/>
                    </a:xfrm>
                    <a:prstGeom prst="rect">
                      <a:avLst/>
                    </a:prstGeom>
                    <a:noFill/>
                    <a:ln>
                      <a:noFill/>
                    </a:ln>
                  </pic:spPr>
                </pic:pic>
              </a:graphicData>
            </a:graphic>
          </wp:inline>
        </w:drawing>
      </w:r>
      <w:r>
        <w:drawing>
          <wp:inline distT="0" distB="0" distL="114300" distR="114300">
            <wp:extent cx="5263515" cy="3721100"/>
            <wp:effectExtent l="0" t="0" r="13335" b="12700"/>
            <wp:docPr id="10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8"/>
                    <pic:cNvPicPr>
                      <a:picLocks noChangeAspect="1"/>
                    </pic:cNvPicPr>
                  </pic:nvPicPr>
                  <pic:blipFill>
                    <a:blip r:embed="rId69"/>
                    <a:stretch>
                      <a:fillRect/>
                    </a:stretch>
                  </pic:blipFill>
                  <pic:spPr>
                    <a:xfrm>
                      <a:off x="0" y="0"/>
                      <a:ext cx="5263515" cy="3721100"/>
                    </a:xfrm>
                    <a:prstGeom prst="rect">
                      <a:avLst/>
                    </a:prstGeom>
                    <a:noFill/>
                    <a:ln>
                      <a:noFill/>
                    </a:ln>
                  </pic:spPr>
                </pic:pic>
              </a:graphicData>
            </a:graphic>
          </wp:inline>
        </w:drawing>
      </w:r>
      <w:r>
        <w:drawing>
          <wp:inline distT="0" distB="0" distL="114300" distR="114300">
            <wp:extent cx="5266690" cy="3731895"/>
            <wp:effectExtent l="0" t="0" r="10160" b="1905"/>
            <wp:docPr id="1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9"/>
                    <pic:cNvPicPr>
                      <a:picLocks noChangeAspect="1"/>
                    </pic:cNvPicPr>
                  </pic:nvPicPr>
                  <pic:blipFill>
                    <a:blip r:embed="rId70"/>
                    <a:stretch>
                      <a:fillRect/>
                    </a:stretch>
                  </pic:blipFill>
                  <pic:spPr>
                    <a:xfrm>
                      <a:off x="0" y="0"/>
                      <a:ext cx="5266690" cy="3731895"/>
                    </a:xfrm>
                    <a:prstGeom prst="rect">
                      <a:avLst/>
                    </a:prstGeom>
                    <a:noFill/>
                    <a:ln>
                      <a:noFill/>
                    </a:ln>
                  </pic:spPr>
                </pic:pic>
              </a:graphicData>
            </a:graphic>
          </wp:inline>
        </w:drawing>
      </w:r>
      <w:r>
        <w:drawing>
          <wp:inline distT="0" distB="0" distL="114300" distR="114300">
            <wp:extent cx="5266690" cy="3744595"/>
            <wp:effectExtent l="0" t="0" r="10160" b="8255"/>
            <wp:docPr id="1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0"/>
                    <pic:cNvPicPr>
                      <a:picLocks noChangeAspect="1"/>
                    </pic:cNvPicPr>
                  </pic:nvPicPr>
                  <pic:blipFill>
                    <a:blip r:embed="rId71"/>
                    <a:stretch>
                      <a:fillRect/>
                    </a:stretch>
                  </pic:blipFill>
                  <pic:spPr>
                    <a:xfrm>
                      <a:off x="0" y="0"/>
                      <a:ext cx="5266690" cy="3744595"/>
                    </a:xfrm>
                    <a:prstGeom prst="rect">
                      <a:avLst/>
                    </a:prstGeom>
                    <a:noFill/>
                    <a:ln>
                      <a:noFill/>
                    </a:ln>
                  </pic:spPr>
                </pic:pic>
              </a:graphicData>
            </a:graphic>
          </wp:inline>
        </w:drawing>
      </w:r>
      <w:r>
        <w:drawing>
          <wp:inline distT="0" distB="0" distL="114300" distR="114300">
            <wp:extent cx="5269865" cy="3708400"/>
            <wp:effectExtent l="0" t="0" r="6985" b="6350"/>
            <wp:docPr id="1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1"/>
                    <pic:cNvPicPr>
                      <a:picLocks noChangeAspect="1"/>
                    </pic:cNvPicPr>
                  </pic:nvPicPr>
                  <pic:blipFill>
                    <a:blip r:embed="rId72"/>
                    <a:stretch>
                      <a:fillRect/>
                    </a:stretch>
                  </pic:blipFill>
                  <pic:spPr>
                    <a:xfrm>
                      <a:off x="0" y="0"/>
                      <a:ext cx="5269865" cy="3708400"/>
                    </a:xfrm>
                    <a:prstGeom prst="rect">
                      <a:avLst/>
                    </a:prstGeom>
                    <a:noFill/>
                    <a:ln>
                      <a:noFill/>
                    </a:ln>
                  </pic:spPr>
                </pic:pic>
              </a:graphicData>
            </a:graphic>
          </wp:inline>
        </w:drawing>
      </w:r>
    </w:p>
    <w:p w14:paraId="70D2EEE6">
      <w:pPr>
        <w:ind w:firstLine="0" w:firstLineChars="0"/>
        <w:jc w:val="both"/>
      </w:pPr>
    </w:p>
    <w:p w14:paraId="6723E058">
      <w:pPr>
        <w:ind w:firstLine="0" w:firstLineChars="0"/>
        <w:jc w:val="center"/>
      </w:pPr>
    </w:p>
    <w:p w14:paraId="7DCA849D">
      <w:pPr>
        <w:ind w:firstLine="0" w:firstLineChars="0"/>
        <w:jc w:val="center"/>
        <w:sectPr>
          <w:pgSz w:w="11906" w:h="16838"/>
          <w:pgMar w:top="1418" w:right="1803" w:bottom="1418" w:left="1803" w:header="369" w:footer="992" w:gutter="0"/>
          <w:pgBorders>
            <w:top w:val="none" w:sz="0" w:space="0"/>
            <w:left w:val="none" w:sz="0" w:space="0"/>
            <w:bottom w:val="none" w:sz="0" w:space="0"/>
            <w:right w:val="none" w:sz="0" w:space="0"/>
          </w:pgBorders>
          <w:cols w:space="720" w:num="1"/>
          <w:docGrid w:type="lines" w:linePitch="360" w:charSpace="0"/>
        </w:sectPr>
      </w:pPr>
    </w:p>
    <w:p w14:paraId="5D4E8307">
      <w:pPr>
        <w:pStyle w:val="2"/>
        <w:ind w:left="0" w:firstLine="0" w:firstLineChars="0"/>
        <w:rPr>
          <w:b w:val="0"/>
          <w:bCs w:val="0"/>
          <w:color w:val="0000FF"/>
        </w:rPr>
      </w:pPr>
      <w:bookmarkStart w:id="31" w:name="_Toc29291"/>
      <w:r>
        <w:rPr>
          <w:rFonts w:hint="eastAsia"/>
          <w:b w:val="0"/>
          <w:bCs w:val="0"/>
          <w:color w:val="0000FF"/>
        </w:rPr>
        <w:t>附件4 转让合同</w:t>
      </w:r>
      <w:bookmarkEnd w:id="31"/>
    </w:p>
    <w:p w14:paraId="28059775">
      <w:pPr>
        <w:ind w:firstLine="0" w:firstLineChars="0"/>
      </w:pPr>
      <w:r>
        <w:drawing>
          <wp:inline distT="0" distB="0" distL="114300" distR="114300">
            <wp:extent cx="5266690" cy="5725160"/>
            <wp:effectExtent l="0" t="0" r="10160" b="8890"/>
            <wp:docPr id="2" name="图片 2" descr="ca6b6f588fe8b60d86ecae52d9afa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a6b6f588fe8b60d86ecae52d9afa72"/>
                    <pic:cNvPicPr>
                      <a:picLocks noChangeAspect="1"/>
                    </pic:cNvPicPr>
                  </pic:nvPicPr>
                  <pic:blipFill>
                    <a:blip r:embed="rId73"/>
                    <a:stretch>
                      <a:fillRect/>
                    </a:stretch>
                  </pic:blipFill>
                  <pic:spPr>
                    <a:xfrm>
                      <a:off x="0" y="0"/>
                      <a:ext cx="5266690" cy="5725160"/>
                    </a:xfrm>
                    <a:prstGeom prst="rect">
                      <a:avLst/>
                    </a:prstGeom>
                  </pic:spPr>
                </pic:pic>
              </a:graphicData>
            </a:graphic>
          </wp:inline>
        </w:drawing>
      </w:r>
    </w:p>
    <w:sectPr>
      <w:pgSz w:w="11906" w:h="16838"/>
      <w:pgMar w:top="1418" w:right="1803" w:bottom="1418" w:left="1803" w:header="369" w:footer="992" w:gutter="0"/>
      <w:pgBorders>
        <w:top w:val="none" w:sz="0" w:space="0"/>
        <w:left w:val="none" w:sz="0" w:space="0"/>
        <w:bottom w:val="none" w:sz="0" w:space="0"/>
        <w:right w:val="none" w:sz="0" w:space="0"/>
      </w:pgBorders>
      <w:cols w:space="720" w:num="1"/>
      <w:docGrid w:type="lines"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汉仪仿宋简">
    <w:altName w:val="宋体"/>
    <w:panose1 w:val="00000000000000000000"/>
    <w:charset w:val="86"/>
    <w:family w:val="decorative"/>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E6D07D">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9B39CA">
    <w:pPr>
      <w:pStyle w:val="15"/>
      <w:framePr w:wrap="around" w:vAnchor="text" w:hAnchor="margin" w:xAlign="outside" w:y="1"/>
      <w:ind w:firstLine="360"/>
      <w:rPr>
        <w:rStyle w:val="28"/>
      </w:rPr>
    </w:pPr>
    <w:r>
      <w:rPr>
        <w:rStyle w:val="28"/>
      </w:rPr>
      <w:fldChar w:fldCharType="begin"/>
    </w:r>
    <w:r>
      <w:rPr>
        <w:rStyle w:val="28"/>
      </w:rPr>
      <w:instrText xml:space="preserve">PAGE  </w:instrText>
    </w:r>
    <w:r>
      <w:rPr>
        <w:rStyle w:val="28"/>
      </w:rPr>
      <w:fldChar w:fldCharType="end"/>
    </w:r>
  </w:p>
  <w:p w14:paraId="2704F3D8">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6B85F3">
    <w:pPr>
      <w:pStyle w:val="15"/>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C335B6">
                          <w:pPr>
                            <w:pStyle w:val="15"/>
                            <w:ind w:firstLine="360"/>
                          </w:pPr>
                          <w:r>
                            <w:fldChar w:fldCharType="begin"/>
                          </w:r>
                          <w:r>
                            <w:instrText xml:space="preserve"> PAGE  \* MERGEFORMAT </w:instrText>
                          </w:r>
                          <w:r>
                            <w:fldChar w:fldCharType="separate"/>
                          </w:r>
                          <w:r>
                            <w:t>72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14:paraId="77C335B6">
                    <w:pPr>
                      <w:pStyle w:val="15"/>
                      <w:ind w:firstLine="360"/>
                    </w:pPr>
                    <w:r>
                      <w:fldChar w:fldCharType="begin"/>
                    </w:r>
                    <w:r>
                      <w:instrText xml:space="preserve"> PAGE  \* MERGEFORMAT </w:instrText>
                    </w:r>
                    <w:r>
                      <w:fldChar w:fldCharType="separate"/>
                    </w:r>
                    <w:r>
                      <w:t>72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8BD2FD">
    <w:pPr>
      <w:pStyle w:val="15"/>
      <w:ind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64DF0E">
                          <w:pPr>
                            <w:pStyle w:val="15"/>
                            <w:ind w:firstLine="360"/>
                          </w:pPr>
                          <w:r>
                            <w:fldChar w:fldCharType="begin"/>
                          </w:r>
                          <w:r>
                            <w:instrText xml:space="preserve"> PAGE  \* MERGEFORMAT </w:instrText>
                          </w:r>
                          <w:r>
                            <w:fldChar w:fldCharType="separate"/>
                          </w:r>
                          <w:r>
                            <w:t>110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zM9X0tAgAAVwQAAA4AAABkcnMvZTJvRG9jLnhtbK1UzY7TMBC+I/EO&#10;lu80aVcs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LzM9X0tAgAAVwQAAA4AAAAAAAAAAQAgAAAAHwEAAGRycy9lMm9Eb2MueG1sUEsFBgAAAAAG&#10;AAYAWQEAAL4FAAAAAA==&#10;">
              <v:fill on="f" focussize="0,0"/>
              <v:stroke on="f" weight="0.5pt"/>
              <v:imagedata o:title=""/>
              <o:lock v:ext="edit" aspectratio="f"/>
              <v:textbox inset="0mm,0mm,0mm,0mm" style="mso-fit-shape-to-text:t;">
                <w:txbxContent>
                  <w:p w14:paraId="2264DF0E">
                    <w:pPr>
                      <w:pStyle w:val="15"/>
                      <w:ind w:firstLine="360"/>
                    </w:pPr>
                    <w:r>
                      <w:fldChar w:fldCharType="begin"/>
                    </w:r>
                    <w:r>
                      <w:instrText xml:space="preserve"> PAGE  \* MERGEFORMAT </w:instrText>
                    </w:r>
                    <w:r>
                      <w:fldChar w:fldCharType="separate"/>
                    </w:r>
                    <w:r>
                      <w:t>110</w:t>
                    </w:r>
                    <w:r>
                      <w:fldChar w:fldCharType="end"/>
                    </w:r>
                  </w:p>
                </w:txbxContent>
              </v:textbox>
            </v:shape>
          </w:pict>
        </mc:Fallback>
      </mc:AlternateContent>
    </w:r>
  </w:p>
  <w:p w14:paraId="042A3AA3">
    <w:pPr>
      <w:pStyle w:val="15"/>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D67D1D7"/>
    <w:multiLevelType w:val="singleLevel"/>
    <w:tmpl w:val="9D67D1D7"/>
    <w:lvl w:ilvl="0" w:tentative="0">
      <w:start w:val="4"/>
      <w:numFmt w:val="decimal"/>
      <w:suff w:val="nothing"/>
      <w:lvlText w:val="（%1）"/>
      <w:lvlJc w:val="left"/>
    </w:lvl>
  </w:abstractNum>
  <w:abstractNum w:abstractNumId="1">
    <w:nsid w:val="36F6D613"/>
    <w:multiLevelType w:val="singleLevel"/>
    <w:tmpl w:val="36F6D613"/>
    <w:lvl w:ilvl="0" w:tentative="0">
      <w:start w:val="5"/>
      <w:numFmt w:val="decimal"/>
      <w:suff w:val="nothing"/>
      <w:lvlText w:val="%1）"/>
      <w:lvlJc w:val="left"/>
    </w:lvl>
  </w:abstractNum>
  <w:abstractNum w:abstractNumId="2">
    <w:nsid w:val="58C20EEC"/>
    <w:multiLevelType w:val="multilevel"/>
    <w:tmpl w:val="58C20EEC"/>
    <w:lvl w:ilvl="0" w:tentative="0">
      <w:start w:val="1"/>
      <w:numFmt w:val="chineseCounting"/>
      <w:suff w:val="space"/>
      <w:lvlText w:val="第%1章"/>
      <w:lvlJc w:val="left"/>
      <w:pPr>
        <w:tabs>
          <w:tab w:val="left" w:pos="3255"/>
        </w:tabs>
        <w:ind w:left="2835" w:firstLine="0"/>
      </w:pPr>
      <w:rPr>
        <w:rFonts w:hint="eastAsia" w:ascii="Times New Roman" w:hAnsi="Times New Roman" w:eastAsia="黑体" w:cs="宋体"/>
        <w:sz w:val="30"/>
      </w:rPr>
    </w:lvl>
    <w:lvl w:ilvl="1" w:tentative="0">
      <w:start w:val="1"/>
      <w:numFmt w:val="decimal"/>
      <w:pStyle w:val="3"/>
      <w:isLgl/>
      <w:suff w:val="space"/>
      <w:lvlText w:val="%1.%2"/>
      <w:lvlJc w:val="left"/>
      <w:pPr>
        <w:tabs>
          <w:tab w:val="left" w:pos="0"/>
        </w:tabs>
        <w:ind w:left="0" w:firstLine="0"/>
      </w:pPr>
      <w:rPr>
        <w:rFonts w:hint="eastAsia" w:ascii="Times New Roman" w:hAnsi="Times New Roman" w:eastAsia="黑体" w:cs="宋体"/>
        <w:sz w:val="28"/>
      </w:rPr>
    </w:lvl>
    <w:lvl w:ilvl="2" w:tentative="0">
      <w:start w:val="1"/>
      <w:numFmt w:val="decimal"/>
      <w:isLgl/>
      <w:suff w:val="space"/>
      <w:lvlText w:val="%1.%2.%3"/>
      <w:lvlJc w:val="left"/>
      <w:pPr>
        <w:tabs>
          <w:tab w:val="left" w:pos="2547"/>
        </w:tabs>
        <w:ind w:left="2127" w:firstLine="0"/>
      </w:pPr>
      <w:rPr>
        <w:rFonts w:hint="eastAsia" w:ascii="Times New Roman" w:hAnsi="Times New Roman" w:eastAsia="黑体" w:cs="宋体"/>
        <w:b/>
        <w:color w:val="auto"/>
        <w:sz w:val="24"/>
      </w:rPr>
    </w:lvl>
    <w:lvl w:ilvl="3" w:tentative="0">
      <w:start w:val="1"/>
      <w:numFmt w:val="decimal"/>
      <w:suff w:val="nothing"/>
      <w:lvlText w:val="（%4）"/>
      <w:lvlJc w:val="left"/>
      <w:pPr>
        <w:tabs>
          <w:tab w:val="left" w:pos="420"/>
        </w:tabs>
        <w:ind w:left="850" w:hanging="850"/>
      </w:pPr>
      <w:rPr>
        <w:rFonts w:hint="eastAsia" w:ascii="宋体" w:hAnsi="宋体" w:eastAsia="宋体" w:cs="宋体"/>
      </w:rPr>
    </w:lvl>
    <w:lvl w:ilvl="4" w:tentative="0">
      <w:start w:val="1"/>
      <w:numFmt w:val="decimal"/>
      <w:lvlText w:val="%5"/>
      <w:lvlJc w:val="left"/>
      <w:pPr>
        <w:tabs>
          <w:tab w:val="left" w:pos="420"/>
        </w:tabs>
        <w:ind w:left="991" w:hanging="991"/>
      </w:pPr>
      <w:rPr>
        <w:rFonts w:hint="eastAsia" w:ascii="宋体" w:hAnsi="宋体" w:eastAsia="宋体" w:cs="宋体"/>
      </w:rPr>
    </w:lvl>
    <w:lvl w:ilvl="5" w:tentative="0">
      <w:start w:val="1"/>
      <w:numFmt w:val="decimal"/>
      <w:lvlRestart w:val="1"/>
      <w:isLgl/>
      <w:suff w:val="space"/>
      <w:lvlText w:val="图%1-%6 "/>
      <w:lvlJc w:val="center"/>
      <w:pPr>
        <w:tabs>
          <w:tab w:val="left" w:pos="561"/>
        </w:tabs>
        <w:ind w:left="1275" w:hanging="1134"/>
      </w:pPr>
      <w:rPr>
        <w:rFonts w:hint="eastAsia" w:ascii="宋体" w:hAnsi="宋体" w:eastAsia="宋体" w:cs="宋体"/>
        <w:color w:val="auto"/>
        <w:sz w:val="21"/>
      </w:rPr>
    </w:lvl>
    <w:lvl w:ilvl="6" w:tentative="0">
      <w:start w:val="1"/>
      <w:numFmt w:val="decimal"/>
      <w:lvlRestart w:val="1"/>
      <w:pStyle w:val="56"/>
      <w:isLgl/>
      <w:suff w:val="space"/>
      <w:lvlText w:val="表%1-%7 "/>
      <w:lvlJc w:val="center"/>
      <w:pPr>
        <w:tabs>
          <w:tab w:val="left" w:pos="2268"/>
        </w:tabs>
        <w:ind w:left="2268" w:firstLine="0"/>
      </w:pPr>
      <w:rPr>
        <w:rFonts w:hint="eastAsia" w:ascii="宋体" w:hAnsi="宋体" w:eastAsia="宋体" w:cs="宋体"/>
        <w:color w:val="auto"/>
        <w:sz w:val="21"/>
        <w:lang w:val="en-US"/>
      </w:rPr>
    </w:lvl>
    <w:lvl w:ilvl="7" w:tentative="0">
      <w:start w:val="1"/>
      <w:numFmt w:val="decimal"/>
      <w:lvlText w:val="%1.%2.%3.%4.%5.%6.%7.%8."/>
      <w:lvlJc w:val="left"/>
      <w:pPr>
        <w:tabs>
          <w:tab w:val="left" w:pos="420"/>
        </w:tabs>
        <w:ind w:left="1418" w:hanging="1418"/>
      </w:pPr>
      <w:rPr>
        <w:rFonts w:hint="eastAsia" w:ascii="宋体" w:hAnsi="宋体" w:eastAsia="宋体" w:cs="宋体"/>
      </w:rPr>
    </w:lvl>
    <w:lvl w:ilvl="8" w:tentative="0">
      <w:start w:val="1"/>
      <w:numFmt w:val="decimal"/>
      <w:lvlText w:val="%1.%2.%3.%4.%5.%6.%7.%8.%9."/>
      <w:lvlJc w:val="left"/>
      <w:pPr>
        <w:ind w:left="1558" w:hanging="1558"/>
      </w:pPr>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NhYmY4NDBhMDg2OTU4NGY1OGNhMTZlMTgxZGE4ZTUifQ=="/>
    <w:docVar w:name="KSO_WPS_MARK_KEY" w:val="28b114a5-ea2d-4aa6-899f-d3dff9a8c847"/>
  </w:docVars>
  <w:rsids>
    <w:rsidRoot w:val="00A1494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D6B01"/>
    <w:rsid w:val="000D77CB"/>
    <w:rsid w:val="000E5F16"/>
    <w:rsid w:val="000F4452"/>
    <w:rsid w:val="000F6DA1"/>
    <w:rsid w:val="000F701B"/>
    <w:rsid w:val="001056A0"/>
    <w:rsid w:val="00115279"/>
    <w:rsid w:val="00117459"/>
    <w:rsid w:val="0011749A"/>
    <w:rsid w:val="001234B7"/>
    <w:rsid w:val="00127A68"/>
    <w:rsid w:val="00140B13"/>
    <w:rsid w:val="00141B68"/>
    <w:rsid w:val="001466DA"/>
    <w:rsid w:val="001469AA"/>
    <w:rsid w:val="00154DE1"/>
    <w:rsid w:val="00155B40"/>
    <w:rsid w:val="00157435"/>
    <w:rsid w:val="00163EEA"/>
    <w:rsid w:val="00167A07"/>
    <w:rsid w:val="0017046A"/>
    <w:rsid w:val="001704A3"/>
    <w:rsid w:val="0017504D"/>
    <w:rsid w:val="00177422"/>
    <w:rsid w:val="00184F10"/>
    <w:rsid w:val="00185546"/>
    <w:rsid w:val="0019146B"/>
    <w:rsid w:val="00194398"/>
    <w:rsid w:val="001A1BC3"/>
    <w:rsid w:val="001A7D2A"/>
    <w:rsid w:val="001B574C"/>
    <w:rsid w:val="001C0AF9"/>
    <w:rsid w:val="001C155A"/>
    <w:rsid w:val="001C46F6"/>
    <w:rsid w:val="001C48C0"/>
    <w:rsid w:val="001D4ACC"/>
    <w:rsid w:val="001D6726"/>
    <w:rsid w:val="001D6D21"/>
    <w:rsid w:val="001F3347"/>
    <w:rsid w:val="001F4440"/>
    <w:rsid w:val="001F69E4"/>
    <w:rsid w:val="001F7106"/>
    <w:rsid w:val="00206A65"/>
    <w:rsid w:val="00212D31"/>
    <w:rsid w:val="002130C7"/>
    <w:rsid w:val="00217FF9"/>
    <w:rsid w:val="002218A8"/>
    <w:rsid w:val="0022306D"/>
    <w:rsid w:val="00223119"/>
    <w:rsid w:val="00226574"/>
    <w:rsid w:val="002278EC"/>
    <w:rsid w:val="002357C7"/>
    <w:rsid w:val="002367C4"/>
    <w:rsid w:val="002424D9"/>
    <w:rsid w:val="0025679E"/>
    <w:rsid w:val="00260C68"/>
    <w:rsid w:val="002647B1"/>
    <w:rsid w:val="002648B0"/>
    <w:rsid w:val="00274B10"/>
    <w:rsid w:val="00275271"/>
    <w:rsid w:val="0027535E"/>
    <w:rsid w:val="00275AA6"/>
    <w:rsid w:val="002807D5"/>
    <w:rsid w:val="00282CCD"/>
    <w:rsid w:val="00292BB8"/>
    <w:rsid w:val="002A1628"/>
    <w:rsid w:val="002A168C"/>
    <w:rsid w:val="002A2C48"/>
    <w:rsid w:val="002A3EED"/>
    <w:rsid w:val="002A4A39"/>
    <w:rsid w:val="002A5A17"/>
    <w:rsid w:val="002A6425"/>
    <w:rsid w:val="002B3A6B"/>
    <w:rsid w:val="002B49E2"/>
    <w:rsid w:val="002B7B00"/>
    <w:rsid w:val="002B7C44"/>
    <w:rsid w:val="002C1388"/>
    <w:rsid w:val="002C3C6A"/>
    <w:rsid w:val="002D42DB"/>
    <w:rsid w:val="002E111B"/>
    <w:rsid w:val="002E1F3A"/>
    <w:rsid w:val="002E298A"/>
    <w:rsid w:val="002F02A4"/>
    <w:rsid w:val="002F272B"/>
    <w:rsid w:val="002F7C6D"/>
    <w:rsid w:val="003027E4"/>
    <w:rsid w:val="0030332C"/>
    <w:rsid w:val="00312296"/>
    <w:rsid w:val="0031340E"/>
    <w:rsid w:val="00316464"/>
    <w:rsid w:val="0032073A"/>
    <w:rsid w:val="00321D8E"/>
    <w:rsid w:val="00324570"/>
    <w:rsid w:val="00334996"/>
    <w:rsid w:val="00336969"/>
    <w:rsid w:val="00336C52"/>
    <w:rsid w:val="00341B3E"/>
    <w:rsid w:val="00341B42"/>
    <w:rsid w:val="00345154"/>
    <w:rsid w:val="003452CE"/>
    <w:rsid w:val="0034560E"/>
    <w:rsid w:val="00350523"/>
    <w:rsid w:val="00352975"/>
    <w:rsid w:val="00356868"/>
    <w:rsid w:val="0036485B"/>
    <w:rsid w:val="00373B0D"/>
    <w:rsid w:val="00376988"/>
    <w:rsid w:val="00381A72"/>
    <w:rsid w:val="00393340"/>
    <w:rsid w:val="003A1948"/>
    <w:rsid w:val="003B152A"/>
    <w:rsid w:val="003B3AFF"/>
    <w:rsid w:val="003B545B"/>
    <w:rsid w:val="003B67B0"/>
    <w:rsid w:val="003C5685"/>
    <w:rsid w:val="003D079D"/>
    <w:rsid w:val="003D3EE9"/>
    <w:rsid w:val="003E7681"/>
    <w:rsid w:val="003F0809"/>
    <w:rsid w:val="003F248D"/>
    <w:rsid w:val="003F267C"/>
    <w:rsid w:val="003F611C"/>
    <w:rsid w:val="003F65E0"/>
    <w:rsid w:val="003F755C"/>
    <w:rsid w:val="0040113D"/>
    <w:rsid w:val="00406F01"/>
    <w:rsid w:val="00411B36"/>
    <w:rsid w:val="004121D7"/>
    <w:rsid w:val="00413576"/>
    <w:rsid w:val="00416D50"/>
    <w:rsid w:val="00417772"/>
    <w:rsid w:val="00420E6A"/>
    <w:rsid w:val="00433CA9"/>
    <w:rsid w:val="0043521D"/>
    <w:rsid w:val="00442024"/>
    <w:rsid w:val="0044254C"/>
    <w:rsid w:val="00443F6A"/>
    <w:rsid w:val="00450A17"/>
    <w:rsid w:val="00466321"/>
    <w:rsid w:val="004672AF"/>
    <w:rsid w:val="004727B0"/>
    <w:rsid w:val="00472BB1"/>
    <w:rsid w:val="00480247"/>
    <w:rsid w:val="0048081D"/>
    <w:rsid w:val="0048117E"/>
    <w:rsid w:val="0048232D"/>
    <w:rsid w:val="00483FA8"/>
    <w:rsid w:val="004855F6"/>
    <w:rsid w:val="00486F0C"/>
    <w:rsid w:val="00494670"/>
    <w:rsid w:val="004A0EB4"/>
    <w:rsid w:val="004A3823"/>
    <w:rsid w:val="004A59BB"/>
    <w:rsid w:val="004A59E7"/>
    <w:rsid w:val="004B43A3"/>
    <w:rsid w:val="004B4C49"/>
    <w:rsid w:val="004B58A5"/>
    <w:rsid w:val="004B63D9"/>
    <w:rsid w:val="004C0882"/>
    <w:rsid w:val="004C55BE"/>
    <w:rsid w:val="004E5B30"/>
    <w:rsid w:val="004F0779"/>
    <w:rsid w:val="004F0BA2"/>
    <w:rsid w:val="004F1230"/>
    <w:rsid w:val="004F173F"/>
    <w:rsid w:val="004F177C"/>
    <w:rsid w:val="004F2DCE"/>
    <w:rsid w:val="005036A3"/>
    <w:rsid w:val="005039CB"/>
    <w:rsid w:val="0050558F"/>
    <w:rsid w:val="005057E0"/>
    <w:rsid w:val="00506286"/>
    <w:rsid w:val="00510813"/>
    <w:rsid w:val="00511DE0"/>
    <w:rsid w:val="00517F02"/>
    <w:rsid w:val="00524547"/>
    <w:rsid w:val="005258A2"/>
    <w:rsid w:val="00530F7C"/>
    <w:rsid w:val="00532C33"/>
    <w:rsid w:val="00534567"/>
    <w:rsid w:val="00534F43"/>
    <w:rsid w:val="00535A84"/>
    <w:rsid w:val="00536889"/>
    <w:rsid w:val="00542E07"/>
    <w:rsid w:val="00554A7B"/>
    <w:rsid w:val="0055572C"/>
    <w:rsid w:val="0056064F"/>
    <w:rsid w:val="00560802"/>
    <w:rsid w:val="00561B84"/>
    <w:rsid w:val="00571D98"/>
    <w:rsid w:val="005720AE"/>
    <w:rsid w:val="0058030D"/>
    <w:rsid w:val="00582045"/>
    <w:rsid w:val="00590AE3"/>
    <w:rsid w:val="005918F1"/>
    <w:rsid w:val="00591A2A"/>
    <w:rsid w:val="005A06B7"/>
    <w:rsid w:val="005A1759"/>
    <w:rsid w:val="005A77FF"/>
    <w:rsid w:val="005D0369"/>
    <w:rsid w:val="005D52BB"/>
    <w:rsid w:val="005D53FE"/>
    <w:rsid w:val="005D7A0F"/>
    <w:rsid w:val="005E0438"/>
    <w:rsid w:val="005E1791"/>
    <w:rsid w:val="005E2CE6"/>
    <w:rsid w:val="005E6324"/>
    <w:rsid w:val="005F228B"/>
    <w:rsid w:val="005F29CD"/>
    <w:rsid w:val="005F35CA"/>
    <w:rsid w:val="005F4DFB"/>
    <w:rsid w:val="005F6CC0"/>
    <w:rsid w:val="00600184"/>
    <w:rsid w:val="00603E5B"/>
    <w:rsid w:val="006043B9"/>
    <w:rsid w:val="00604BC8"/>
    <w:rsid w:val="00615B4C"/>
    <w:rsid w:val="00615B5D"/>
    <w:rsid w:val="0062146F"/>
    <w:rsid w:val="0062392F"/>
    <w:rsid w:val="006343AF"/>
    <w:rsid w:val="0063634A"/>
    <w:rsid w:val="0064250D"/>
    <w:rsid w:val="00652331"/>
    <w:rsid w:val="006535EB"/>
    <w:rsid w:val="0066151C"/>
    <w:rsid w:val="00663016"/>
    <w:rsid w:val="00665ABE"/>
    <w:rsid w:val="00674605"/>
    <w:rsid w:val="006748B8"/>
    <w:rsid w:val="0068535B"/>
    <w:rsid w:val="0068736E"/>
    <w:rsid w:val="0069290A"/>
    <w:rsid w:val="00696FCC"/>
    <w:rsid w:val="00697032"/>
    <w:rsid w:val="006975AC"/>
    <w:rsid w:val="006A15FB"/>
    <w:rsid w:val="006A72BF"/>
    <w:rsid w:val="006B332A"/>
    <w:rsid w:val="006B33BD"/>
    <w:rsid w:val="006B5AF5"/>
    <w:rsid w:val="006C3F75"/>
    <w:rsid w:val="006D170E"/>
    <w:rsid w:val="006D224B"/>
    <w:rsid w:val="006E06AF"/>
    <w:rsid w:val="006F1789"/>
    <w:rsid w:val="006F631F"/>
    <w:rsid w:val="00706C5D"/>
    <w:rsid w:val="007118E6"/>
    <w:rsid w:val="00716009"/>
    <w:rsid w:val="007225C9"/>
    <w:rsid w:val="00735CD7"/>
    <w:rsid w:val="00754034"/>
    <w:rsid w:val="00754BF1"/>
    <w:rsid w:val="00755A30"/>
    <w:rsid w:val="00755E1C"/>
    <w:rsid w:val="00756556"/>
    <w:rsid w:val="0076132B"/>
    <w:rsid w:val="007623AE"/>
    <w:rsid w:val="00763412"/>
    <w:rsid w:val="00770B19"/>
    <w:rsid w:val="007741E6"/>
    <w:rsid w:val="00774FA0"/>
    <w:rsid w:val="00776620"/>
    <w:rsid w:val="00777B6D"/>
    <w:rsid w:val="00784855"/>
    <w:rsid w:val="00784F39"/>
    <w:rsid w:val="0078545C"/>
    <w:rsid w:val="0078591F"/>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1B10"/>
    <w:rsid w:val="008327AA"/>
    <w:rsid w:val="008332C8"/>
    <w:rsid w:val="00833743"/>
    <w:rsid w:val="008340A4"/>
    <w:rsid w:val="00836799"/>
    <w:rsid w:val="00837028"/>
    <w:rsid w:val="00837131"/>
    <w:rsid w:val="00841EAE"/>
    <w:rsid w:val="00845F57"/>
    <w:rsid w:val="008521E0"/>
    <w:rsid w:val="008525B0"/>
    <w:rsid w:val="00864805"/>
    <w:rsid w:val="00867CBC"/>
    <w:rsid w:val="00876C30"/>
    <w:rsid w:val="00877017"/>
    <w:rsid w:val="008773C0"/>
    <w:rsid w:val="00877CFF"/>
    <w:rsid w:val="00880364"/>
    <w:rsid w:val="00886160"/>
    <w:rsid w:val="00886C4C"/>
    <w:rsid w:val="0088711C"/>
    <w:rsid w:val="0089199E"/>
    <w:rsid w:val="00892ECF"/>
    <w:rsid w:val="00892F06"/>
    <w:rsid w:val="00894285"/>
    <w:rsid w:val="008A40AE"/>
    <w:rsid w:val="008A46F5"/>
    <w:rsid w:val="008A4E19"/>
    <w:rsid w:val="008A67C5"/>
    <w:rsid w:val="008B22E1"/>
    <w:rsid w:val="008B3C78"/>
    <w:rsid w:val="008B4AE9"/>
    <w:rsid w:val="008C30AD"/>
    <w:rsid w:val="008D068E"/>
    <w:rsid w:val="008D0F7A"/>
    <w:rsid w:val="008D63BE"/>
    <w:rsid w:val="008D659F"/>
    <w:rsid w:val="008E0CFF"/>
    <w:rsid w:val="008E5D6B"/>
    <w:rsid w:val="008E689B"/>
    <w:rsid w:val="008E76F0"/>
    <w:rsid w:val="008F15FE"/>
    <w:rsid w:val="008F2A94"/>
    <w:rsid w:val="008F5187"/>
    <w:rsid w:val="008F709C"/>
    <w:rsid w:val="0090312B"/>
    <w:rsid w:val="00904961"/>
    <w:rsid w:val="009123EC"/>
    <w:rsid w:val="0091736D"/>
    <w:rsid w:val="00927CEA"/>
    <w:rsid w:val="009300FE"/>
    <w:rsid w:val="00931001"/>
    <w:rsid w:val="00931863"/>
    <w:rsid w:val="00933524"/>
    <w:rsid w:val="0094278D"/>
    <w:rsid w:val="00944A6A"/>
    <w:rsid w:val="00950685"/>
    <w:rsid w:val="0095308A"/>
    <w:rsid w:val="00955AEE"/>
    <w:rsid w:val="00956F14"/>
    <w:rsid w:val="009620FD"/>
    <w:rsid w:val="0096247A"/>
    <w:rsid w:val="00965F4B"/>
    <w:rsid w:val="0096762C"/>
    <w:rsid w:val="00970F8A"/>
    <w:rsid w:val="00971FB5"/>
    <w:rsid w:val="00972D2A"/>
    <w:rsid w:val="00975CC5"/>
    <w:rsid w:val="00976328"/>
    <w:rsid w:val="00976B4E"/>
    <w:rsid w:val="00984458"/>
    <w:rsid w:val="00985283"/>
    <w:rsid w:val="00987322"/>
    <w:rsid w:val="009970CF"/>
    <w:rsid w:val="009A0F3B"/>
    <w:rsid w:val="009A72C7"/>
    <w:rsid w:val="009B0897"/>
    <w:rsid w:val="009B7D51"/>
    <w:rsid w:val="009D0852"/>
    <w:rsid w:val="009D1FBF"/>
    <w:rsid w:val="009E399C"/>
    <w:rsid w:val="009E43C1"/>
    <w:rsid w:val="009E4ED6"/>
    <w:rsid w:val="009E7E95"/>
    <w:rsid w:val="009F116F"/>
    <w:rsid w:val="009F168A"/>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3834"/>
    <w:rsid w:val="00AA4172"/>
    <w:rsid w:val="00AB0FAD"/>
    <w:rsid w:val="00AB1914"/>
    <w:rsid w:val="00AB5330"/>
    <w:rsid w:val="00AB6659"/>
    <w:rsid w:val="00AB7747"/>
    <w:rsid w:val="00AC2532"/>
    <w:rsid w:val="00AD1507"/>
    <w:rsid w:val="00AD5A70"/>
    <w:rsid w:val="00AD738B"/>
    <w:rsid w:val="00AE1BF4"/>
    <w:rsid w:val="00AE31D6"/>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0D73"/>
    <w:rsid w:val="00B54128"/>
    <w:rsid w:val="00B55826"/>
    <w:rsid w:val="00B60426"/>
    <w:rsid w:val="00B622DD"/>
    <w:rsid w:val="00B63522"/>
    <w:rsid w:val="00B648A0"/>
    <w:rsid w:val="00B74C77"/>
    <w:rsid w:val="00B76F1D"/>
    <w:rsid w:val="00B92A19"/>
    <w:rsid w:val="00B9544C"/>
    <w:rsid w:val="00BA29E9"/>
    <w:rsid w:val="00BB0494"/>
    <w:rsid w:val="00BB3618"/>
    <w:rsid w:val="00BC0C9E"/>
    <w:rsid w:val="00BC32DC"/>
    <w:rsid w:val="00BD1B51"/>
    <w:rsid w:val="00BD47F6"/>
    <w:rsid w:val="00BE312D"/>
    <w:rsid w:val="00BE3FCA"/>
    <w:rsid w:val="00BF7DE3"/>
    <w:rsid w:val="00C02B9C"/>
    <w:rsid w:val="00C05719"/>
    <w:rsid w:val="00C10578"/>
    <w:rsid w:val="00C17D62"/>
    <w:rsid w:val="00C21FDC"/>
    <w:rsid w:val="00C24EE7"/>
    <w:rsid w:val="00C2596A"/>
    <w:rsid w:val="00C271BE"/>
    <w:rsid w:val="00C27425"/>
    <w:rsid w:val="00C27ACE"/>
    <w:rsid w:val="00C328FE"/>
    <w:rsid w:val="00C33A05"/>
    <w:rsid w:val="00C35FDE"/>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A680D"/>
    <w:rsid w:val="00CB0183"/>
    <w:rsid w:val="00CB1EA3"/>
    <w:rsid w:val="00CB552C"/>
    <w:rsid w:val="00CB6A9E"/>
    <w:rsid w:val="00CC5B83"/>
    <w:rsid w:val="00CC6181"/>
    <w:rsid w:val="00CC77CC"/>
    <w:rsid w:val="00CD2BCD"/>
    <w:rsid w:val="00CD36AA"/>
    <w:rsid w:val="00CD3791"/>
    <w:rsid w:val="00CD65B0"/>
    <w:rsid w:val="00CE02CD"/>
    <w:rsid w:val="00CE10E9"/>
    <w:rsid w:val="00D0072E"/>
    <w:rsid w:val="00D15727"/>
    <w:rsid w:val="00D16332"/>
    <w:rsid w:val="00D24418"/>
    <w:rsid w:val="00D24972"/>
    <w:rsid w:val="00D2515E"/>
    <w:rsid w:val="00D308ED"/>
    <w:rsid w:val="00D47C26"/>
    <w:rsid w:val="00D56178"/>
    <w:rsid w:val="00D56CF0"/>
    <w:rsid w:val="00D56F5C"/>
    <w:rsid w:val="00D613A4"/>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167C"/>
    <w:rsid w:val="00DC72A6"/>
    <w:rsid w:val="00DD2113"/>
    <w:rsid w:val="00DD265E"/>
    <w:rsid w:val="00DF1930"/>
    <w:rsid w:val="00DF514A"/>
    <w:rsid w:val="00E0358D"/>
    <w:rsid w:val="00E06327"/>
    <w:rsid w:val="00E2064B"/>
    <w:rsid w:val="00E24425"/>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25D6"/>
    <w:rsid w:val="00E87752"/>
    <w:rsid w:val="00E8793B"/>
    <w:rsid w:val="00E90F81"/>
    <w:rsid w:val="00E91A6D"/>
    <w:rsid w:val="00E9242D"/>
    <w:rsid w:val="00E97BBC"/>
    <w:rsid w:val="00EA2DBE"/>
    <w:rsid w:val="00EA760A"/>
    <w:rsid w:val="00EB041C"/>
    <w:rsid w:val="00EC5874"/>
    <w:rsid w:val="00ED192D"/>
    <w:rsid w:val="00ED30B4"/>
    <w:rsid w:val="00ED31F5"/>
    <w:rsid w:val="00ED5C86"/>
    <w:rsid w:val="00EF034C"/>
    <w:rsid w:val="00EF2759"/>
    <w:rsid w:val="00EF45EB"/>
    <w:rsid w:val="00EF5099"/>
    <w:rsid w:val="00EF5E33"/>
    <w:rsid w:val="00EF741F"/>
    <w:rsid w:val="00F00075"/>
    <w:rsid w:val="00F07822"/>
    <w:rsid w:val="00F15C95"/>
    <w:rsid w:val="00F22985"/>
    <w:rsid w:val="00F241AB"/>
    <w:rsid w:val="00F31382"/>
    <w:rsid w:val="00F35829"/>
    <w:rsid w:val="00F366B4"/>
    <w:rsid w:val="00F42868"/>
    <w:rsid w:val="00F465A7"/>
    <w:rsid w:val="00F472F5"/>
    <w:rsid w:val="00F50B7C"/>
    <w:rsid w:val="00F5202D"/>
    <w:rsid w:val="00F52CF6"/>
    <w:rsid w:val="00F54496"/>
    <w:rsid w:val="00F60B17"/>
    <w:rsid w:val="00F61097"/>
    <w:rsid w:val="00F729E5"/>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1941B1"/>
    <w:rsid w:val="015E48BC"/>
    <w:rsid w:val="01E7687A"/>
    <w:rsid w:val="02EB6A58"/>
    <w:rsid w:val="039924D4"/>
    <w:rsid w:val="05085485"/>
    <w:rsid w:val="054166BC"/>
    <w:rsid w:val="05472142"/>
    <w:rsid w:val="05491180"/>
    <w:rsid w:val="05521E49"/>
    <w:rsid w:val="05742AC8"/>
    <w:rsid w:val="05BF4FB2"/>
    <w:rsid w:val="060E6ACB"/>
    <w:rsid w:val="06352F05"/>
    <w:rsid w:val="063E7D85"/>
    <w:rsid w:val="0674773B"/>
    <w:rsid w:val="070875E0"/>
    <w:rsid w:val="07163DF5"/>
    <w:rsid w:val="07293586"/>
    <w:rsid w:val="07295285"/>
    <w:rsid w:val="07770C56"/>
    <w:rsid w:val="07BA233A"/>
    <w:rsid w:val="0817778D"/>
    <w:rsid w:val="092217DD"/>
    <w:rsid w:val="09272D79"/>
    <w:rsid w:val="093A7294"/>
    <w:rsid w:val="09424A96"/>
    <w:rsid w:val="0A824956"/>
    <w:rsid w:val="0AB3379D"/>
    <w:rsid w:val="0AF53184"/>
    <w:rsid w:val="0B226B74"/>
    <w:rsid w:val="0BD27BF6"/>
    <w:rsid w:val="0BE65DF4"/>
    <w:rsid w:val="0C1C2F3E"/>
    <w:rsid w:val="0C5F38DA"/>
    <w:rsid w:val="0D1E4FFF"/>
    <w:rsid w:val="0D43283F"/>
    <w:rsid w:val="0DE107D3"/>
    <w:rsid w:val="0E0E415A"/>
    <w:rsid w:val="0E110D06"/>
    <w:rsid w:val="0E9A7161"/>
    <w:rsid w:val="0EA721AC"/>
    <w:rsid w:val="0F13775A"/>
    <w:rsid w:val="0F7B101F"/>
    <w:rsid w:val="0F841BAC"/>
    <w:rsid w:val="0F9A112B"/>
    <w:rsid w:val="10636B5D"/>
    <w:rsid w:val="106D2F64"/>
    <w:rsid w:val="10B63710"/>
    <w:rsid w:val="10DF5DB3"/>
    <w:rsid w:val="10FA4C0D"/>
    <w:rsid w:val="10FF5EF2"/>
    <w:rsid w:val="11155922"/>
    <w:rsid w:val="111C2F7A"/>
    <w:rsid w:val="113013DE"/>
    <w:rsid w:val="113058D5"/>
    <w:rsid w:val="11B96B04"/>
    <w:rsid w:val="122637C7"/>
    <w:rsid w:val="122B06C2"/>
    <w:rsid w:val="1244514D"/>
    <w:rsid w:val="12987C5D"/>
    <w:rsid w:val="12C068C4"/>
    <w:rsid w:val="137A57A0"/>
    <w:rsid w:val="13951726"/>
    <w:rsid w:val="13E470BD"/>
    <w:rsid w:val="14396509"/>
    <w:rsid w:val="1447165C"/>
    <w:rsid w:val="14EF270E"/>
    <w:rsid w:val="15F32598"/>
    <w:rsid w:val="16181094"/>
    <w:rsid w:val="17735226"/>
    <w:rsid w:val="17742506"/>
    <w:rsid w:val="17C50FB3"/>
    <w:rsid w:val="180778B3"/>
    <w:rsid w:val="18543B9A"/>
    <w:rsid w:val="18CE2AA5"/>
    <w:rsid w:val="19102702"/>
    <w:rsid w:val="1A1C66C0"/>
    <w:rsid w:val="1A42393B"/>
    <w:rsid w:val="1AC70B3B"/>
    <w:rsid w:val="1B046F80"/>
    <w:rsid w:val="1B3267B5"/>
    <w:rsid w:val="1BC25DC8"/>
    <w:rsid w:val="1C5E7925"/>
    <w:rsid w:val="1C887FC8"/>
    <w:rsid w:val="1D5F6196"/>
    <w:rsid w:val="1D6132A5"/>
    <w:rsid w:val="1D8E56D5"/>
    <w:rsid w:val="1DCA2399"/>
    <w:rsid w:val="1E7A43DA"/>
    <w:rsid w:val="1EB277FE"/>
    <w:rsid w:val="1ECB5CF3"/>
    <w:rsid w:val="1F004C61"/>
    <w:rsid w:val="1F4E3001"/>
    <w:rsid w:val="1FD9384E"/>
    <w:rsid w:val="1FE7539E"/>
    <w:rsid w:val="20014B53"/>
    <w:rsid w:val="20200378"/>
    <w:rsid w:val="20963CB8"/>
    <w:rsid w:val="20B07FB6"/>
    <w:rsid w:val="20E31382"/>
    <w:rsid w:val="213B74B1"/>
    <w:rsid w:val="215A2310"/>
    <w:rsid w:val="21967ED6"/>
    <w:rsid w:val="21DE318A"/>
    <w:rsid w:val="21EB1347"/>
    <w:rsid w:val="21EF5B80"/>
    <w:rsid w:val="21F66939"/>
    <w:rsid w:val="222A213F"/>
    <w:rsid w:val="22576990"/>
    <w:rsid w:val="226D7EE4"/>
    <w:rsid w:val="229C4EAB"/>
    <w:rsid w:val="22CE3412"/>
    <w:rsid w:val="22E05A8A"/>
    <w:rsid w:val="235F22BC"/>
    <w:rsid w:val="236971E8"/>
    <w:rsid w:val="252D53FE"/>
    <w:rsid w:val="25560DD8"/>
    <w:rsid w:val="25951FC5"/>
    <w:rsid w:val="25EC2D81"/>
    <w:rsid w:val="264217DC"/>
    <w:rsid w:val="264528BD"/>
    <w:rsid w:val="26465A22"/>
    <w:rsid w:val="266751FF"/>
    <w:rsid w:val="2751570E"/>
    <w:rsid w:val="27893939"/>
    <w:rsid w:val="27D15DD1"/>
    <w:rsid w:val="28072F22"/>
    <w:rsid w:val="28843FDF"/>
    <w:rsid w:val="28A76295"/>
    <w:rsid w:val="28BE2A32"/>
    <w:rsid w:val="28EC5AF5"/>
    <w:rsid w:val="28F96D0F"/>
    <w:rsid w:val="29206EB8"/>
    <w:rsid w:val="29314C24"/>
    <w:rsid w:val="29382673"/>
    <w:rsid w:val="299C5948"/>
    <w:rsid w:val="29E17ECF"/>
    <w:rsid w:val="29E325E0"/>
    <w:rsid w:val="29F55728"/>
    <w:rsid w:val="2A124AF1"/>
    <w:rsid w:val="2A452503"/>
    <w:rsid w:val="2BA936A8"/>
    <w:rsid w:val="2C315A5A"/>
    <w:rsid w:val="2C64063F"/>
    <w:rsid w:val="2CA10F4A"/>
    <w:rsid w:val="2D9E56F5"/>
    <w:rsid w:val="2E667F96"/>
    <w:rsid w:val="2E8226AB"/>
    <w:rsid w:val="2ECD0A22"/>
    <w:rsid w:val="2EFE6961"/>
    <w:rsid w:val="2F09110B"/>
    <w:rsid w:val="2F832C79"/>
    <w:rsid w:val="2FEF2D58"/>
    <w:rsid w:val="301F409E"/>
    <w:rsid w:val="303D3985"/>
    <w:rsid w:val="30414EBB"/>
    <w:rsid w:val="304A5AD5"/>
    <w:rsid w:val="30580BC9"/>
    <w:rsid w:val="30BB25A1"/>
    <w:rsid w:val="31075A26"/>
    <w:rsid w:val="311E2ED7"/>
    <w:rsid w:val="315C449C"/>
    <w:rsid w:val="31B82709"/>
    <w:rsid w:val="32400B34"/>
    <w:rsid w:val="329E6876"/>
    <w:rsid w:val="32F742BF"/>
    <w:rsid w:val="33063BB2"/>
    <w:rsid w:val="33650DFF"/>
    <w:rsid w:val="33D934D4"/>
    <w:rsid w:val="33FE2F6A"/>
    <w:rsid w:val="342A2472"/>
    <w:rsid w:val="34733FCE"/>
    <w:rsid w:val="34945B3E"/>
    <w:rsid w:val="34A845B2"/>
    <w:rsid w:val="36074A7F"/>
    <w:rsid w:val="361F5E78"/>
    <w:rsid w:val="36923549"/>
    <w:rsid w:val="36B75FBF"/>
    <w:rsid w:val="36FB4891"/>
    <w:rsid w:val="371A5F21"/>
    <w:rsid w:val="37280DED"/>
    <w:rsid w:val="37AB38CA"/>
    <w:rsid w:val="37ED0A50"/>
    <w:rsid w:val="3834294D"/>
    <w:rsid w:val="386332AA"/>
    <w:rsid w:val="388C54AA"/>
    <w:rsid w:val="38B9057F"/>
    <w:rsid w:val="38F12CD3"/>
    <w:rsid w:val="38F94775"/>
    <w:rsid w:val="392971ED"/>
    <w:rsid w:val="39DB6A1C"/>
    <w:rsid w:val="3A1649A0"/>
    <w:rsid w:val="3A987DF8"/>
    <w:rsid w:val="3ABA5BEF"/>
    <w:rsid w:val="3ADC4CA0"/>
    <w:rsid w:val="3B2A743C"/>
    <w:rsid w:val="3B3763D1"/>
    <w:rsid w:val="3B626996"/>
    <w:rsid w:val="3B6377A7"/>
    <w:rsid w:val="3CB15FCA"/>
    <w:rsid w:val="3CDA245A"/>
    <w:rsid w:val="3CEE0A37"/>
    <w:rsid w:val="3D801355"/>
    <w:rsid w:val="3E1026D9"/>
    <w:rsid w:val="3EE86F69"/>
    <w:rsid w:val="3F660E74"/>
    <w:rsid w:val="3F9335C1"/>
    <w:rsid w:val="3FBA79D3"/>
    <w:rsid w:val="40191218"/>
    <w:rsid w:val="4037219F"/>
    <w:rsid w:val="407A6407"/>
    <w:rsid w:val="40A924AD"/>
    <w:rsid w:val="40FD011C"/>
    <w:rsid w:val="41B24C4F"/>
    <w:rsid w:val="41CA7043"/>
    <w:rsid w:val="423A3BCC"/>
    <w:rsid w:val="42AB7804"/>
    <w:rsid w:val="43317379"/>
    <w:rsid w:val="433A6FE6"/>
    <w:rsid w:val="4350713C"/>
    <w:rsid w:val="436653E0"/>
    <w:rsid w:val="43985FF2"/>
    <w:rsid w:val="43C024AB"/>
    <w:rsid w:val="44CD14E0"/>
    <w:rsid w:val="450D1720"/>
    <w:rsid w:val="45572C2D"/>
    <w:rsid w:val="45847714"/>
    <w:rsid w:val="458946E9"/>
    <w:rsid w:val="45BB5620"/>
    <w:rsid w:val="45F24A93"/>
    <w:rsid w:val="46D955A7"/>
    <w:rsid w:val="47133957"/>
    <w:rsid w:val="47387FCA"/>
    <w:rsid w:val="4779329E"/>
    <w:rsid w:val="47A07E0C"/>
    <w:rsid w:val="47E524E0"/>
    <w:rsid w:val="4870272E"/>
    <w:rsid w:val="48EE1869"/>
    <w:rsid w:val="49DC7715"/>
    <w:rsid w:val="49F05729"/>
    <w:rsid w:val="4A023139"/>
    <w:rsid w:val="4A51285D"/>
    <w:rsid w:val="4A7803F0"/>
    <w:rsid w:val="4A7B576F"/>
    <w:rsid w:val="4AD80CEB"/>
    <w:rsid w:val="4AD93E52"/>
    <w:rsid w:val="4B1670AE"/>
    <w:rsid w:val="4BD46308"/>
    <w:rsid w:val="4BFC1BC4"/>
    <w:rsid w:val="4C4A0649"/>
    <w:rsid w:val="4C76046D"/>
    <w:rsid w:val="4C8A2589"/>
    <w:rsid w:val="4CAF2BA3"/>
    <w:rsid w:val="4CE470D3"/>
    <w:rsid w:val="4CF21A04"/>
    <w:rsid w:val="4D0E24D9"/>
    <w:rsid w:val="4DDE00FE"/>
    <w:rsid w:val="4DEC4FB0"/>
    <w:rsid w:val="4E075D8A"/>
    <w:rsid w:val="4E4A7541"/>
    <w:rsid w:val="4E8E2438"/>
    <w:rsid w:val="4E9254D9"/>
    <w:rsid w:val="4F406D7D"/>
    <w:rsid w:val="4F956FDD"/>
    <w:rsid w:val="4FC62A8C"/>
    <w:rsid w:val="4FE20F0D"/>
    <w:rsid w:val="50427142"/>
    <w:rsid w:val="50504C4B"/>
    <w:rsid w:val="50827A13"/>
    <w:rsid w:val="509C6E7C"/>
    <w:rsid w:val="50DE6667"/>
    <w:rsid w:val="50FD4D3F"/>
    <w:rsid w:val="5162104E"/>
    <w:rsid w:val="522E717A"/>
    <w:rsid w:val="532552EF"/>
    <w:rsid w:val="53A039CC"/>
    <w:rsid w:val="53A1505A"/>
    <w:rsid w:val="53D63625"/>
    <w:rsid w:val="54025D99"/>
    <w:rsid w:val="54063E08"/>
    <w:rsid w:val="541C7CF0"/>
    <w:rsid w:val="543437E8"/>
    <w:rsid w:val="546D3F89"/>
    <w:rsid w:val="54BC3706"/>
    <w:rsid w:val="54E64DB7"/>
    <w:rsid w:val="55797D86"/>
    <w:rsid w:val="559B174B"/>
    <w:rsid w:val="55CE0CF4"/>
    <w:rsid w:val="55CE7B0D"/>
    <w:rsid w:val="56603F36"/>
    <w:rsid w:val="566E5D97"/>
    <w:rsid w:val="569D2E71"/>
    <w:rsid w:val="56B22A9C"/>
    <w:rsid w:val="576C555F"/>
    <w:rsid w:val="57B72A76"/>
    <w:rsid w:val="57B736F3"/>
    <w:rsid w:val="584A6390"/>
    <w:rsid w:val="58657F10"/>
    <w:rsid w:val="58AE34D6"/>
    <w:rsid w:val="5A3C747D"/>
    <w:rsid w:val="5A64198B"/>
    <w:rsid w:val="5ABE2233"/>
    <w:rsid w:val="5AE928F1"/>
    <w:rsid w:val="5B276D18"/>
    <w:rsid w:val="5B37709F"/>
    <w:rsid w:val="5B5A1826"/>
    <w:rsid w:val="5B61162A"/>
    <w:rsid w:val="5BDF5D95"/>
    <w:rsid w:val="5BEA256A"/>
    <w:rsid w:val="5C246245"/>
    <w:rsid w:val="5C9A78E6"/>
    <w:rsid w:val="5CF039A9"/>
    <w:rsid w:val="5D347D3A"/>
    <w:rsid w:val="5DA45C25"/>
    <w:rsid w:val="5DE83E9E"/>
    <w:rsid w:val="5DEA6160"/>
    <w:rsid w:val="5DF87A0F"/>
    <w:rsid w:val="5E0A45F7"/>
    <w:rsid w:val="5E8425FB"/>
    <w:rsid w:val="5E963CA0"/>
    <w:rsid w:val="5EE12302"/>
    <w:rsid w:val="5F1A2B43"/>
    <w:rsid w:val="5FB837BB"/>
    <w:rsid w:val="600A4D82"/>
    <w:rsid w:val="60501501"/>
    <w:rsid w:val="61165BEF"/>
    <w:rsid w:val="62364782"/>
    <w:rsid w:val="62737DAC"/>
    <w:rsid w:val="62E21FE6"/>
    <w:rsid w:val="62E56E1C"/>
    <w:rsid w:val="63693D7C"/>
    <w:rsid w:val="63D40BE9"/>
    <w:rsid w:val="63E0211F"/>
    <w:rsid w:val="64803865"/>
    <w:rsid w:val="64A537E1"/>
    <w:rsid w:val="64C34255"/>
    <w:rsid w:val="65017592"/>
    <w:rsid w:val="652A0768"/>
    <w:rsid w:val="65373578"/>
    <w:rsid w:val="65866492"/>
    <w:rsid w:val="658D7A28"/>
    <w:rsid w:val="65E10333"/>
    <w:rsid w:val="65FF4C5D"/>
    <w:rsid w:val="663E5786"/>
    <w:rsid w:val="66485C3D"/>
    <w:rsid w:val="673F2C7A"/>
    <w:rsid w:val="677D5E3A"/>
    <w:rsid w:val="67F85BFA"/>
    <w:rsid w:val="681F6961"/>
    <w:rsid w:val="68610A2F"/>
    <w:rsid w:val="68805514"/>
    <w:rsid w:val="694E2071"/>
    <w:rsid w:val="697A3B33"/>
    <w:rsid w:val="699E2456"/>
    <w:rsid w:val="69A2602B"/>
    <w:rsid w:val="6ADB29CE"/>
    <w:rsid w:val="6B322639"/>
    <w:rsid w:val="6B3929BF"/>
    <w:rsid w:val="6BB9765C"/>
    <w:rsid w:val="6C0C7CB9"/>
    <w:rsid w:val="6C244DD4"/>
    <w:rsid w:val="6C3649C6"/>
    <w:rsid w:val="6C636C38"/>
    <w:rsid w:val="6D997745"/>
    <w:rsid w:val="6DB34098"/>
    <w:rsid w:val="6DB545B6"/>
    <w:rsid w:val="6E2D220F"/>
    <w:rsid w:val="6E2E4332"/>
    <w:rsid w:val="6E4375A0"/>
    <w:rsid w:val="6E514CED"/>
    <w:rsid w:val="6E79491A"/>
    <w:rsid w:val="6E8600DA"/>
    <w:rsid w:val="6EB563D5"/>
    <w:rsid w:val="6F225983"/>
    <w:rsid w:val="6F2B6AC3"/>
    <w:rsid w:val="6F4335B5"/>
    <w:rsid w:val="6FA10B33"/>
    <w:rsid w:val="6FB72105"/>
    <w:rsid w:val="6FFC5590"/>
    <w:rsid w:val="70301DA3"/>
    <w:rsid w:val="706D1DD0"/>
    <w:rsid w:val="70856B87"/>
    <w:rsid w:val="70D527EE"/>
    <w:rsid w:val="70FE5D3A"/>
    <w:rsid w:val="71224B2C"/>
    <w:rsid w:val="713E6586"/>
    <w:rsid w:val="714C3E7E"/>
    <w:rsid w:val="715B5300"/>
    <w:rsid w:val="715F4BD7"/>
    <w:rsid w:val="71B87056"/>
    <w:rsid w:val="71D27F8A"/>
    <w:rsid w:val="71DA1237"/>
    <w:rsid w:val="71E93B35"/>
    <w:rsid w:val="71F744C6"/>
    <w:rsid w:val="71F960CF"/>
    <w:rsid w:val="729A3D44"/>
    <w:rsid w:val="72E70F53"/>
    <w:rsid w:val="731F5D5E"/>
    <w:rsid w:val="733E5017"/>
    <w:rsid w:val="735275FC"/>
    <w:rsid w:val="7375655F"/>
    <w:rsid w:val="74144EE7"/>
    <w:rsid w:val="741E793C"/>
    <w:rsid w:val="743F6FC7"/>
    <w:rsid w:val="74DD5EEB"/>
    <w:rsid w:val="752F1F6E"/>
    <w:rsid w:val="75556648"/>
    <w:rsid w:val="75640268"/>
    <w:rsid w:val="758D75E2"/>
    <w:rsid w:val="758E3908"/>
    <w:rsid w:val="75A4550C"/>
    <w:rsid w:val="75DE4557"/>
    <w:rsid w:val="761777BD"/>
    <w:rsid w:val="767B32BC"/>
    <w:rsid w:val="769B452E"/>
    <w:rsid w:val="7772528F"/>
    <w:rsid w:val="77762421"/>
    <w:rsid w:val="77C96E79"/>
    <w:rsid w:val="77F263D0"/>
    <w:rsid w:val="780F09F4"/>
    <w:rsid w:val="782A3DBC"/>
    <w:rsid w:val="786E1611"/>
    <w:rsid w:val="789C4F47"/>
    <w:rsid w:val="78A90480"/>
    <w:rsid w:val="78E901B3"/>
    <w:rsid w:val="79231130"/>
    <w:rsid w:val="79811327"/>
    <w:rsid w:val="799C1155"/>
    <w:rsid w:val="799C2834"/>
    <w:rsid w:val="7A24202A"/>
    <w:rsid w:val="7A364017"/>
    <w:rsid w:val="7A8265E1"/>
    <w:rsid w:val="7AFC1769"/>
    <w:rsid w:val="7B046089"/>
    <w:rsid w:val="7B0573FF"/>
    <w:rsid w:val="7B686D42"/>
    <w:rsid w:val="7B841746"/>
    <w:rsid w:val="7CCB71F0"/>
    <w:rsid w:val="7D0239FF"/>
    <w:rsid w:val="7D584F27"/>
    <w:rsid w:val="7D5E0FC8"/>
    <w:rsid w:val="7D5E40CD"/>
    <w:rsid w:val="7D693BED"/>
    <w:rsid w:val="7EA84FB2"/>
    <w:rsid w:val="7EF11B0F"/>
    <w:rsid w:val="7F08297D"/>
    <w:rsid w:val="7F403EC5"/>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unhideWhenUsed="0" w:uiPriority="0" w:semiHidden="0" w:name="heading 5" w:locked="1"/>
    <w:lsdException w:unhideWhenUsed="0" w:uiPriority="0" w:semiHidden="0" w:name="heading 6" w:locked="1"/>
    <w:lsdException w:unhideWhenUsed="0" w:uiPriority="0" w:semiHidden="0" w:name="heading 7" w:locked="1"/>
    <w:lsdException w:unhideWhenUsed="0" w:uiPriority="0" w:semiHidden="0" w:name="heading 8" w:locked="1"/>
    <w:lsdException w:unhideWhenUsed="0" w:uiPriority="0" w:semiHidden="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unhideWhenUsed="0"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numPr>
        <w:ilvl w:val="1"/>
        <w:numId w:val="1"/>
      </w:numPr>
      <w:adjustRightInd w:val="0"/>
      <w:snapToGrid w:val="0"/>
      <w:outlineLvl w:val="1"/>
    </w:pPr>
    <w:rPr>
      <w:rFonts w:ascii="Arial" w:hAnsi="Arial" w:eastAsia="黑体"/>
      <w:b/>
      <w:sz w:val="28"/>
    </w:rPr>
  </w:style>
  <w:style w:type="paragraph" w:styleId="4">
    <w:name w:val="heading 3"/>
    <w:basedOn w:val="1"/>
    <w:next w:val="1"/>
    <w:qFormat/>
    <w:locked/>
    <w:uiPriority w:val="0"/>
    <w:pPr>
      <w:keepNext/>
      <w:tabs>
        <w:tab w:val="left" w:pos="2547"/>
      </w:tabs>
      <w:spacing w:before="20" w:beforeLines="20" w:after="20" w:afterLines="20"/>
      <w:outlineLvl w:val="2"/>
    </w:pPr>
    <w:rPr>
      <w:b/>
      <w:bCs/>
      <w:kern w:val="0"/>
      <w:szCs w:val="26"/>
    </w:rPr>
  </w:style>
  <w:style w:type="paragraph" w:styleId="5">
    <w:name w:val="heading 4"/>
    <w:basedOn w:val="1"/>
    <w:next w:val="1"/>
    <w:qFormat/>
    <w:locked/>
    <w:uiPriority w:val="0"/>
    <w:pPr>
      <w:keepNext/>
      <w:keepLines/>
      <w:outlineLvl w:val="3"/>
    </w:pPr>
    <w:rPr>
      <w:bCs/>
      <w:sz w:val="21"/>
      <w:szCs w:val="28"/>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pPr>
    <w:rPr>
      <w:kern w:val="0"/>
    </w:rPr>
  </w:style>
  <w:style w:type="paragraph" w:styleId="7">
    <w:name w:val="annotation text"/>
    <w:basedOn w:val="1"/>
    <w:link w:val="42"/>
    <w:semiHidden/>
    <w:qFormat/>
    <w:uiPriority w:val="0"/>
    <w:pPr>
      <w:jc w:val="left"/>
    </w:pPr>
    <w:rPr>
      <w:kern w:val="0"/>
      <w:sz w:val="20"/>
    </w:rPr>
  </w:style>
  <w:style w:type="paragraph" w:styleId="8">
    <w:name w:val="Body Text"/>
    <w:basedOn w:val="1"/>
    <w:next w:val="9"/>
    <w:link w:val="39"/>
    <w:qFormat/>
    <w:uiPriority w:val="0"/>
    <w:pPr>
      <w:widowControl/>
      <w:snapToGrid w:val="0"/>
      <w:spacing w:before="60" w:after="160" w:line="259" w:lineRule="auto"/>
      <w:ind w:right="113"/>
    </w:pPr>
    <w:rPr>
      <w:kern w:val="0"/>
      <w:sz w:val="18"/>
      <w:szCs w:val="18"/>
    </w:rPr>
  </w:style>
  <w:style w:type="paragraph" w:customStyle="1" w:styleId="9">
    <w:name w:val="Normal (Web)1"/>
    <w:basedOn w:val="1"/>
    <w:next w:val="10"/>
    <w:qFormat/>
    <w:uiPriority w:val="0"/>
    <w:pPr>
      <w:widowControl/>
      <w:jc w:val="left"/>
    </w:pPr>
    <w:rPr>
      <w:rFonts w:ascii="宋体"/>
      <w:kern w:val="0"/>
      <w:szCs w:val="21"/>
    </w:rPr>
  </w:style>
  <w:style w:type="paragraph" w:customStyle="1" w:styleId="10">
    <w:name w:val="Date1"/>
    <w:basedOn w:val="1"/>
    <w:next w:val="1"/>
    <w:qFormat/>
    <w:uiPriority w:val="0"/>
    <w:pPr>
      <w:adjustRightInd w:val="0"/>
      <w:textAlignment w:val="baseline"/>
    </w:pPr>
  </w:style>
  <w:style w:type="paragraph" w:styleId="11">
    <w:name w:val="Body Text Indent"/>
    <w:basedOn w:val="1"/>
    <w:next w:val="1"/>
    <w:link w:val="43"/>
    <w:semiHidden/>
    <w:qFormat/>
    <w:uiPriority w:val="0"/>
    <w:pPr>
      <w:spacing w:after="120"/>
      <w:ind w:left="420" w:leftChars="200"/>
    </w:pPr>
  </w:style>
  <w:style w:type="paragraph" w:styleId="12">
    <w:name w:val="Date"/>
    <w:basedOn w:val="1"/>
    <w:next w:val="1"/>
    <w:link w:val="44"/>
    <w:qFormat/>
    <w:uiPriority w:val="0"/>
    <w:pPr>
      <w:ind w:left="100" w:leftChars="2500"/>
    </w:pPr>
    <w:rPr>
      <w:kern w:val="0"/>
      <w:sz w:val="20"/>
    </w:rPr>
  </w:style>
  <w:style w:type="paragraph" w:styleId="13">
    <w:name w:val="Body Text Indent 2"/>
    <w:basedOn w:val="1"/>
    <w:qFormat/>
    <w:uiPriority w:val="0"/>
    <w:pPr>
      <w:spacing w:after="120" w:line="480" w:lineRule="auto"/>
      <w:ind w:left="420" w:leftChars="200"/>
    </w:pPr>
  </w:style>
  <w:style w:type="paragraph" w:styleId="14">
    <w:name w:val="Balloon Text"/>
    <w:basedOn w:val="1"/>
    <w:link w:val="45"/>
    <w:semiHidden/>
    <w:qFormat/>
    <w:uiPriority w:val="0"/>
    <w:rPr>
      <w:sz w:val="18"/>
      <w:szCs w:val="18"/>
    </w:rPr>
  </w:style>
  <w:style w:type="paragraph" w:styleId="15">
    <w:name w:val="footer"/>
    <w:basedOn w:val="1"/>
    <w:link w:val="46"/>
    <w:qFormat/>
    <w:uiPriority w:val="0"/>
    <w:pPr>
      <w:tabs>
        <w:tab w:val="center" w:pos="4153"/>
        <w:tab w:val="right" w:pos="8306"/>
      </w:tabs>
      <w:snapToGrid w:val="0"/>
      <w:jc w:val="left"/>
    </w:pPr>
    <w:rPr>
      <w:sz w:val="18"/>
      <w:szCs w:val="18"/>
    </w:rPr>
  </w:style>
  <w:style w:type="paragraph" w:styleId="16">
    <w:name w:val="header"/>
    <w:basedOn w:val="1"/>
    <w:link w:val="47"/>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locked/>
    <w:uiPriority w:val="39"/>
  </w:style>
  <w:style w:type="paragraph" w:styleId="18">
    <w:name w:val="toc 2"/>
    <w:basedOn w:val="1"/>
    <w:next w:val="1"/>
    <w:qFormat/>
    <w:locked/>
    <w:uiPriority w:val="39"/>
    <w:pPr>
      <w:ind w:left="420" w:leftChars="200"/>
    </w:pPr>
  </w:style>
  <w:style w:type="paragraph" w:styleId="19">
    <w:name w:val="Body Text 2"/>
    <w:basedOn w:val="1"/>
    <w:link w:val="68"/>
    <w:qFormat/>
    <w:uiPriority w:val="0"/>
    <w:pPr>
      <w:spacing w:after="120" w:line="480" w:lineRule="auto"/>
    </w:pPr>
  </w:style>
  <w:style w:type="paragraph" w:styleId="20">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kern w:val="0"/>
      <w:sz w:val="20"/>
      <w:shd w:val="pct20" w:color="auto" w:fill="auto"/>
    </w:rPr>
  </w:style>
  <w:style w:type="paragraph" w:styleId="21">
    <w:name w:val="Normal (Web)"/>
    <w:basedOn w:val="1"/>
    <w:link w:val="48"/>
    <w:qFormat/>
    <w:uiPriority w:val="0"/>
    <w:pPr>
      <w:widowControl/>
      <w:spacing w:before="100" w:beforeAutospacing="1" w:after="100" w:afterAutospacing="1"/>
      <w:jc w:val="left"/>
    </w:pPr>
    <w:rPr>
      <w:rFonts w:ascii="宋体" w:hAnsi="宋体"/>
      <w:kern w:val="0"/>
    </w:rPr>
  </w:style>
  <w:style w:type="paragraph" w:styleId="22">
    <w:name w:val="annotation subject"/>
    <w:basedOn w:val="7"/>
    <w:next w:val="7"/>
    <w:link w:val="49"/>
    <w:semiHidden/>
    <w:qFormat/>
    <w:uiPriority w:val="0"/>
    <w:rPr>
      <w:b/>
      <w:bCs/>
    </w:rPr>
  </w:style>
  <w:style w:type="paragraph" w:styleId="23">
    <w:name w:val="Body Text First Indent"/>
    <w:basedOn w:val="8"/>
    <w:next w:val="1"/>
    <w:qFormat/>
    <w:uiPriority w:val="0"/>
    <w:pPr>
      <w:ind w:firstLine="420" w:firstLineChars="100"/>
    </w:pPr>
  </w:style>
  <w:style w:type="paragraph" w:styleId="24">
    <w:name w:val="Body Text First Indent 2"/>
    <w:basedOn w:val="11"/>
    <w:next w:val="1"/>
    <w:qFormat/>
    <w:uiPriority w:val="0"/>
    <w:pPr>
      <w:ind w:left="200" w:firstLine="200"/>
    </w:pPr>
    <w:rPr>
      <w:kern w:val="0"/>
    </w:rPr>
  </w:style>
  <w:style w:type="table" w:styleId="26">
    <w:name w:val="Table Grid"/>
    <w:basedOn w:val="2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page number"/>
    <w:basedOn w:val="27"/>
    <w:qFormat/>
    <w:uiPriority w:val="0"/>
  </w:style>
  <w:style w:type="character" w:styleId="29">
    <w:name w:val="annotation reference"/>
    <w:basedOn w:val="27"/>
    <w:semiHidden/>
    <w:qFormat/>
    <w:uiPriority w:val="0"/>
    <w:rPr>
      <w:sz w:val="21"/>
    </w:rPr>
  </w:style>
  <w:style w:type="paragraph" w:customStyle="1" w:styleId="30">
    <w:name w:val="表格"/>
    <w:basedOn w:val="31"/>
    <w:next w:val="1"/>
    <w:link w:val="32"/>
    <w:qFormat/>
    <w:uiPriority w:val="0"/>
    <w:pPr>
      <w:spacing w:line="240" w:lineRule="auto"/>
      <w:ind w:firstLine="0" w:firstLineChars="0"/>
    </w:pPr>
    <w:rPr>
      <w:rFonts w:ascii="Times New Roman" w:hAnsi="Times New Roman" w:cs="Times New Roman"/>
      <w:kern w:val="0"/>
      <w:sz w:val="21"/>
      <w:szCs w:val="21"/>
    </w:rPr>
  </w:style>
  <w:style w:type="paragraph" w:customStyle="1" w:styleId="31">
    <w:name w:val="表格标题"/>
    <w:basedOn w:val="1"/>
    <w:qFormat/>
    <w:uiPriority w:val="0"/>
    <w:pPr>
      <w:adjustRightInd w:val="0"/>
      <w:snapToGrid w:val="0"/>
      <w:spacing w:line="520" w:lineRule="exact"/>
      <w:jc w:val="center"/>
    </w:pPr>
    <w:rPr>
      <w:rFonts w:ascii="宋体" w:hAnsi="宋体" w:cs="宋体"/>
      <w:color w:val="000000"/>
    </w:rPr>
  </w:style>
  <w:style w:type="character" w:customStyle="1" w:styleId="32">
    <w:name w:val="表格 Char"/>
    <w:link w:val="30"/>
    <w:qFormat/>
    <w:locked/>
    <w:uiPriority w:val="0"/>
    <w:rPr>
      <w:rFonts w:ascii="Times New Roman" w:hAnsi="Times New Roman" w:eastAsia="宋体" w:cs="Times New Roman"/>
      <w:sz w:val="21"/>
    </w:rPr>
  </w:style>
  <w:style w:type="paragraph" w:customStyle="1" w:styleId="33">
    <w:name w:val="表头"/>
    <w:next w:val="1"/>
    <w:qFormat/>
    <w:uiPriority w:val="0"/>
    <w:pPr>
      <w:jc w:val="center"/>
    </w:pPr>
    <w:rPr>
      <w:rFonts w:ascii="Times New Roman" w:hAnsi="Times New Roman" w:eastAsia="宋体" w:cs="Times New Roman"/>
      <w:b/>
      <w:sz w:val="21"/>
      <w:szCs w:val="21"/>
      <w:lang w:val="en-US" w:eastAsia="zh-CN" w:bidi="ar-SA"/>
    </w:rPr>
  </w:style>
  <w:style w:type="paragraph" w:customStyle="1" w:styleId="34">
    <w:name w:val="表"/>
    <w:basedOn w:val="1"/>
    <w:qFormat/>
    <w:uiPriority w:val="0"/>
    <w:pPr>
      <w:spacing w:line="200" w:lineRule="atLeast"/>
      <w:jc w:val="center"/>
    </w:pPr>
    <w:rPr>
      <w:rFonts w:hint="eastAsia"/>
      <w:sz w:val="21"/>
      <w:szCs w:val="22"/>
    </w:rPr>
  </w:style>
  <w:style w:type="paragraph" w:customStyle="1" w:styleId="35">
    <w:name w:val="正 文"/>
    <w:basedOn w:val="36"/>
    <w:qFormat/>
    <w:uiPriority w:val="0"/>
    <w:pPr>
      <w:spacing w:line="640" w:lineRule="exact"/>
      <w:ind w:firstLine="200"/>
      <w:contextualSpacing/>
      <w:jc w:val="left"/>
    </w:pPr>
    <w:rPr>
      <w:color w:val="FF0000"/>
      <w:kern w:val="0"/>
    </w:rPr>
  </w:style>
  <w:style w:type="paragraph" w:customStyle="1" w:styleId="36">
    <w:name w:val="样式 首行缩进:  2 字符"/>
    <w:basedOn w:val="1"/>
    <w:qFormat/>
    <w:uiPriority w:val="0"/>
    <w:pPr>
      <w:spacing w:line="480" w:lineRule="exact"/>
      <w:ind w:firstLine="480"/>
    </w:pPr>
  </w:style>
  <w:style w:type="paragraph" w:customStyle="1" w:styleId="37">
    <w:name w:val="BodyText1I"/>
    <w:basedOn w:val="38"/>
    <w:qFormat/>
    <w:uiPriority w:val="0"/>
    <w:pPr>
      <w:spacing w:line="240" w:lineRule="auto"/>
      <w:ind w:firstLine="420" w:firstLineChars="100"/>
    </w:pPr>
    <w:rPr>
      <w:rFonts w:ascii="Calibri" w:hAnsi="Calibri"/>
      <w:sz w:val="21"/>
      <w:szCs w:val="22"/>
    </w:rPr>
  </w:style>
  <w:style w:type="paragraph" w:customStyle="1" w:styleId="38">
    <w:name w:val="BodyText"/>
    <w:basedOn w:val="1"/>
    <w:qFormat/>
    <w:uiPriority w:val="0"/>
    <w:pPr>
      <w:spacing w:after="120"/>
      <w:textAlignment w:val="baseline"/>
    </w:pPr>
  </w:style>
  <w:style w:type="character" w:customStyle="1" w:styleId="39">
    <w:name w:val="正文文本 字符"/>
    <w:link w:val="8"/>
    <w:qFormat/>
    <w:locked/>
    <w:uiPriority w:val="0"/>
    <w:rPr>
      <w:sz w:val="18"/>
    </w:rPr>
  </w:style>
  <w:style w:type="paragraph" w:customStyle="1" w:styleId="40">
    <w:name w:val="Default"/>
    <w:basedOn w:val="41"/>
    <w:next w:val="1"/>
    <w:qFormat/>
    <w:uiPriority w:val="0"/>
    <w:pPr>
      <w:widowControl w:val="0"/>
      <w:autoSpaceDE w:val="0"/>
      <w:autoSpaceDN w:val="0"/>
    </w:pPr>
    <w:rPr>
      <w:rFonts w:hAnsi="Times New Roman" w:cs="宋体"/>
      <w:color w:val="000000"/>
      <w:szCs w:val="24"/>
    </w:rPr>
  </w:style>
  <w:style w:type="paragraph" w:customStyle="1" w:styleId="41">
    <w:name w:val="纯文本1"/>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42">
    <w:name w:val="批注文字 字符"/>
    <w:link w:val="7"/>
    <w:qFormat/>
    <w:locked/>
    <w:uiPriority w:val="0"/>
    <w:rPr>
      <w:rFonts w:ascii="Times New Roman" w:hAnsi="Times New Roman" w:eastAsia="宋体"/>
      <w:sz w:val="24"/>
    </w:rPr>
  </w:style>
  <w:style w:type="character" w:customStyle="1" w:styleId="43">
    <w:name w:val="正文文本缩进 字符"/>
    <w:basedOn w:val="27"/>
    <w:link w:val="11"/>
    <w:semiHidden/>
    <w:qFormat/>
    <w:locked/>
    <w:uiPriority w:val="0"/>
    <w:rPr>
      <w:rFonts w:ascii="Times New Roman" w:hAnsi="Times New Roman" w:eastAsia="宋体" w:cs="Times New Roman"/>
      <w:sz w:val="24"/>
      <w:szCs w:val="24"/>
    </w:rPr>
  </w:style>
  <w:style w:type="character" w:customStyle="1" w:styleId="44">
    <w:name w:val="日期 字符1"/>
    <w:link w:val="12"/>
    <w:qFormat/>
    <w:locked/>
    <w:uiPriority w:val="0"/>
    <w:rPr>
      <w:rFonts w:ascii="Times New Roman" w:hAnsi="Times New Roman" w:eastAsia="宋体"/>
      <w:sz w:val="24"/>
    </w:rPr>
  </w:style>
  <w:style w:type="character" w:customStyle="1" w:styleId="45">
    <w:name w:val="批注框文本 字符"/>
    <w:basedOn w:val="27"/>
    <w:link w:val="14"/>
    <w:semiHidden/>
    <w:qFormat/>
    <w:locked/>
    <w:uiPriority w:val="0"/>
    <w:rPr>
      <w:rFonts w:ascii="Times New Roman" w:hAnsi="Times New Roman" w:eastAsia="宋体" w:cs="Times New Roman"/>
      <w:sz w:val="18"/>
      <w:szCs w:val="18"/>
    </w:rPr>
  </w:style>
  <w:style w:type="character" w:customStyle="1" w:styleId="46">
    <w:name w:val="页脚 字符"/>
    <w:basedOn w:val="27"/>
    <w:link w:val="15"/>
    <w:qFormat/>
    <w:locked/>
    <w:uiPriority w:val="0"/>
    <w:rPr>
      <w:rFonts w:cs="Times New Roman"/>
      <w:sz w:val="18"/>
      <w:szCs w:val="18"/>
    </w:rPr>
  </w:style>
  <w:style w:type="character" w:customStyle="1" w:styleId="47">
    <w:name w:val="页眉 字符"/>
    <w:basedOn w:val="27"/>
    <w:link w:val="16"/>
    <w:qFormat/>
    <w:locked/>
    <w:uiPriority w:val="0"/>
    <w:rPr>
      <w:rFonts w:cs="Times New Roman"/>
      <w:sz w:val="18"/>
      <w:szCs w:val="18"/>
    </w:rPr>
  </w:style>
  <w:style w:type="character" w:customStyle="1" w:styleId="48">
    <w:name w:val="普通(网站) 字符"/>
    <w:link w:val="21"/>
    <w:qFormat/>
    <w:locked/>
    <w:uiPriority w:val="0"/>
    <w:rPr>
      <w:rFonts w:ascii="宋体" w:hAnsi="宋体" w:eastAsia="宋体"/>
      <w:sz w:val="24"/>
    </w:rPr>
  </w:style>
  <w:style w:type="character" w:customStyle="1" w:styleId="49">
    <w:name w:val="批注主题 字符"/>
    <w:basedOn w:val="42"/>
    <w:link w:val="22"/>
    <w:semiHidden/>
    <w:qFormat/>
    <w:locked/>
    <w:uiPriority w:val="0"/>
    <w:rPr>
      <w:rFonts w:ascii="Times New Roman" w:hAnsi="Times New Roman" w:eastAsia="宋体" w:cs="Times New Roman"/>
      <w:b/>
      <w:bCs/>
      <w:kern w:val="2"/>
      <w:sz w:val="24"/>
      <w:szCs w:val="24"/>
    </w:rPr>
  </w:style>
  <w:style w:type="character" w:customStyle="1" w:styleId="50">
    <w:name w:val="日期 字符"/>
    <w:basedOn w:val="27"/>
    <w:semiHidden/>
    <w:qFormat/>
    <w:uiPriority w:val="0"/>
    <w:rPr>
      <w:rFonts w:ascii="Times New Roman" w:hAnsi="Times New Roman" w:eastAsia="宋体" w:cs="Times New Roman"/>
      <w:sz w:val="24"/>
      <w:szCs w:val="24"/>
    </w:rPr>
  </w:style>
  <w:style w:type="character" w:customStyle="1" w:styleId="51">
    <w:name w:val="正文文本 字符1"/>
    <w:basedOn w:val="27"/>
    <w:semiHidden/>
    <w:qFormat/>
    <w:uiPriority w:val="0"/>
    <w:rPr>
      <w:rFonts w:ascii="Times New Roman" w:hAnsi="Times New Roman" w:eastAsia="宋体" w:cs="Times New Roman"/>
      <w:sz w:val="24"/>
      <w:szCs w:val="24"/>
    </w:rPr>
  </w:style>
  <w:style w:type="paragraph" w:customStyle="1" w:styleId="52">
    <w:name w:val="普通(网站)2"/>
    <w:basedOn w:val="1"/>
    <w:qFormat/>
    <w:uiPriority w:val="0"/>
    <w:pPr>
      <w:widowControl/>
      <w:spacing w:before="100" w:beforeAutospacing="1" w:after="100" w:afterAutospacing="1"/>
      <w:jc w:val="left"/>
    </w:pPr>
    <w:rPr>
      <w:rFonts w:ascii="宋体" w:hAnsi="宋体"/>
      <w:szCs w:val="20"/>
    </w:rPr>
  </w:style>
  <w:style w:type="character" w:customStyle="1" w:styleId="53">
    <w:name w:val="批注文字 字符1"/>
    <w:basedOn w:val="27"/>
    <w:semiHidden/>
    <w:qFormat/>
    <w:uiPriority w:val="0"/>
    <w:rPr>
      <w:rFonts w:ascii="Times New Roman" w:hAnsi="Times New Roman" w:eastAsia="宋体" w:cs="Times New Roman"/>
      <w:sz w:val="24"/>
      <w:szCs w:val="24"/>
    </w:rPr>
  </w:style>
  <w:style w:type="character" w:customStyle="1" w:styleId="54">
    <w:name w:val="普通(网站) Char"/>
    <w:qFormat/>
    <w:locked/>
    <w:uiPriority w:val="0"/>
    <w:rPr>
      <w:rFonts w:ascii="宋体" w:hAnsi="宋体" w:eastAsia="宋体"/>
      <w:sz w:val="24"/>
    </w:rPr>
  </w:style>
  <w:style w:type="table" w:customStyle="1" w:styleId="55">
    <w:name w:val="Table Normal"/>
    <w:unhideWhenUsed/>
    <w:qFormat/>
    <w:uiPriority w:val="0"/>
    <w:tblPr>
      <w:tblCellMar>
        <w:top w:w="0" w:type="dxa"/>
        <w:left w:w="0" w:type="dxa"/>
        <w:bottom w:w="0" w:type="dxa"/>
        <w:right w:w="0" w:type="dxa"/>
      </w:tblCellMar>
    </w:tblPr>
  </w:style>
  <w:style w:type="paragraph" w:customStyle="1" w:styleId="56">
    <w:name w:val="0表-序号"/>
    <w:next w:val="57"/>
    <w:qFormat/>
    <w:uiPriority w:val="0"/>
    <w:pPr>
      <w:numPr>
        <w:ilvl w:val="6"/>
        <w:numId w:val="1"/>
      </w:numPr>
      <w:tabs>
        <w:tab w:val="left" w:pos="0"/>
        <w:tab w:val="left" w:pos="1701"/>
      </w:tabs>
      <w:adjustRightInd w:val="0"/>
      <w:snapToGrid w:val="0"/>
      <w:ind w:left="0"/>
      <w:jc w:val="center"/>
    </w:pPr>
    <w:rPr>
      <w:rFonts w:ascii="Times New Roman" w:hAnsi="Times New Roman" w:eastAsia="宋体" w:cs="Times New Roman"/>
      <w:b/>
      <w:sz w:val="21"/>
      <w:lang w:val="en-US" w:eastAsia="zh-CN" w:bidi="ar-SA"/>
    </w:rPr>
  </w:style>
  <w:style w:type="paragraph" w:customStyle="1" w:styleId="57">
    <w:name w:val="000表格正文"/>
    <w:basedOn w:val="1"/>
    <w:next w:val="1"/>
    <w:qFormat/>
    <w:uiPriority w:val="0"/>
    <w:pPr>
      <w:pBdr>
        <w:top w:val="none" w:color="auto" w:sz="0" w:space="1"/>
        <w:left w:val="none" w:color="auto" w:sz="0" w:space="4"/>
        <w:bottom w:val="none" w:color="auto" w:sz="0" w:space="1"/>
        <w:right w:val="none" w:color="auto" w:sz="0" w:space="4"/>
      </w:pBdr>
      <w:spacing w:line="240" w:lineRule="auto"/>
      <w:jc w:val="center"/>
    </w:pPr>
    <w:rPr>
      <w:sz w:val="21"/>
    </w:rPr>
  </w:style>
  <w:style w:type="paragraph" w:customStyle="1" w:styleId="58">
    <w:name w:val="【正文】"/>
    <w:basedOn w:val="1"/>
    <w:next w:val="20"/>
    <w:qFormat/>
    <w:uiPriority w:val="0"/>
    <w:pPr>
      <w:spacing w:line="440" w:lineRule="exact"/>
      <w:ind w:firstLine="544"/>
    </w:pPr>
    <w:rPr>
      <w:rFonts w:cs="宋体"/>
      <w:szCs w:val="20"/>
    </w:rPr>
  </w:style>
  <w:style w:type="paragraph" w:styleId="59">
    <w:name w:val="List Paragraph"/>
    <w:basedOn w:val="1"/>
    <w:qFormat/>
    <w:uiPriority w:val="99"/>
    <w:pPr>
      <w:ind w:firstLine="420"/>
    </w:pPr>
  </w:style>
  <w:style w:type="paragraph" w:customStyle="1" w:styleId="60">
    <w:name w:val="表格内容"/>
    <w:basedOn w:val="1"/>
    <w:qFormat/>
    <w:uiPriority w:val="0"/>
    <w:pPr>
      <w:spacing w:line="240" w:lineRule="exact"/>
      <w:jc w:val="center"/>
    </w:pPr>
    <w:rPr>
      <w:snapToGrid w:val="0"/>
      <w:color w:val="FF0000"/>
      <w:kern w:val="0"/>
      <w:sz w:val="21"/>
      <w:szCs w:val="21"/>
    </w:rPr>
  </w:style>
  <w:style w:type="paragraph" w:customStyle="1" w:styleId="61">
    <w:name w:val="样式 四号 行距: 固定值 25 磅"/>
    <w:basedOn w:val="1"/>
    <w:qFormat/>
    <w:uiPriority w:val="0"/>
    <w:pPr>
      <w:tabs>
        <w:tab w:val="left" w:pos="5880"/>
      </w:tabs>
    </w:pPr>
    <w:rPr>
      <w:shd w:val="clear" w:color="auto" w:fill="FFFFFF"/>
    </w:rPr>
  </w:style>
  <w:style w:type="paragraph" w:customStyle="1" w:styleId="62">
    <w:name w:val="正文11"/>
    <w:basedOn w:val="1"/>
    <w:qFormat/>
    <w:uiPriority w:val="0"/>
    <w:pPr>
      <w:ind w:firstLine="200"/>
    </w:pPr>
  </w:style>
  <w:style w:type="paragraph" w:customStyle="1" w:styleId="63">
    <w:name w:val="表头文字"/>
    <w:basedOn w:val="1"/>
    <w:qFormat/>
    <w:uiPriority w:val="0"/>
    <w:pPr>
      <w:adjustRightInd w:val="0"/>
      <w:jc w:val="center"/>
    </w:pPr>
    <w:rPr>
      <w:sz w:val="28"/>
      <w:szCs w:val="20"/>
    </w:rPr>
  </w:style>
  <w:style w:type="paragraph" w:customStyle="1" w:styleId="64">
    <w:name w:val="WPSOffice手动目录 1"/>
    <w:qFormat/>
    <w:uiPriority w:val="0"/>
    <w:rPr>
      <w:rFonts w:ascii="Times New Roman" w:hAnsi="Times New Roman" w:eastAsia="宋体" w:cs="Times New Roman"/>
      <w:lang w:val="en-US" w:eastAsia="zh-CN" w:bidi="ar-SA"/>
    </w:rPr>
  </w:style>
  <w:style w:type="paragraph" w:customStyle="1" w:styleId="65">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66">
    <w:name w:val="font61"/>
    <w:basedOn w:val="27"/>
    <w:qFormat/>
    <w:uiPriority w:val="0"/>
    <w:rPr>
      <w:rFonts w:hint="eastAsia" w:ascii="宋体" w:hAnsi="宋体" w:eastAsia="宋体" w:cs="宋体"/>
      <w:color w:val="000000"/>
      <w:sz w:val="24"/>
      <w:szCs w:val="24"/>
      <w:u w:val="none"/>
    </w:rPr>
  </w:style>
  <w:style w:type="paragraph" w:customStyle="1" w:styleId="67">
    <w:name w:val="正文（首行缩进两字） Char"/>
    <w:basedOn w:val="1"/>
    <w:qFormat/>
    <w:uiPriority w:val="0"/>
    <w:pPr>
      <w:widowControl/>
      <w:ind w:firstLine="420"/>
    </w:pPr>
    <w:rPr>
      <w:szCs w:val="20"/>
    </w:rPr>
  </w:style>
  <w:style w:type="character" w:customStyle="1" w:styleId="68">
    <w:name w:val="正文文本 2 字符"/>
    <w:basedOn w:val="27"/>
    <w:link w:val="19"/>
    <w:qFormat/>
    <w:uiPriority w:val="0"/>
    <w:rPr>
      <w:kern w:val="2"/>
      <w:sz w:val="24"/>
      <w:szCs w:val="24"/>
    </w:rPr>
  </w:style>
  <w:style w:type="paragraph" w:customStyle="1" w:styleId="69">
    <w:name w:val="[1]正文"/>
    <w:basedOn w:val="1"/>
    <w:qFormat/>
    <w:uiPriority w:val="0"/>
    <w:pPr>
      <w:widowControl/>
      <w:tabs>
        <w:tab w:val="left" w:pos="8773"/>
      </w:tabs>
      <w:spacing w:line="560" w:lineRule="exact"/>
    </w:pPr>
    <w:rPr>
      <w:rFonts w:ascii="Calibri" w:hAnsi="Calibri" w:eastAsia="黑体"/>
      <w:sz w:val="28"/>
      <w:szCs w:val="28"/>
      <w:lang w:val="en-GB"/>
    </w:rPr>
  </w:style>
  <w:style w:type="paragraph" w:customStyle="1" w:styleId="70">
    <w:name w:val="Table Paragraph"/>
    <w:basedOn w:val="1"/>
    <w:qFormat/>
    <w:uiPriority w:val="1"/>
    <w:rPr>
      <w:rFonts w:ascii="Calibri" w:hAnsi="Calibri"/>
      <w:sz w:val="22"/>
      <w:lang w:eastAsia="en-US"/>
    </w:rPr>
  </w:style>
  <w:style w:type="paragraph" w:customStyle="1" w:styleId="71">
    <w:name w:val="【表中文字】"/>
    <w:basedOn w:val="1"/>
    <w:qFormat/>
    <w:uiPriority w:val="0"/>
    <w:pPr>
      <w:jc w:val="center"/>
    </w:pPr>
    <w:rPr>
      <w:sz w:val="21"/>
      <w:szCs w:val="20"/>
      <w:lang w:val="zh-CN"/>
    </w:rPr>
  </w:style>
  <w:style w:type="character" w:customStyle="1" w:styleId="72">
    <w:name w:val="正文首行缩进2字符 Char Char"/>
    <w:qFormat/>
    <w:uiPriority w:val="0"/>
    <w:rPr>
      <w:rFonts w:ascii="宋体" w:hAnsi="宋体" w:eastAsia="宋体" w:cs="宋体"/>
      <w:kern w:val="2"/>
      <w:sz w:val="28"/>
      <w:szCs w:val="24"/>
      <w:lang w:val="en-US" w:eastAsia="zh-CN" w:bidi="ar-SA"/>
    </w:rPr>
  </w:style>
  <w:style w:type="paragraph" w:customStyle="1" w:styleId="73">
    <w:name w:val="内容"/>
    <w:basedOn w:val="1"/>
    <w:qFormat/>
    <w:uiPriority w:val="0"/>
    <w:pPr>
      <w:widowControl/>
      <w:spacing w:line="520" w:lineRule="exact"/>
    </w:pPr>
    <w:rPr>
      <w:rFonts w:ascii="宋体" w:hAnsi="宋体"/>
      <w:bCs/>
      <w:kern w:val="0"/>
      <w:sz w:val="26"/>
    </w:rPr>
  </w:style>
  <w:style w:type="paragraph" w:customStyle="1" w:styleId="74">
    <w:name w:val="自正文1"/>
    <w:basedOn w:val="1"/>
    <w:qFormat/>
    <w:uiPriority w:val="0"/>
    <w:pPr>
      <w:widowControl/>
      <w:tabs>
        <w:tab w:val="left" w:pos="5670"/>
      </w:tabs>
      <w:adjustRightInd w:val="0"/>
      <w:snapToGrid w:val="0"/>
      <w:spacing w:before="50"/>
      <w:ind w:firstLine="629" w:firstLineChars="262"/>
      <w:jc w:val="right"/>
      <w:textAlignment w:val="baseline"/>
    </w:pPr>
    <w:rPr>
      <w:rFonts w:ascii="宋体" w:hAnsi="宋体" w:eastAsia="汉仪仿宋简" w:cs="宋体"/>
      <w:kern w:val="0"/>
      <w:szCs w:val="20"/>
    </w:rPr>
  </w:style>
  <w:style w:type="paragraph" w:customStyle="1" w:styleId="75">
    <w:name w:val="易恒-正文"/>
    <w:basedOn w:val="1"/>
    <w:qFormat/>
    <w:uiPriority w:val="0"/>
    <w:pPr>
      <w:spacing w:line="360" w:lineRule="auto"/>
      <w:ind w:firstLine="200" w:firstLineChars="200"/>
    </w:pPr>
    <w:rPr>
      <w:rFonts w:ascii="Times New Roman" w:hAnsi="Times New Roman" w:eastAsia="宋体"/>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6" Type="http://schemas.openxmlformats.org/officeDocument/2006/relationships/fontTable" Target="fontTable.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59.jpe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footer" Target="footer3.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wmf"/><Relationship Id="rId43" Type="http://schemas.openxmlformats.org/officeDocument/2006/relationships/image" Target="media/image29.wmf"/><Relationship Id="rId42" Type="http://schemas.openxmlformats.org/officeDocument/2006/relationships/oleObject" Target="embeddings/oleObject5.bin"/><Relationship Id="rId41" Type="http://schemas.openxmlformats.org/officeDocument/2006/relationships/image" Target="media/image28.wmf"/><Relationship Id="rId40" Type="http://schemas.openxmlformats.org/officeDocument/2006/relationships/oleObject" Target="embeddings/oleObject4.bin"/><Relationship Id="rId4" Type="http://schemas.openxmlformats.org/officeDocument/2006/relationships/endnotes" Target="endnotes.xml"/><Relationship Id="rId39" Type="http://schemas.openxmlformats.org/officeDocument/2006/relationships/image" Target="media/image27.wmf"/><Relationship Id="rId38" Type="http://schemas.openxmlformats.org/officeDocument/2006/relationships/oleObject" Target="embeddings/oleObject3.bin"/><Relationship Id="rId37" Type="http://schemas.openxmlformats.org/officeDocument/2006/relationships/image" Target="media/image26.wmf"/><Relationship Id="rId36" Type="http://schemas.openxmlformats.org/officeDocument/2006/relationships/oleObject" Target="embeddings/oleObject2.bin"/><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110</Pages>
  <Words>323</Words>
  <Characters>347</Characters>
  <Lines>432</Lines>
  <Paragraphs>121</Paragraphs>
  <TotalTime>0</TotalTime>
  <ScaleCrop>false</ScaleCrop>
  <LinksUpToDate>false</LinksUpToDate>
  <CharactersWithSpaces>422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冰</cp:lastModifiedBy>
  <cp:lastPrinted>2020-12-24T01:50:00Z</cp:lastPrinted>
  <dcterms:modified xsi:type="dcterms:W3CDTF">2025-04-24T07:18:54Z</dcterms:modified>
  <cp:revision>154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4A9A22C3F288411EA71417E022FAF96F_13</vt:lpwstr>
  </property>
  <property fmtid="{D5CDD505-2E9C-101B-9397-08002B2CF9AE}" pid="4" name="KSOTemplateDocerSaveRecord">
    <vt:lpwstr>eyJoZGlkIjoiMjhlMjcyYWYzMmNhZTQwNDE4NDllZTE1OWExNGI3NjgiLCJ1c2VySWQiOiI0MDU3NzIyMDQifQ==</vt:lpwstr>
  </property>
</Properties>
</file>