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65C552">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6E6A9274">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10561C2A">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6C831CCA">
      <w:pPr>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49F71504">
      <w:pPr>
        <w:widowControl w:val="0"/>
        <w:spacing w:line="360" w:lineRule="auto"/>
        <w:ind w:firstLine="0" w:firstLineChars="0"/>
        <w:jc w:val="center"/>
        <w:rPr>
          <w:rFonts w:hint="default" w:ascii="Times New Roman" w:hAnsi="Times New Roman" w:eastAsia="宋体" w:cs="Times New Roman"/>
          <w:b/>
          <w:color w:val="000000" w:themeColor="text1"/>
          <w:kern w:val="0"/>
          <w:sz w:val="72"/>
          <w:szCs w:val="72"/>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72"/>
          <w:szCs w:val="72"/>
          <w:highlight w:val="none"/>
          <w:lang w:val="en-US" w:eastAsia="zh-CN" w:bidi="ar-SA"/>
          <w14:textFill>
            <w14:solidFill>
              <w14:schemeClr w14:val="tx1"/>
            </w14:solidFill>
          </w14:textFill>
        </w:rPr>
        <w:t>建设项目环境影响报告表</w:t>
      </w:r>
    </w:p>
    <w:p w14:paraId="29775405">
      <w:pPr>
        <w:adjustRightInd w:val="0"/>
        <w:snapToGrid w:val="0"/>
        <w:spacing w:before="192" w:beforeLines="80"/>
        <w:jc w:val="center"/>
        <w:rPr>
          <w:rFonts w:hint="default" w:ascii="Times New Roman" w:hAnsi="Times New Roman" w:eastAsia="宋体" w:cs="Times New Roman"/>
          <w:bCs/>
          <w:color w:val="000000" w:themeColor="text1"/>
          <w:sz w:val="48"/>
          <w:szCs w:val="48"/>
          <w:highlight w:val="none"/>
          <w14:textFill>
            <w14:solidFill>
              <w14:schemeClr w14:val="tx1"/>
            </w14:solidFill>
          </w14:textFill>
        </w:rPr>
      </w:pPr>
      <w:r>
        <w:rPr>
          <w:rFonts w:hint="default" w:ascii="Times New Roman" w:hAnsi="Times New Roman" w:eastAsia="宋体" w:cs="Times New Roman"/>
          <w:bCs/>
          <w:color w:val="000000" w:themeColor="text1"/>
          <w:sz w:val="48"/>
          <w:szCs w:val="48"/>
          <w:highlight w:val="none"/>
          <w14:textFill>
            <w14:solidFill>
              <w14:schemeClr w14:val="tx1"/>
            </w14:solidFill>
          </w14:textFill>
        </w:rPr>
        <w:t>（污染影响类）</w:t>
      </w:r>
    </w:p>
    <w:p w14:paraId="049A91E6">
      <w:pPr>
        <w:adjustRightInd w:val="0"/>
        <w:snapToGrid w:val="0"/>
        <w:spacing w:line="288" w:lineRule="auto"/>
        <w:jc w:val="center"/>
        <w:rPr>
          <w:rFonts w:hint="default" w:ascii="Times New Roman" w:hAnsi="Times New Roman" w:eastAsia="宋体" w:cs="Times New Roman"/>
          <w:color w:val="000000" w:themeColor="text1"/>
          <w:kern w:val="44"/>
          <w:sz w:val="44"/>
          <w:szCs w:val="44"/>
          <w:highlight w:val="none"/>
          <w14:textFill>
            <w14:solidFill>
              <w14:schemeClr w14:val="tx1"/>
            </w14:solidFill>
          </w14:textFill>
        </w:rPr>
      </w:pPr>
    </w:p>
    <w:p w14:paraId="70C9E87C">
      <w:pPr>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7944A76D">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114A84BF">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799998EC">
      <w:pPr>
        <w:ind w:firstLine="1040"/>
        <w:rPr>
          <w:rFonts w:hint="default" w:ascii="Times New Roman" w:hAnsi="Times New Roman" w:eastAsia="宋体" w:cs="Times New Roman"/>
          <w:color w:val="000000" w:themeColor="text1"/>
          <w:sz w:val="44"/>
          <w:szCs w:val="44"/>
          <w:highlight w:val="none"/>
          <w14:textFill>
            <w14:solidFill>
              <w14:schemeClr w14:val="tx1"/>
            </w14:solidFill>
          </w14:textFill>
        </w:rPr>
      </w:pPr>
    </w:p>
    <w:p w14:paraId="76C21121">
      <w:pPr>
        <w:adjustRightInd w:val="0"/>
        <w:snapToGrid w:val="0"/>
        <w:spacing w:line="288" w:lineRule="auto"/>
        <w:ind w:left="2570" w:leftChars="462" w:hanging="1600" w:hangingChars="500"/>
        <w:rPr>
          <w:rFonts w:hint="default" w:ascii="Times New Roman" w:hAnsi="Times New Roman" w:eastAsia="宋体" w:cs="Times New Roman"/>
          <w:color w:val="000000" w:themeColor="text1"/>
          <w:sz w:val="32"/>
          <w:szCs w:val="32"/>
          <w:highlight w:val="none"/>
          <w:u w:val="single"/>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项目名称：</w:t>
      </w:r>
      <w:r>
        <w:rPr>
          <w:rFonts w:hint="eastAsia"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双鸭山市嘉程食品加工有限公司建设项目</w:t>
      </w:r>
    </w:p>
    <w:p w14:paraId="6B2078C0">
      <w:pPr>
        <w:adjustRightInd w:val="0"/>
        <w:snapToGrid w:val="0"/>
        <w:spacing w:line="288" w:lineRule="auto"/>
        <w:ind w:left="2570" w:leftChars="462" w:hanging="1600" w:hangingChars="500"/>
        <w:rPr>
          <w:rFonts w:hint="default" w:ascii="Times New Roman" w:hAnsi="Times New Roman" w:eastAsia="宋体" w:cs="Times New Roman"/>
          <w:color w:val="000000" w:themeColor="text1"/>
          <w:sz w:val="32"/>
          <w:szCs w:val="32"/>
          <w:highlight w:val="none"/>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建设单位（盖章）：</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双鸭山市嘉程食品加工有限公司</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2"/>
          <w:szCs w:val="32"/>
          <w:highlight w:val="none"/>
          <w14:textFill>
            <w14:solidFill>
              <w14:schemeClr w14:val="tx1"/>
            </w14:solidFill>
          </w14:textFill>
        </w:rPr>
        <w:t xml:space="preserve"> </w:t>
      </w:r>
    </w:p>
    <w:p w14:paraId="30CC8DE4">
      <w:pPr>
        <w:adjustRightInd w:val="0"/>
        <w:snapToGrid w:val="0"/>
        <w:spacing w:line="288" w:lineRule="auto"/>
        <w:ind w:left="2570" w:leftChars="462" w:hanging="1600" w:hangingChars="500"/>
        <w:rPr>
          <w:rFonts w:hint="default" w:ascii="Times New Roman" w:hAnsi="Times New Roman" w:eastAsia="宋体" w:cs="Times New Roman"/>
          <w:color w:val="000000" w:themeColor="text1"/>
          <w:sz w:val="36"/>
          <w:szCs w:val="36"/>
          <w:highlight w:val="none"/>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编制日期：</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 xml:space="preserve">           202</w:t>
      </w:r>
      <w:r>
        <w:rPr>
          <w:rFonts w:hint="eastAsia"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5</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年</w:t>
      </w:r>
      <w:r>
        <w:rPr>
          <w:rFonts w:hint="eastAsia"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3</w:t>
      </w:r>
      <w:r>
        <w:rPr>
          <w:rFonts w:hint="default" w:ascii="Times New Roman" w:hAnsi="Times New Roman" w:eastAsia="宋体" w:cs="Times New Roman"/>
          <w:color w:val="000000" w:themeColor="text1"/>
          <w:sz w:val="32"/>
          <w:szCs w:val="32"/>
          <w:highlight w:val="none"/>
          <w:u w:val="single"/>
          <w14:textFill>
            <w14:solidFill>
              <w14:schemeClr w14:val="tx1"/>
            </w14:solidFill>
          </w14:textFill>
        </w:rPr>
        <w:t xml:space="preserve">月     </w:t>
      </w:r>
      <w:r>
        <w:rPr>
          <w:rFonts w:hint="default" w:ascii="Times New Roman" w:hAnsi="Times New Roman" w:eastAsia="宋体" w:cs="Times New Roman"/>
          <w:color w:val="000000" w:themeColor="text1"/>
          <w:sz w:val="32"/>
          <w:szCs w:val="32"/>
          <w:highlight w:val="none"/>
          <w14:textFill>
            <w14:solidFill>
              <w14:schemeClr w14:val="tx1"/>
            </w14:solidFill>
          </w14:textFill>
        </w:rPr>
        <w:t xml:space="preserve"> </w:t>
      </w:r>
      <w:r>
        <w:rPr>
          <w:rFonts w:hint="default" w:ascii="Times New Roman" w:hAnsi="Times New Roman" w:eastAsia="宋体" w:cs="Times New Roman"/>
          <w:color w:val="000000" w:themeColor="text1"/>
          <w:sz w:val="36"/>
          <w:szCs w:val="36"/>
          <w:highlight w:val="none"/>
          <w14:textFill>
            <w14:solidFill>
              <w14:schemeClr w14:val="tx1"/>
            </w14:solidFill>
          </w14:textFill>
        </w:rPr>
        <w:t xml:space="preserve">      </w:t>
      </w:r>
    </w:p>
    <w:p w14:paraId="4E263EBC">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u w:val="single"/>
          <w14:textFill>
            <w14:solidFill>
              <w14:schemeClr w14:val="tx1"/>
            </w14:solidFill>
          </w14:textFill>
        </w:rPr>
      </w:pPr>
      <w:bookmarkStart w:id="0" w:name="_Hlk57884087"/>
    </w:p>
    <w:p w14:paraId="330C2672">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46F21890">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309773EC">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p w14:paraId="6DD78EBB">
      <w:pPr>
        <w:adjustRightInd w:val="0"/>
        <w:snapToGrid w:val="0"/>
        <w:spacing w:line="288" w:lineRule="auto"/>
        <w:ind w:firstLine="1040"/>
        <w:rPr>
          <w:rFonts w:hint="default" w:ascii="Times New Roman" w:hAnsi="Times New Roman" w:eastAsia="宋体" w:cs="Times New Roman"/>
          <w:color w:val="000000" w:themeColor="text1"/>
          <w:sz w:val="36"/>
          <w:szCs w:val="36"/>
          <w:highlight w:val="none"/>
          <w14:textFill>
            <w14:solidFill>
              <w14:schemeClr w14:val="tx1"/>
            </w14:solidFill>
          </w14:textFill>
        </w:rPr>
      </w:pPr>
    </w:p>
    <w:bookmarkEnd w:id="0"/>
    <w:p w14:paraId="5FACB203">
      <w:pPr>
        <w:adjustRightInd w:val="0"/>
        <w:snapToGrid w:val="0"/>
        <w:spacing w:line="288" w:lineRule="auto"/>
        <w:jc w:val="center"/>
        <w:rPr>
          <w:rFonts w:hint="default" w:ascii="Times New Roman" w:hAnsi="Times New Roman" w:eastAsia="宋体" w:cs="Times New Roman"/>
          <w:color w:val="000000" w:themeColor="text1"/>
          <w:sz w:val="32"/>
          <w:szCs w:val="32"/>
          <w:highlight w:val="none"/>
          <w14:textFill>
            <w14:solidFill>
              <w14:schemeClr w14:val="tx1"/>
            </w14:solidFill>
          </w14:textFill>
        </w:rPr>
        <w:sectPr>
          <w:footerReference r:id="rId5" w:type="first"/>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titlePg/>
          <w:docGrid w:linePitch="312" w:charSpace="0"/>
        </w:sectPr>
      </w:pPr>
      <w:r>
        <w:rPr>
          <w:rFonts w:hint="default" w:ascii="Times New Roman" w:hAnsi="Times New Roman" w:eastAsia="宋体" w:cs="Times New Roman"/>
          <w:color w:val="000000" w:themeColor="text1"/>
          <w:sz w:val="32"/>
          <w:szCs w:val="32"/>
          <w:highlight w:val="none"/>
          <w14:textFill>
            <w14:solidFill>
              <w14:schemeClr w14:val="tx1"/>
            </w14:solidFill>
          </w14:textFill>
        </w:rPr>
        <w:t>中华人民共和国生态环境部制</w:t>
      </w:r>
    </w:p>
    <w:p w14:paraId="3396626B">
      <w:pPr>
        <w:spacing w:line="480" w:lineRule="auto"/>
        <w:jc w:val="both"/>
        <w:rPr>
          <w:rFonts w:hint="default" w:ascii="Times New Roman" w:hAnsi="Times New Roman" w:eastAsia="宋体" w:cs="Times New Roman"/>
          <w:snapToGrid w:val="0"/>
          <w:color w:val="000000" w:themeColor="text1"/>
          <w:sz w:val="30"/>
          <w:szCs w:val="30"/>
          <w:highlight w:val="none"/>
          <w:lang w:eastAsia="zh-CN"/>
          <w14:textFill>
            <w14:solidFill>
              <w14:schemeClr w14:val="tx1"/>
            </w14:solidFill>
          </w14:textFill>
        </w:rPr>
        <w:sectPr>
          <w:footerReference r:id="rId7" w:type="first"/>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titlePg/>
          <w:docGrid w:linePitch="312" w:charSpace="0"/>
        </w:sectPr>
      </w:pPr>
      <w:r>
        <w:rPr>
          <w:rFonts w:hint="default" w:ascii="Times New Roman" w:hAnsi="Times New Roman" w:eastAsia="宋体" w:cs="Times New Roman"/>
          <w:snapToGrid w:val="0"/>
          <w:color w:val="000000" w:themeColor="text1"/>
          <w:sz w:val="30"/>
          <w:szCs w:val="30"/>
          <w:highlight w:val="none"/>
          <w:lang w:eastAsia="zh-CN"/>
          <w14:textFill>
            <w14:solidFill>
              <w14:schemeClr w14:val="tx1"/>
            </w14:solidFill>
          </w14:textFill>
        </w:rPr>
        <w:drawing>
          <wp:anchor distT="0" distB="0" distL="114300" distR="114300" simplePos="0" relativeHeight="251684864" behindDoc="0" locked="0" layoutInCell="1" allowOverlap="1">
            <wp:simplePos x="0" y="0"/>
            <wp:positionH relativeFrom="column">
              <wp:posOffset>0</wp:posOffset>
            </wp:positionH>
            <wp:positionV relativeFrom="paragraph">
              <wp:posOffset>0</wp:posOffset>
            </wp:positionV>
            <wp:extent cx="5615940" cy="7715885"/>
            <wp:effectExtent l="0" t="0" r="3810" b="18415"/>
            <wp:wrapSquare wrapText="bothSides"/>
            <wp:docPr id="39" name="图片 39" descr="img-250701152438-0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250701152438-001_01"/>
                    <pic:cNvPicPr>
                      <a:picLocks noChangeAspect="1"/>
                    </pic:cNvPicPr>
                  </pic:nvPicPr>
                  <pic:blipFill>
                    <a:blip r:embed="rId11"/>
                    <a:stretch>
                      <a:fillRect/>
                    </a:stretch>
                  </pic:blipFill>
                  <pic:spPr>
                    <a:xfrm>
                      <a:off x="0" y="0"/>
                      <a:ext cx="5615940" cy="7715885"/>
                    </a:xfrm>
                    <a:prstGeom prst="rect">
                      <a:avLst/>
                    </a:prstGeom>
                  </pic:spPr>
                </pic:pic>
              </a:graphicData>
            </a:graphic>
          </wp:anchor>
        </w:drawing>
      </w:r>
    </w:p>
    <w:p w14:paraId="2DF561F5">
      <w:pPr>
        <w:widowControl/>
        <w:spacing w:before="100" w:beforeAutospacing="1" w:after="100" w:afterAutospacing="1"/>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bookmarkStart w:id="1" w:name="_Toc140683749"/>
      <w:bookmarkStart w:id="2" w:name="_Toc138577281"/>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一、建设项目基本情况</w:t>
      </w:r>
      <w:bookmarkEnd w:id="1"/>
      <w:bookmarkEnd w:id="2"/>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40"/>
        <w:gridCol w:w="2182"/>
        <w:gridCol w:w="136"/>
        <w:gridCol w:w="1446"/>
        <w:gridCol w:w="4066"/>
      </w:tblGrid>
      <w:tr w14:paraId="69AEC8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497255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建设项目名称</w:t>
            </w:r>
          </w:p>
        </w:tc>
        <w:tc>
          <w:tcPr>
            <w:tcW w:w="7830" w:type="dxa"/>
            <w:gridSpan w:val="4"/>
            <w:tcBorders>
              <w:bottom w:val="single" w:color="auto" w:sz="4" w:space="0"/>
            </w:tcBorders>
            <w:vAlign w:val="center"/>
          </w:tcPr>
          <w:p w14:paraId="777F145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双鸭山市嘉程食品加工有限公司建设项目</w:t>
            </w:r>
          </w:p>
        </w:tc>
      </w:tr>
      <w:tr w14:paraId="29EF71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Borders>
              <w:right w:val="single" w:color="auto" w:sz="4" w:space="0"/>
            </w:tcBorders>
            <w:tcMar>
              <w:top w:w="16" w:type="dxa"/>
              <w:left w:w="16" w:type="dxa"/>
              <w:right w:w="16" w:type="dxa"/>
            </w:tcMar>
            <w:vAlign w:val="center"/>
          </w:tcPr>
          <w:p w14:paraId="5F6E9B3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项目代码</w:t>
            </w:r>
          </w:p>
        </w:tc>
        <w:tc>
          <w:tcPr>
            <w:tcW w:w="7830" w:type="dxa"/>
            <w:gridSpan w:val="4"/>
            <w:tcBorders>
              <w:top w:val="single" w:color="auto" w:sz="4" w:space="0"/>
              <w:left w:val="single" w:color="auto" w:sz="4" w:space="0"/>
              <w:bottom w:val="single" w:color="auto" w:sz="4" w:space="0"/>
              <w:right w:val="single" w:color="auto" w:sz="4" w:space="0"/>
            </w:tcBorders>
            <w:vAlign w:val="center"/>
          </w:tcPr>
          <w:p w14:paraId="2ABA834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无</w:t>
            </w:r>
          </w:p>
        </w:tc>
      </w:tr>
      <w:tr w14:paraId="3B347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062C44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建设单位联系人</w:t>
            </w:r>
          </w:p>
        </w:tc>
        <w:tc>
          <w:tcPr>
            <w:tcW w:w="2182" w:type="dxa"/>
            <w:tcBorders>
              <w:top w:val="single" w:color="auto" w:sz="4" w:space="0"/>
            </w:tcBorders>
            <w:vAlign w:val="center"/>
          </w:tcPr>
          <w:p w14:paraId="26739F2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郭宏宇</w:t>
            </w:r>
          </w:p>
        </w:tc>
        <w:tc>
          <w:tcPr>
            <w:tcW w:w="1582" w:type="dxa"/>
            <w:gridSpan w:val="2"/>
            <w:tcBorders>
              <w:top w:val="single" w:color="auto" w:sz="4" w:space="0"/>
            </w:tcBorders>
            <w:vAlign w:val="center"/>
          </w:tcPr>
          <w:p w14:paraId="6E70F9C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联系方式</w:t>
            </w:r>
          </w:p>
        </w:tc>
        <w:tc>
          <w:tcPr>
            <w:tcW w:w="4066" w:type="dxa"/>
            <w:tcBorders>
              <w:top w:val="single" w:color="auto" w:sz="4" w:space="0"/>
            </w:tcBorders>
            <w:vAlign w:val="center"/>
          </w:tcPr>
          <w:p w14:paraId="7E1A93B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15704698333</w:t>
            </w:r>
          </w:p>
        </w:tc>
      </w:tr>
      <w:tr w14:paraId="5F01A5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360C0CE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建设地点</w:t>
            </w:r>
          </w:p>
        </w:tc>
        <w:tc>
          <w:tcPr>
            <w:tcW w:w="7830" w:type="dxa"/>
            <w:gridSpan w:val="4"/>
            <w:vAlign w:val="center"/>
          </w:tcPr>
          <w:p w14:paraId="2E02F26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黑龙江省双鸭山市岭东区青山路933号</w:t>
            </w:r>
          </w:p>
        </w:tc>
      </w:tr>
      <w:tr w14:paraId="5DC766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7D383FC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地理坐标</w:t>
            </w:r>
          </w:p>
        </w:tc>
        <w:tc>
          <w:tcPr>
            <w:tcW w:w="7830" w:type="dxa"/>
            <w:gridSpan w:val="4"/>
            <w:vAlign w:val="center"/>
          </w:tcPr>
          <w:p w14:paraId="4F1D34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131</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14:textFill>
                  <w14:solidFill>
                    <w14:schemeClr w14:val="tx1"/>
                  </w14:solidFill>
                </w14:textFill>
              </w:rPr>
              <w:t>度</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14:textFill>
                  <w14:solidFill>
                    <w14:schemeClr w14:val="tx1"/>
                  </w14:solidFill>
                </w14:textFill>
              </w:rPr>
              <w:t>分</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46</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01</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14:textFill>
                  <w14:solidFill>
                    <w14:schemeClr w14:val="tx1"/>
                  </w14:solidFill>
                </w14:textFill>
              </w:rPr>
              <w:t>秒，</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4</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14:textFill>
                  <w14:solidFill>
                    <w14:schemeClr w14:val="tx1"/>
                  </w14:solidFill>
                </w14:textFill>
              </w:rPr>
              <w:t>度</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33</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14:textFill>
                  <w14:solidFill>
                    <w14:schemeClr w14:val="tx1"/>
                  </w14:solidFill>
                </w14:textFill>
              </w:rPr>
              <w:t>分</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295</w:t>
            </w:r>
            <w:r>
              <w:rPr>
                <w:rFonts w:hint="default" w:ascii="Times New Roman" w:hAnsi="Times New Roman" w:eastAsia="宋体" w:cs="Times New Roman"/>
                <w:color w:val="000000" w:themeColor="text1"/>
                <w:sz w:val="24"/>
                <w:szCs w:val="24"/>
                <w:highlight w:val="none"/>
                <w14:textFill>
                  <w14:solidFill>
                    <w14:schemeClr w14:val="tx1"/>
                  </w14:solidFill>
                </w14:textFill>
              </w:rPr>
              <w:t>秒）</w:t>
            </w:r>
          </w:p>
        </w:tc>
      </w:tr>
      <w:tr w14:paraId="5AD638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1C3C1E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国民经济</w:t>
            </w:r>
          </w:p>
          <w:p w14:paraId="34AB058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p>
        </w:tc>
        <w:tc>
          <w:tcPr>
            <w:tcW w:w="2318" w:type="dxa"/>
            <w:gridSpan w:val="2"/>
            <w:vAlign w:val="center"/>
          </w:tcPr>
          <w:p w14:paraId="6C6B9D8E">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C1432速冻食品制造</w:t>
            </w:r>
          </w:p>
        </w:tc>
        <w:tc>
          <w:tcPr>
            <w:tcW w:w="1446" w:type="dxa"/>
            <w:vAlign w:val="center"/>
          </w:tcPr>
          <w:p w14:paraId="43557AF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3" w:name="_Hlk49843745"/>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w:t>
            </w:r>
          </w:p>
          <w:p w14:paraId="554BFBF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bookmarkEnd w:id="3"/>
          </w:p>
        </w:tc>
        <w:tc>
          <w:tcPr>
            <w:tcW w:w="4066" w:type="dxa"/>
            <w:vAlign w:val="center"/>
          </w:tcPr>
          <w:p w14:paraId="1EE9669B">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十一、食品制造业</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21方便食品制造143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—除单纯分装外的</w:t>
            </w:r>
          </w:p>
        </w:tc>
      </w:tr>
      <w:tr w14:paraId="50E9AC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5A4EB7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建设性质</w:t>
            </w:r>
          </w:p>
        </w:tc>
        <w:tc>
          <w:tcPr>
            <w:tcW w:w="2318" w:type="dxa"/>
            <w:gridSpan w:val="2"/>
            <w:vAlign w:val="center"/>
          </w:tcPr>
          <w:p w14:paraId="76A411BA">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新建（迁建）</w:t>
            </w:r>
          </w:p>
          <w:p w14:paraId="739A1D03">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改建</w:t>
            </w:r>
          </w:p>
          <w:p w14:paraId="27B01531">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扩建</w:t>
            </w:r>
          </w:p>
          <w:p w14:paraId="6D2B1A3B">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技术改造</w:t>
            </w:r>
          </w:p>
        </w:tc>
        <w:tc>
          <w:tcPr>
            <w:tcW w:w="1446" w:type="dxa"/>
            <w:vAlign w:val="center"/>
          </w:tcPr>
          <w:p w14:paraId="3C9AF79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w:t>
            </w:r>
          </w:p>
          <w:p w14:paraId="7835AA2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申报情形</w:t>
            </w:r>
          </w:p>
        </w:tc>
        <w:tc>
          <w:tcPr>
            <w:tcW w:w="4066" w:type="dxa"/>
            <w:vAlign w:val="center"/>
          </w:tcPr>
          <w:p w14:paraId="0EB17722">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首次申报项目</w:t>
            </w:r>
          </w:p>
          <w:p w14:paraId="7A370C9D">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不予批准后再次申报项目</w:t>
            </w:r>
          </w:p>
          <w:p w14:paraId="389F0B34">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超五年重新审核项目</w:t>
            </w:r>
          </w:p>
          <w:p w14:paraId="2B5A4BDD">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重大变动重新报批项目</w:t>
            </w:r>
          </w:p>
        </w:tc>
      </w:tr>
      <w:tr w14:paraId="5F695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137405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45EA2B4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备案）部门（选填）</w:t>
            </w:r>
          </w:p>
        </w:tc>
        <w:tc>
          <w:tcPr>
            <w:tcW w:w="2318" w:type="dxa"/>
            <w:gridSpan w:val="2"/>
            <w:vAlign w:val="center"/>
          </w:tcPr>
          <w:p w14:paraId="1B11234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p>
        </w:tc>
        <w:tc>
          <w:tcPr>
            <w:tcW w:w="1446" w:type="dxa"/>
            <w:vAlign w:val="center"/>
          </w:tcPr>
          <w:p w14:paraId="717A7F9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0F8B05C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备案）文号（选填）</w:t>
            </w:r>
          </w:p>
        </w:tc>
        <w:tc>
          <w:tcPr>
            <w:tcW w:w="4066" w:type="dxa"/>
            <w:vAlign w:val="center"/>
          </w:tcPr>
          <w:p w14:paraId="05D5782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p>
        </w:tc>
      </w:tr>
      <w:tr w14:paraId="1E579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055C97D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总投资（万元）</w:t>
            </w:r>
          </w:p>
        </w:tc>
        <w:tc>
          <w:tcPr>
            <w:tcW w:w="2318" w:type="dxa"/>
            <w:gridSpan w:val="2"/>
            <w:vAlign w:val="center"/>
          </w:tcPr>
          <w:p w14:paraId="043DD66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568.22</w:t>
            </w:r>
          </w:p>
        </w:tc>
        <w:tc>
          <w:tcPr>
            <w:tcW w:w="1446" w:type="dxa"/>
            <w:tcMar>
              <w:top w:w="16" w:type="dxa"/>
              <w:left w:w="16" w:type="dxa"/>
              <w:right w:w="16" w:type="dxa"/>
            </w:tcMar>
            <w:vAlign w:val="center"/>
          </w:tcPr>
          <w:p w14:paraId="24DA94B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环保投资（万元）</w:t>
            </w:r>
          </w:p>
        </w:tc>
        <w:tc>
          <w:tcPr>
            <w:tcW w:w="4066" w:type="dxa"/>
            <w:vAlign w:val="center"/>
          </w:tcPr>
          <w:p w14:paraId="526A980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FF"/>
                <w:sz w:val="24"/>
                <w:szCs w:val="24"/>
                <w:highlight w:val="none"/>
                <w:lang w:val="en-US" w:eastAsia="zh-CN"/>
              </w:rPr>
              <w:t>47.2</w:t>
            </w:r>
          </w:p>
        </w:tc>
      </w:tr>
      <w:tr w14:paraId="54265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44ACF8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环保投资占比（%）</w:t>
            </w:r>
          </w:p>
        </w:tc>
        <w:tc>
          <w:tcPr>
            <w:tcW w:w="2318" w:type="dxa"/>
            <w:gridSpan w:val="2"/>
            <w:vAlign w:val="center"/>
          </w:tcPr>
          <w:p w14:paraId="1B3DBC7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FF"/>
                <w:sz w:val="24"/>
                <w:szCs w:val="24"/>
                <w:highlight w:val="none"/>
                <w:lang w:val="en-US" w:eastAsia="zh-CN"/>
              </w:rPr>
              <w:t>8.31</w:t>
            </w:r>
          </w:p>
        </w:tc>
        <w:tc>
          <w:tcPr>
            <w:tcW w:w="1446" w:type="dxa"/>
            <w:tcMar>
              <w:top w:w="16" w:type="dxa"/>
              <w:left w:w="16" w:type="dxa"/>
              <w:right w:w="16" w:type="dxa"/>
            </w:tcMar>
            <w:vAlign w:val="center"/>
          </w:tcPr>
          <w:p w14:paraId="7D8436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施工工期</w:t>
            </w:r>
          </w:p>
        </w:tc>
        <w:tc>
          <w:tcPr>
            <w:tcW w:w="4066" w:type="dxa"/>
            <w:vAlign w:val="center"/>
          </w:tcPr>
          <w:p w14:paraId="4B3C737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FF0000"/>
                <w:sz w:val="24"/>
                <w:szCs w:val="24"/>
                <w:highlight w:val="none"/>
                <w:lang w:val="en-US" w:eastAsia="zh-CN"/>
              </w:rPr>
              <w:t>2025.8-2025.9</w:t>
            </w:r>
          </w:p>
        </w:tc>
      </w:tr>
      <w:tr w14:paraId="0A34AC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40" w:type="dxa"/>
            <w:tcMar>
              <w:top w:w="16" w:type="dxa"/>
              <w:left w:w="16" w:type="dxa"/>
              <w:right w:w="16" w:type="dxa"/>
            </w:tcMar>
            <w:vAlign w:val="center"/>
          </w:tcPr>
          <w:p w14:paraId="7E0554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是否开工建设</w:t>
            </w:r>
          </w:p>
        </w:tc>
        <w:tc>
          <w:tcPr>
            <w:tcW w:w="2318" w:type="dxa"/>
            <w:gridSpan w:val="2"/>
            <w:vAlign w:val="center"/>
          </w:tcPr>
          <w:p w14:paraId="5E187E87">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sym w:font="Wingdings 2" w:char="0052"/>
            </w:r>
            <w:r>
              <w:rPr>
                <w:rFonts w:hint="default" w:ascii="Times New Roman" w:hAnsi="Times New Roman" w:eastAsia="宋体" w:cs="Times New Roman"/>
                <w:color w:val="000000" w:themeColor="text1"/>
                <w:sz w:val="24"/>
                <w:szCs w:val="24"/>
                <w:highlight w:val="none"/>
                <w14:textFill>
                  <w14:solidFill>
                    <w14:schemeClr w14:val="tx1"/>
                  </w14:solidFill>
                </w14:textFill>
              </w:rPr>
              <w:t>否</w:t>
            </w:r>
          </w:p>
          <w:p w14:paraId="0DA9053C">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highlight w:val="none"/>
                <w14:textFill>
                  <w14:solidFill>
                    <w14:schemeClr w14:val="tx1"/>
                  </w14:solidFill>
                </w14:textFill>
              </w:rPr>
              <w:t>是</w:t>
            </w:r>
          </w:p>
        </w:tc>
        <w:tc>
          <w:tcPr>
            <w:tcW w:w="1446" w:type="dxa"/>
            <w:tcMar>
              <w:top w:w="16" w:type="dxa"/>
              <w:left w:w="16" w:type="dxa"/>
              <w:right w:w="16" w:type="dxa"/>
            </w:tcMar>
            <w:vAlign w:val="center"/>
          </w:tcPr>
          <w:p w14:paraId="6C29218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用地（</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含</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用海）</w:t>
            </w:r>
          </w:p>
          <w:p w14:paraId="18C3614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面积（m</w:t>
            </w:r>
            <w:r>
              <w:rPr>
                <w:rFonts w:hint="default" w:ascii="Times New Roman" w:hAnsi="Times New Roman" w:eastAsia="宋体" w:cs="Times New Roman"/>
                <w:color w:val="000000" w:themeColor="text1"/>
                <w:spacing w:val="-6"/>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w:t>
            </w:r>
          </w:p>
        </w:tc>
        <w:tc>
          <w:tcPr>
            <w:tcW w:w="4066" w:type="dxa"/>
            <w:vAlign w:val="center"/>
          </w:tcPr>
          <w:p w14:paraId="06458E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8000</w:t>
            </w:r>
          </w:p>
        </w:tc>
      </w:tr>
      <w:tr w14:paraId="055DB2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0" w:type="dxa"/>
            <w:vAlign w:val="center"/>
          </w:tcPr>
          <w:p w14:paraId="2A9621F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专项评价设置情况</w:t>
            </w:r>
          </w:p>
        </w:tc>
        <w:tc>
          <w:tcPr>
            <w:tcW w:w="7830" w:type="dxa"/>
            <w:gridSpan w:val="4"/>
            <w:vAlign w:val="center"/>
          </w:tcPr>
          <w:p w14:paraId="7C676379">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建设项目环境影响报告表编制技术指南（污染影响类）》（试行）可知，土壤、声环境不开展专项评价，地下水原则上不开展专项评价，本项目大气、地表水、环境风险、生态和海洋专项评价设置情况详见表1-1。</w:t>
            </w:r>
          </w:p>
          <w:p w14:paraId="6E2511AF">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表1-1  本项目专项评价设置情况</w:t>
            </w:r>
          </w:p>
          <w:tbl>
            <w:tblPr>
              <w:tblStyle w:val="1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3"/>
              <w:gridCol w:w="3018"/>
              <w:gridCol w:w="3413"/>
            </w:tblGrid>
            <w:tr w14:paraId="2B7E9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3193E930">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专项评价的类别</w:t>
                  </w:r>
                </w:p>
              </w:tc>
              <w:tc>
                <w:tcPr>
                  <w:tcW w:w="1982" w:type="pct"/>
                  <w:vAlign w:val="center"/>
                </w:tcPr>
                <w:p w14:paraId="1E625E8F">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设置原则</w:t>
                  </w:r>
                </w:p>
              </w:tc>
              <w:tc>
                <w:tcPr>
                  <w:tcW w:w="2239" w:type="pct"/>
                  <w:vAlign w:val="center"/>
                </w:tcPr>
                <w:p w14:paraId="149DDA91">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本项目设置情况</w:t>
                  </w:r>
                </w:p>
              </w:tc>
            </w:tr>
            <w:tr w14:paraId="3B8820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3EB83749">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大气</w:t>
                  </w:r>
                </w:p>
              </w:tc>
              <w:tc>
                <w:tcPr>
                  <w:tcW w:w="1982" w:type="pct"/>
                  <w:vAlign w:val="center"/>
                </w:tcPr>
                <w:p w14:paraId="6E024B2A">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排放废气含有毒有害污染物、二噁英、苯并[</w:t>
                  </w:r>
                  <w:r>
                    <w:rPr>
                      <w:rFonts w:hint="default" w:ascii="Times New Roman" w:hAnsi="Times New Roman" w:eastAsia="宋体" w:cs="Times New Roman"/>
                      <w:i/>
                      <w:color w:val="000000" w:themeColor="text1"/>
                      <w:kern w:val="2"/>
                      <w:sz w:val="21"/>
                      <w:szCs w:val="21"/>
                      <w:highlight w:val="none"/>
                      <w:lang w:val="en-US" w:eastAsia="zh-CN" w:bidi="ar-SA"/>
                      <w14:textFill>
                        <w14:solidFill>
                          <w14:schemeClr w14:val="tx1"/>
                        </w14:solidFill>
                      </w14:textFill>
                    </w:rPr>
                    <w:t>a</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]芘、氰化物、氯气且厂界外500米范围内有环境空气保护目标的建设项目</w:t>
                  </w:r>
                </w:p>
              </w:tc>
              <w:tc>
                <w:tcPr>
                  <w:tcW w:w="2239" w:type="pct"/>
                  <w:vAlign w:val="center"/>
                </w:tcPr>
                <w:p w14:paraId="733AF3A6">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本项目不涉及有毒有害污染物排放，不需要编制大气专项评价。</w:t>
                  </w:r>
                </w:p>
              </w:tc>
            </w:tr>
            <w:tr w14:paraId="697D9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443BB473">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地表水</w:t>
                  </w:r>
                </w:p>
              </w:tc>
              <w:tc>
                <w:tcPr>
                  <w:tcW w:w="1982" w:type="pct"/>
                  <w:vAlign w:val="center"/>
                </w:tcPr>
                <w:p w14:paraId="16EDEE7C">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新增工业废水直排建设项目（槽罐车外送污水处理厂的除外）；新增废水直排的污水集中处理厂</w:t>
                  </w:r>
                </w:p>
              </w:tc>
              <w:tc>
                <w:tcPr>
                  <w:tcW w:w="2239" w:type="pct"/>
                  <w:vAlign w:val="center"/>
                </w:tcPr>
                <w:p w14:paraId="183D7F3A">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本项目不属于新增工业废水直排建设项目，也不属于新增废水直排的污水集中处理厂，不需设置地表水专项评价。</w:t>
                  </w:r>
                </w:p>
              </w:tc>
            </w:tr>
            <w:tr w14:paraId="31E2A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2E4823F1">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环境风险</w:t>
                  </w:r>
                </w:p>
              </w:tc>
              <w:tc>
                <w:tcPr>
                  <w:tcW w:w="1982" w:type="pct"/>
                  <w:vAlign w:val="center"/>
                </w:tcPr>
                <w:p w14:paraId="40212735">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有毒有害和易燃易爆危险物质存储量超过临界量的建设项目</w:t>
                  </w:r>
                </w:p>
              </w:tc>
              <w:tc>
                <w:tcPr>
                  <w:tcW w:w="2239" w:type="pct"/>
                  <w:vAlign w:val="center"/>
                </w:tcPr>
                <w:p w14:paraId="1A7EEB21">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本项目存在有毒有害物质，但存储量不超过临界量，不属于有毒有害和易燃易爆危险物质存储量超过临界量的建设项目，因此不设置环境风险专项评价。</w:t>
                  </w:r>
                </w:p>
              </w:tc>
            </w:tr>
            <w:tr w14:paraId="6EB9A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03271220">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生态</w:t>
                  </w:r>
                </w:p>
              </w:tc>
              <w:tc>
                <w:tcPr>
                  <w:tcW w:w="1982" w:type="pct"/>
                  <w:vAlign w:val="center"/>
                </w:tcPr>
                <w:p w14:paraId="067C12FD">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取水口下游500米范围内有重要水生生物的自然产卵场、索饵场、越冬场和洄游通道的新增河道取水的污染类建设项目</w:t>
                  </w:r>
                </w:p>
              </w:tc>
              <w:tc>
                <w:tcPr>
                  <w:tcW w:w="2239" w:type="pct"/>
                  <w:vAlign w:val="center"/>
                </w:tcPr>
                <w:p w14:paraId="5B6503EA">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本项目供水由</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市政</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供水管网提供，不涉及取水口，不需设置生态专项评价。</w:t>
                  </w:r>
                </w:p>
              </w:tc>
            </w:tr>
            <w:tr w14:paraId="51A79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5883E662">
                  <w:pPr>
                    <w:keepNext w:val="0"/>
                    <w:keepLines w:val="0"/>
                    <w:widowControl w:val="0"/>
                    <w:suppressLineNumbers w:val="0"/>
                    <w:spacing w:before="0" w:beforeAutospacing="0" w:after="0" w:afterAutospacing="0"/>
                    <w:ind w:left="0" w:leftChars="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海洋</w:t>
                  </w:r>
                </w:p>
              </w:tc>
              <w:tc>
                <w:tcPr>
                  <w:tcW w:w="1982" w:type="pct"/>
                  <w:vAlign w:val="center"/>
                </w:tcPr>
                <w:p w14:paraId="5EBF9D4C">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直接向海排放污染物的海洋工程建设项目</w:t>
                  </w:r>
                </w:p>
              </w:tc>
              <w:tc>
                <w:tcPr>
                  <w:tcW w:w="2239" w:type="pct"/>
                  <w:vAlign w:val="center"/>
                </w:tcPr>
                <w:p w14:paraId="5E4B4015">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本项目不属于海洋工程，不需设置海洋专项评价。</w:t>
                  </w:r>
                </w:p>
              </w:tc>
            </w:tr>
            <w:tr w14:paraId="051C0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pct"/>
                  <w:vAlign w:val="center"/>
                </w:tcPr>
                <w:p w14:paraId="4FF9BF32">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smallCaps w:val="0"/>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mallCaps w:val="0"/>
                      <w:snapToGrid w:val="0"/>
                      <w:color w:val="000000" w:themeColor="text1"/>
                      <w:kern w:val="0"/>
                      <w:sz w:val="21"/>
                      <w:szCs w:val="21"/>
                      <w:highlight w:val="none"/>
                      <w14:textFill>
                        <w14:solidFill>
                          <w14:schemeClr w14:val="tx1"/>
                        </w14:solidFill>
                      </w14:textFill>
                    </w:rPr>
                    <w:t>地下水</w:t>
                  </w:r>
                </w:p>
              </w:tc>
              <w:tc>
                <w:tcPr>
                  <w:tcW w:w="1982" w:type="pct"/>
                  <w:vAlign w:val="center"/>
                </w:tcPr>
                <w:p w14:paraId="722F9E52">
                  <w:pPr>
                    <w:keepNext w:val="0"/>
                    <w:keepLines w:val="0"/>
                    <w:suppressLineNumbers w:val="0"/>
                    <w:spacing w:before="0" w:beforeAutospacing="0" w:after="0" w:afterAutospacing="0"/>
                    <w:ind w:left="0" w:right="0"/>
                    <w:jc w:val="left"/>
                    <w:textAlignment w:val="baseline"/>
                    <w:rPr>
                      <w:rFonts w:hint="default" w:ascii="Times New Roman" w:hAnsi="Times New Roman" w:eastAsia="宋体" w:cs="Times New Roman"/>
                      <w:smallCaps w:val="0"/>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mallCaps w:val="0"/>
                      <w:snapToGrid w:val="0"/>
                      <w:color w:val="000000" w:themeColor="text1"/>
                      <w:kern w:val="0"/>
                      <w:sz w:val="21"/>
                      <w:szCs w:val="21"/>
                      <w:highlight w:val="none"/>
                      <w14:textFill>
                        <w14:solidFill>
                          <w14:schemeClr w14:val="tx1"/>
                        </w14:solidFill>
                      </w14:textFill>
                    </w:rPr>
                    <w:t>原则上不开展专项评价，涉及集中式饮用水水源和热水、矿泉水、温泉等特殊地下水资源保护区的开展专项评价</w:t>
                  </w:r>
                </w:p>
              </w:tc>
              <w:tc>
                <w:tcPr>
                  <w:tcW w:w="2239" w:type="pct"/>
                  <w:vAlign w:val="center"/>
                </w:tcPr>
                <w:p w14:paraId="1CE4E272">
                  <w:pPr>
                    <w:keepNext w:val="0"/>
                    <w:keepLines w:val="0"/>
                    <w:suppressLineNumbers w:val="0"/>
                    <w:spacing w:before="0" w:beforeAutospacing="0" w:after="0" w:afterAutospacing="0"/>
                    <w:ind w:left="0" w:right="0"/>
                    <w:jc w:val="left"/>
                    <w:textAlignment w:val="baseline"/>
                    <w:rPr>
                      <w:rFonts w:hint="default" w:ascii="Times New Roman" w:hAnsi="Times New Roman" w:eastAsia="宋体" w:cs="Times New Roman"/>
                      <w:smallCaps w:val="0"/>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mallCaps w:val="0"/>
                      <w:snapToGrid w:val="0"/>
                      <w:color w:val="000000" w:themeColor="text1"/>
                      <w:kern w:val="0"/>
                      <w:sz w:val="21"/>
                      <w:szCs w:val="21"/>
                      <w:highlight w:val="none"/>
                      <w14:textFill>
                        <w14:solidFill>
                          <w14:schemeClr w14:val="tx1"/>
                        </w14:solidFill>
                      </w14:textFill>
                    </w:rPr>
                    <w:t>本项目场址周边不涉及集中式饮用水源和热水、矿泉水、温泉等特殊地下水资源保护区，不需设置。</w:t>
                  </w:r>
                </w:p>
              </w:tc>
            </w:tr>
            <w:tr w14:paraId="420CB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3"/>
                  <w:vAlign w:val="center"/>
                </w:tcPr>
                <w:p w14:paraId="49FAD92B">
                  <w:pPr>
                    <w:keepNext w:val="0"/>
                    <w:keepLines w:val="0"/>
                    <w:suppressLineNumbers w:val="0"/>
                    <w:shd w:val="clear" w:color="auto" w:fill="auto"/>
                    <w:autoSpaceDE w:val="0"/>
                    <w:autoSpaceDN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注：①废气中有毒有害污染物指纳入《有毒有害大气污染物名录》的污染物（不包括无排放标准的污染物）。</w:t>
                  </w:r>
                </w:p>
                <w:p w14:paraId="6761A8BB">
                  <w:pPr>
                    <w:keepNext w:val="0"/>
                    <w:keepLines w:val="0"/>
                    <w:suppressLineNumbers w:val="0"/>
                    <w:shd w:val="clear" w:color="auto" w:fill="auto"/>
                    <w:autoSpaceDE w:val="0"/>
                    <w:autoSpaceDN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②环境空气保护目标指自然保护区、风景名胜区、居住区、文化区和农村地区中人群较集中的区域。</w:t>
                  </w:r>
                </w:p>
                <w:p w14:paraId="6F6F2895">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③临界量及其计算方法参考《建设项目环境风险评价技术导则》（HJ 169）附录B、附录C。</w:t>
                  </w:r>
                </w:p>
              </w:tc>
            </w:tr>
          </w:tbl>
          <w:p w14:paraId="6DFDAD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firstLine="480" w:firstLineChars="200"/>
              <w:jc w:val="left"/>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根据</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以上</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分析，本项目</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不</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需要进行专项评价。</w:t>
            </w:r>
          </w:p>
        </w:tc>
      </w:tr>
      <w:tr w14:paraId="4359A9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0" w:type="dxa"/>
            <w:vAlign w:val="center"/>
          </w:tcPr>
          <w:p w14:paraId="7E58E42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规划情况</w:t>
            </w:r>
          </w:p>
        </w:tc>
        <w:tc>
          <w:tcPr>
            <w:tcW w:w="7830" w:type="dxa"/>
            <w:gridSpan w:val="4"/>
            <w:vAlign w:val="center"/>
          </w:tcPr>
          <w:p w14:paraId="6D51D1B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无</w:t>
            </w:r>
          </w:p>
        </w:tc>
      </w:tr>
      <w:tr w14:paraId="5CD2B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0" w:type="dxa"/>
            <w:vAlign w:val="center"/>
          </w:tcPr>
          <w:p w14:paraId="6C035D8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规划环境影响</w:t>
            </w:r>
          </w:p>
          <w:p w14:paraId="726A302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评价情况</w:t>
            </w:r>
          </w:p>
        </w:tc>
        <w:tc>
          <w:tcPr>
            <w:tcW w:w="7830" w:type="dxa"/>
            <w:gridSpan w:val="4"/>
            <w:vAlign w:val="center"/>
          </w:tcPr>
          <w:p w14:paraId="5F31F24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无</w:t>
            </w:r>
          </w:p>
        </w:tc>
      </w:tr>
      <w:tr w14:paraId="4B8A12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0" w:type="dxa"/>
            <w:vAlign w:val="center"/>
          </w:tcPr>
          <w:p w14:paraId="5DC1BB3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规划及规划环境影响评价符合性分析</w:t>
            </w:r>
          </w:p>
        </w:tc>
        <w:tc>
          <w:tcPr>
            <w:tcW w:w="7830" w:type="dxa"/>
            <w:gridSpan w:val="4"/>
            <w:vAlign w:val="center"/>
          </w:tcPr>
          <w:p w14:paraId="4959AE83">
            <w:pPr>
              <w:keepNext w:val="0"/>
              <w:keepLines w:val="0"/>
              <w:suppressLineNumbers w:val="0"/>
              <w:spacing w:before="0" w:beforeAutospacing="0" w:after="0" w:afterAutospacing="0" w:line="360" w:lineRule="auto"/>
              <w:ind w:right="0"/>
              <w:jc w:val="center"/>
              <w:rPr>
                <w:rFonts w:hint="default" w:ascii="Times New Roman" w:hAnsi="Times New Roman" w:eastAsia="宋体" w:cs="Times New Roman"/>
                <w:b w:val="0"/>
                <w:bCs/>
                <w:iCs/>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iCs/>
                <w:color w:val="000000" w:themeColor="text1"/>
                <w:kern w:val="0"/>
                <w:sz w:val="24"/>
                <w:szCs w:val="24"/>
                <w:highlight w:val="none"/>
                <w:lang w:val="en-US" w:eastAsia="zh-CN"/>
                <w14:textFill>
                  <w14:solidFill>
                    <w14:schemeClr w14:val="tx1"/>
                  </w14:solidFill>
                </w14:textFill>
              </w:rPr>
              <w:t>无</w:t>
            </w:r>
          </w:p>
        </w:tc>
      </w:tr>
      <w:tr w14:paraId="4F9BDB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0" w:type="dxa"/>
            <w:vAlign w:val="center"/>
          </w:tcPr>
          <w:p w14:paraId="3B624CA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其他符合性分析</w:t>
            </w:r>
          </w:p>
        </w:tc>
        <w:tc>
          <w:tcPr>
            <w:tcW w:w="7830" w:type="dxa"/>
            <w:gridSpan w:val="4"/>
            <w:vAlign w:val="center"/>
          </w:tcPr>
          <w:p w14:paraId="5078970A">
            <w:pPr>
              <w:keepNext w:val="0"/>
              <w:keepLines w:val="0"/>
              <w:suppressLineNumbers w:val="0"/>
              <w:autoSpaceDE w:val="0"/>
              <w:autoSpaceDN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1、产业政策符合性分析</w:t>
            </w:r>
          </w:p>
          <w:p w14:paraId="47397A3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本项目</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为速冻食品生产项目</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，根据国家发展和改革委员会《产业结构调整指导目录（2024年本）》，本项目不属于鼓励类、限制类和淘汰类规定内容范围，为允许类建设项目，故本项目符合国家相关产业政策要求。</w:t>
            </w:r>
          </w:p>
          <w:p w14:paraId="7E1183EB">
            <w:pPr>
              <w:keepNext w:val="0"/>
              <w:keepLines w:val="0"/>
              <w:suppressLineNumbers w:val="0"/>
              <w:autoSpaceDE w:val="0"/>
              <w:autoSpaceDN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与生态环境管控分区符合性分析</w:t>
            </w:r>
          </w:p>
          <w:p w14:paraId="3B2E519E">
            <w:pPr>
              <w:pStyle w:val="28"/>
              <w:spacing w:beforeLines="0" w:afterLines="0"/>
              <w:ind w:firstLine="480"/>
              <w:rPr>
                <w:rFonts w:hint="default"/>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本项目位于</w:t>
            </w:r>
            <w:r>
              <w:rPr>
                <w:rFonts w:hint="eastAsia"/>
                <w:color w:val="000000" w:themeColor="text1"/>
                <w:sz w:val="24"/>
                <w:szCs w:val="24"/>
                <w:lang w:eastAsia="zh-CN"/>
                <w14:textFill>
                  <w14:solidFill>
                    <w14:schemeClr w14:val="tx1"/>
                  </w14:solidFill>
                </w14:textFill>
              </w:rPr>
              <w:t>黑龙江省双鸭山市岭东区青山路933号</w:t>
            </w:r>
            <w:r>
              <w:rPr>
                <w:rFonts w:hint="eastAsia"/>
                <w:color w:val="000000" w:themeColor="text1"/>
                <w:sz w:val="24"/>
                <w:szCs w:val="24"/>
                <w14:textFill>
                  <w14:solidFill>
                    <w14:schemeClr w14:val="tx1"/>
                  </w14:solidFill>
                </w14:textFill>
              </w:rPr>
              <w:t>，根据《黑龙江省人民政府关于实施“三线一单”生态环境分区管控的意见》（黑政发〔2020〕14 号）、《</w:t>
            </w:r>
            <w:r>
              <w:rPr>
                <w:rFonts w:hint="eastAsia"/>
                <w:color w:val="000000" w:themeColor="text1"/>
                <w:sz w:val="24"/>
                <w:szCs w:val="24"/>
                <w:lang w:eastAsia="zh-CN"/>
                <w14:textFill>
                  <w14:solidFill>
                    <w14:schemeClr w14:val="tx1"/>
                  </w14:solidFill>
                </w14:textFill>
              </w:rPr>
              <w:t>双鸭山</w:t>
            </w:r>
            <w:r>
              <w:rPr>
                <w:rFonts w:hint="eastAsia"/>
                <w:color w:val="000000" w:themeColor="text1"/>
                <w:sz w:val="24"/>
                <w:szCs w:val="24"/>
                <w14:textFill>
                  <w14:solidFill>
                    <w14:schemeClr w14:val="tx1"/>
                  </w14:solidFill>
                </w14:textFill>
              </w:rPr>
              <w:t>市人民政府关于实施“三线一单”生态环境分区管控的意见》（双政规〔2021〕2号）、《</w:t>
            </w:r>
            <w:r>
              <w:rPr>
                <w:rFonts w:hint="eastAsia"/>
                <w:color w:val="000000" w:themeColor="text1"/>
                <w:sz w:val="24"/>
                <w:szCs w:val="24"/>
                <w:lang w:eastAsia="zh-CN"/>
                <w14:textFill>
                  <w14:solidFill>
                    <w14:schemeClr w14:val="tx1"/>
                  </w14:solidFill>
                </w14:textFill>
              </w:rPr>
              <w:t>双鸭山</w:t>
            </w:r>
            <w:r>
              <w:rPr>
                <w:rFonts w:hint="eastAsia"/>
                <w:color w:val="000000" w:themeColor="text1"/>
                <w:sz w:val="24"/>
                <w:szCs w:val="24"/>
                <w14:textFill>
                  <w14:solidFill>
                    <w14:schemeClr w14:val="tx1"/>
                  </w14:solidFill>
                </w14:textFill>
              </w:rPr>
              <w:t>市生态环境准入清单》（2023年版）、《</w:t>
            </w:r>
            <w:r>
              <w:rPr>
                <w:rFonts w:hint="eastAsia"/>
                <w:color w:val="000000" w:themeColor="text1"/>
                <w:sz w:val="24"/>
                <w:szCs w:val="24"/>
                <w:lang w:eastAsia="zh-CN"/>
                <w14:textFill>
                  <w14:solidFill>
                    <w14:schemeClr w14:val="tx1"/>
                  </w14:solidFill>
                </w14:textFill>
              </w:rPr>
              <w:t>双鸭山市嘉程食品加工有限公司建设项目</w:t>
            </w:r>
            <w:r>
              <w:rPr>
                <w:rFonts w:hint="eastAsia"/>
                <w:color w:val="000000" w:themeColor="text1"/>
                <w:sz w:val="24"/>
                <w:szCs w:val="24"/>
                <w14:textFill>
                  <w14:solidFill>
                    <w14:schemeClr w14:val="tx1"/>
                  </w14:solidFill>
                </w14:textFill>
              </w:rPr>
              <w:t>生态环境分区管控分析报告》，本项目与生态环境管控分区符合性如下。</w:t>
            </w:r>
          </w:p>
          <w:p w14:paraId="7B250447">
            <w:pPr>
              <w:pStyle w:val="28"/>
              <w:spacing w:beforeLines="0" w:afterLines="0"/>
              <w:ind w:firstLine="48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（1）“一图”</w:t>
            </w:r>
          </w:p>
          <w:p w14:paraId="37DAAB42">
            <w:pPr>
              <w:pStyle w:val="28"/>
              <w:spacing w:beforeLines="0" w:afterLines="0"/>
              <w:ind w:firstLine="0" w:firstLineChars="0"/>
              <w:jc w:val="center"/>
              <w:rPr>
                <w:rFonts w:hint="default"/>
                <w:b/>
                <w:color w:val="000000" w:themeColor="text1"/>
                <w:sz w:val="24"/>
                <w:szCs w:val="24"/>
                <w14:textFill>
                  <w14:solidFill>
                    <w14:schemeClr w14:val="tx1"/>
                  </w14:solidFill>
                </w14:textFill>
              </w:rPr>
            </w:pPr>
            <w:r>
              <w:rPr>
                <w:rFonts w:hint="eastAsia"/>
                <w:color w:val="000000" w:themeColor="text1"/>
                <w:sz w:val="24"/>
                <w:szCs w:val="24"/>
                <w:lang w:eastAsia="zh-CN"/>
                <w14:textFill>
                  <w14:solidFill>
                    <w14:schemeClr w14:val="tx1"/>
                  </w14:solidFill>
                </w14:textFill>
              </w:rPr>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4833620" cy="2577465"/>
                  <wp:effectExtent l="0" t="0" r="5080" b="13335"/>
                  <wp:wrapSquare wrapText="bothSides"/>
                  <wp:docPr id="27" name="图片 27" descr="ec7739b4693b0062416b59331b64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c7739b4693b0062416b59331b64c16"/>
                          <pic:cNvPicPr>
                            <a:picLocks noChangeAspect="1"/>
                          </pic:cNvPicPr>
                        </pic:nvPicPr>
                        <pic:blipFill>
                          <a:blip r:embed="rId12"/>
                          <a:stretch>
                            <a:fillRect/>
                          </a:stretch>
                        </pic:blipFill>
                        <pic:spPr>
                          <a:xfrm>
                            <a:off x="0" y="0"/>
                            <a:ext cx="4833620" cy="2577465"/>
                          </a:xfrm>
                          <a:prstGeom prst="rect">
                            <a:avLst/>
                          </a:prstGeom>
                        </pic:spPr>
                      </pic:pic>
                    </a:graphicData>
                  </a:graphic>
                </wp:anchor>
              </w:drawing>
            </w:r>
            <w:r>
              <w:rPr>
                <w:rFonts w:hint="eastAsia"/>
                <w:b/>
                <w:color w:val="000000" w:themeColor="text1"/>
                <w:sz w:val="24"/>
                <w:szCs w:val="24"/>
                <w14:textFill>
                  <w14:solidFill>
                    <w14:schemeClr w14:val="tx1"/>
                  </w14:solidFill>
                </w14:textFill>
              </w:rPr>
              <w:t>图 1-1 本项目与环境管控单元叠加图</w:t>
            </w:r>
          </w:p>
          <w:p w14:paraId="48DDA38B">
            <w:pPr>
              <w:pStyle w:val="28"/>
              <w:spacing w:beforeLines="0" w:afterLines="0"/>
              <w:ind w:firstLine="48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（2）“一表”</w:t>
            </w:r>
          </w:p>
          <w:p w14:paraId="5EF06770">
            <w:pPr>
              <w:pStyle w:val="29"/>
              <w:widowControl w:val="0"/>
              <w:adjustRightInd/>
              <w:snapToGrid/>
              <w:spacing w:beforeLines="0" w:afterLines="0" w:line="240" w:lineRule="auto"/>
              <w:ind w:firstLine="205"/>
              <w:rPr>
                <w:rFonts w:hint="default" w:eastAsia="宋体"/>
                <w:b/>
                <w:color w:val="000000" w:themeColor="text1"/>
                <w:sz w:val="24"/>
                <w:szCs w:val="24"/>
                <w14:textFill>
                  <w14:solidFill>
                    <w14:schemeClr w14:val="tx1"/>
                  </w14:solidFill>
                </w14:textFill>
              </w:rPr>
            </w:pPr>
            <w:r>
              <w:rPr>
                <w:rFonts w:hint="eastAsia" w:eastAsia="宋体"/>
                <w:b/>
                <w:color w:val="000000" w:themeColor="text1"/>
                <w:sz w:val="24"/>
                <w:szCs w:val="24"/>
                <w14:textFill>
                  <w14:solidFill>
                    <w14:schemeClr w14:val="tx1"/>
                  </w14:solidFill>
                </w14:textFill>
              </w:rPr>
              <w:t>表1-</w:t>
            </w:r>
            <w:r>
              <w:rPr>
                <w:rFonts w:hint="eastAsia" w:eastAsia="宋体"/>
                <w:b/>
                <w:color w:val="000000" w:themeColor="text1"/>
                <w:sz w:val="24"/>
                <w:szCs w:val="24"/>
                <w:lang w:val="en-US"/>
                <w14:textFill>
                  <w14:solidFill>
                    <w14:schemeClr w14:val="tx1"/>
                  </w14:solidFill>
                </w14:textFill>
              </w:rPr>
              <w:t>3</w:t>
            </w:r>
            <w:r>
              <w:rPr>
                <w:rFonts w:hint="default" w:eastAsia="宋体"/>
                <w:b/>
                <w:color w:val="000000" w:themeColor="text1"/>
                <w:sz w:val="24"/>
                <w:szCs w:val="24"/>
                <w14:textFill>
                  <w14:solidFill>
                    <w14:schemeClr w14:val="tx1"/>
                  </w14:solidFill>
                </w14:textFill>
              </w:rPr>
              <w:t xml:space="preserve"> </w:t>
            </w:r>
            <w:r>
              <w:rPr>
                <w:rFonts w:hint="eastAsia" w:eastAsia="宋体"/>
                <w:b/>
                <w:color w:val="000000" w:themeColor="text1"/>
                <w:sz w:val="24"/>
                <w:szCs w:val="24"/>
                <w:lang w:val="en-US"/>
                <w14:textFill>
                  <w14:solidFill>
                    <w14:schemeClr w14:val="tx1"/>
                  </w14:solidFill>
                </w14:textFill>
              </w:rPr>
              <w:t>本项目与准入要求符合性分析</w:t>
            </w:r>
          </w:p>
          <w:tbl>
            <w:tblPr>
              <w:tblStyle w:val="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4109"/>
              <w:gridCol w:w="2424"/>
              <w:gridCol w:w="30"/>
            </w:tblGrid>
            <w:tr w14:paraId="56803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19" w:type="pct"/>
                <w:jc w:val="center"/>
              </w:trPr>
              <w:tc>
                <w:tcPr>
                  <w:tcW w:w="4980" w:type="pct"/>
                  <w:gridSpan w:val="3"/>
                  <w:tcBorders>
                    <w:top w:val="single" w:color="auto" w:sz="12" w:space="0"/>
                    <w:left w:val="nil"/>
                    <w:bottom w:val="single" w:color="auto" w:sz="4" w:space="0"/>
                    <w:right w:val="nil"/>
                    <w:tl2br w:val="nil"/>
                    <w:tr2bl w:val="nil"/>
                  </w:tcBorders>
                  <w:noWrap w:val="0"/>
                  <w:vAlign w:val="center"/>
                </w:tcPr>
                <w:p w14:paraId="33D4ADFD">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一、生态保护红线</w:t>
                  </w:r>
                </w:p>
              </w:tc>
            </w:tr>
            <w:tr w14:paraId="1934C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3C5B68BA">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管控单元类别</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53B551E1">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一般管控区</w:t>
                  </w:r>
                </w:p>
              </w:tc>
            </w:tr>
            <w:tr w14:paraId="7C33E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5A8DE6E">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管控要求</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25E4AAD5">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生态空间包括生态保护红线和一般生态空间，生态保护红线及一般生态空间均属于优先保护区，其余区域属于一般管控区。</w:t>
                  </w:r>
                </w:p>
              </w:tc>
            </w:tr>
            <w:tr w14:paraId="775D1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02140289">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符合性分析</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7B6C9CFD">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本项目位于</w:t>
                  </w:r>
                  <w:r>
                    <w:rPr>
                      <w:rFonts w:hint="default" w:ascii="Times New Roman" w:hAnsi="Times New Roman" w:cs="Times New Roman"/>
                      <w:color w:val="000000" w:themeColor="text1"/>
                      <w:kern w:val="0"/>
                      <w:sz w:val="21"/>
                      <w:szCs w:val="21"/>
                      <w:lang w:eastAsia="zh-CN"/>
                      <w14:textFill>
                        <w14:solidFill>
                          <w14:schemeClr w14:val="tx1"/>
                        </w14:solidFill>
                      </w14:textFill>
                    </w:rPr>
                    <w:t>黑龙江省双鸭山市岭东区青山路933号</w:t>
                  </w:r>
                  <w:r>
                    <w:rPr>
                      <w:rFonts w:hint="default" w:ascii="Times New Roman" w:hAnsi="Times New Roman" w:cs="Times New Roman"/>
                      <w:color w:val="000000" w:themeColor="text1"/>
                      <w:kern w:val="0"/>
                      <w:sz w:val="21"/>
                      <w:szCs w:val="21"/>
                      <w14:textFill>
                        <w14:solidFill>
                          <w14:schemeClr w14:val="tx1"/>
                        </w14:solidFill>
                      </w14:textFill>
                    </w:rPr>
                    <w:t>，选址区域不在重点生态功能区，项目所在地不涉及国家公园、自然保护区、风景名胜区、世界文化和自然遗产地、海洋特别保护区、饮用水水源保护区、永久基本农田、基本草原、自然公园（森林公园、地质公园、海洋公园等）、重要湿地、天然林，重点保护野生动物栖息地，重点保护野生植物生长繁殖地，重要水生生物的自然产卵场、索饵场、越冬场和润游通道，天然渔场，水土流失重点预防区和重点治理区、沙化土地封禁保护区、封闭及半封闭海域，因此未触及生态保护红线，属于一般管控区，符合生态保护红线要求。</w:t>
                  </w:r>
                </w:p>
              </w:tc>
            </w:tr>
            <w:tr w14:paraId="008B8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09077159">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二、环境质量底线</w:t>
                  </w:r>
                </w:p>
              </w:tc>
            </w:tr>
            <w:tr w14:paraId="4548E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49964C09">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大气环境</w:t>
                  </w:r>
                </w:p>
              </w:tc>
            </w:tr>
            <w:tr w14:paraId="0730D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0F2FBC53">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管控单元类别</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16D2B3D0">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大气环境布局敏感重点管控区</w:t>
                  </w:r>
                </w:p>
              </w:tc>
            </w:tr>
            <w:tr w14:paraId="25687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3387" w:type="pct"/>
                  <w:gridSpan w:val="2"/>
                  <w:tcBorders>
                    <w:top w:val="single" w:color="auto" w:sz="4" w:space="0"/>
                    <w:left w:val="nil"/>
                    <w:bottom w:val="single" w:color="auto" w:sz="4" w:space="0"/>
                    <w:right w:val="single" w:color="auto" w:sz="4" w:space="0"/>
                    <w:tl2br w:val="nil"/>
                    <w:tr2bl w:val="nil"/>
                  </w:tcBorders>
                  <w:noWrap w:val="0"/>
                  <w:vAlign w:val="center"/>
                </w:tcPr>
                <w:p w14:paraId="4719183B">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管控要求</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7B9FA42E">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符合性分析</w:t>
                  </w:r>
                </w:p>
              </w:tc>
            </w:tr>
            <w:tr w14:paraId="69082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98CC68F">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空间布局约束</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E4A6D4">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en-US" w:eastAsia="zh-CN"/>
                      <w14:textFill>
                        <w14:solidFill>
                          <w14:schemeClr w14:val="tx1"/>
                        </w14:solidFill>
                      </w14:textFill>
                    </w:rPr>
                    <w:t>“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18812135">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本项目不属于</w:t>
                  </w:r>
                  <w:r>
                    <w:rPr>
                      <w:rFonts w:hint="default" w:ascii="Times New Roman" w:hAnsi="Times New Roman" w:cs="Times New Roman"/>
                      <w:color w:val="000000" w:themeColor="text1"/>
                      <w:kern w:val="0"/>
                      <w:sz w:val="21"/>
                      <w:szCs w:val="21"/>
                      <w:lang w:val="en-US" w:eastAsia="zh-CN"/>
                      <w14:textFill>
                        <w14:solidFill>
                          <w14:schemeClr w14:val="tx1"/>
                        </w14:solidFill>
                      </w14:textFill>
                    </w:rPr>
                    <w:t>“两高”行业</w:t>
                  </w:r>
                  <w:r>
                    <w:rPr>
                      <w:rFonts w:hint="default" w:ascii="Times New Roman" w:hAnsi="Times New Roman" w:cs="Times New Roman"/>
                      <w:color w:val="000000" w:themeColor="text1"/>
                      <w:kern w:val="0"/>
                      <w:sz w:val="21"/>
                      <w:szCs w:val="21"/>
                      <w14:textFill>
                        <w14:solidFill>
                          <w14:schemeClr w14:val="tx1"/>
                        </w14:solidFill>
                      </w14:textFill>
                    </w:rPr>
                    <w:t>项目</w:t>
                  </w:r>
                  <w:r>
                    <w:rPr>
                      <w:rFonts w:hint="default" w:ascii="Times New Roman" w:hAnsi="Times New Roman" w:cs="Times New Roman"/>
                      <w:color w:val="000000" w:themeColor="text1"/>
                      <w:kern w:val="0"/>
                      <w:sz w:val="21"/>
                      <w:szCs w:val="21"/>
                      <w:lang w:eastAsia="zh-CN"/>
                      <w14:textFill>
                        <w14:solidFill>
                          <w14:schemeClr w14:val="tx1"/>
                        </w14:solidFill>
                      </w14:textFill>
                    </w:rPr>
                    <w:t>；不属于</w:t>
                  </w:r>
                  <w:r>
                    <w:rPr>
                      <w:rFonts w:hint="default" w:ascii="Times New Roman" w:hAnsi="Times New Roman" w:cs="Times New Roman"/>
                      <w:color w:val="000000" w:themeColor="text1"/>
                      <w:kern w:val="0"/>
                      <w:sz w:val="21"/>
                      <w:szCs w:val="21"/>
                      <w:lang w:val="en-US" w:eastAsia="zh-CN"/>
                      <w14:textFill>
                        <w14:solidFill>
                          <w14:schemeClr w14:val="tx1"/>
                        </w14:solidFill>
                      </w14:textFill>
                    </w:rPr>
                    <w:t>利用水泥窑协同处置城市生活垃圾、危险废弃物、电石渣等固废伴生水泥项目。</w:t>
                  </w:r>
                </w:p>
              </w:tc>
            </w:tr>
            <w:tr w14:paraId="606ED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14EA62E6">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污染物排放管控</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23184C">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en-US" w:eastAsia="zh-CN"/>
                      <w14:textFill>
                        <w14:solidFill>
                          <w14:schemeClr w14:val="tx1"/>
                        </w14:solidFill>
                      </w14:textFill>
                    </w:rPr>
                    <w:t>“1）对以煤、石焦油、渣油、重油等为燃料的锅炉和工业炉窑，加快使用清洁低碳能源以及工厂余热、电力热力等进行替代。2）到2025年，在用65蒸吨/小时以上的燃煤锅炉（含电力）实现超低排放，钢铁企业基本实现超低排放。”（含电力）实现超低排放，钢铁企业基本实现超低排放。”</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110D192D">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本项目冬季供暖使用电锅炉，使用的能源为清洁能源。</w:t>
                  </w:r>
                </w:p>
              </w:tc>
            </w:tr>
            <w:tr w14:paraId="24407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20BCB64F">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环境风险防控</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51576EB">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eastAsia="zh-CN"/>
                      <w14:textFill>
                        <w14:solidFill>
                          <w14:schemeClr w14:val="tx1"/>
                        </w14:solidFill>
                      </w14:textFill>
                    </w:rPr>
                    <w:t>“禁止在居民区、学校、医疗和养老机构等周边新建有色金属冶炼、焦化等行业企业。”</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4A8BE6A3">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本项目不属于有色金属冶炼、焦化等行业企业。</w:t>
                  </w:r>
                </w:p>
              </w:tc>
            </w:tr>
            <w:tr w14:paraId="4EDDB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598FA3A0">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资源利用效率要求</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1B4049C">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高污染燃料禁燃区</w:t>
                  </w:r>
                  <w:r>
                    <w:rPr>
                      <w:rFonts w:hint="default" w:ascii="Times New Roman" w:hAnsi="Times New Roman" w:cs="Times New Roman"/>
                      <w:color w:val="000000" w:themeColor="text1"/>
                      <w:kern w:val="0"/>
                      <w:sz w:val="21"/>
                      <w:szCs w:val="21"/>
                      <w:lang w:eastAsia="zh-CN"/>
                      <w14:textFill>
                        <w14:solidFill>
                          <w14:schemeClr w14:val="tx1"/>
                        </w14:solidFill>
                      </w14:textFill>
                    </w:rPr>
                    <w:t>同时</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en-US" w:eastAsia="zh-CN"/>
                      <w14:textFill>
                        <w14:solidFill>
                          <w14:schemeClr w14:val="tx1"/>
                        </w14:solidFill>
                      </w14:textFill>
                    </w:rPr>
                    <w:t>“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4FCD6B87">
                  <w:pPr>
                    <w:widowControl/>
                    <w:spacing w:beforeLines="0" w:afterLines="0"/>
                    <w:jc w:val="both"/>
                    <w:rPr>
                      <w:rFonts w:hint="default" w:ascii="Times New Roman" w:hAnsi="Times New Roman" w:cs="Times New Roman"/>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本项目不使用高污染燃料，冬季供暖使用电锅炉，使用的能源为清洁能源。</w:t>
                  </w:r>
                </w:p>
              </w:tc>
            </w:tr>
            <w:tr w14:paraId="6D11B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144391F5">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水环境</w:t>
                  </w:r>
                </w:p>
              </w:tc>
            </w:tr>
            <w:tr w14:paraId="7D037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2E092076">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管控单元类别</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6185F01E">
                  <w:pPr>
                    <w:widowControl/>
                    <w:spacing w:beforeLines="0" w:afterLines="0"/>
                    <w:jc w:val="center"/>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岭东区地下水环境一般管控区</w:t>
                  </w:r>
                </w:p>
              </w:tc>
            </w:tr>
            <w:tr w14:paraId="1D193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3387" w:type="pct"/>
                  <w:gridSpan w:val="2"/>
                  <w:tcBorders>
                    <w:top w:val="single" w:color="auto" w:sz="4" w:space="0"/>
                    <w:left w:val="nil"/>
                    <w:bottom w:val="single" w:color="auto" w:sz="4" w:space="0"/>
                    <w:right w:val="single" w:color="auto" w:sz="4" w:space="0"/>
                    <w:tl2br w:val="nil"/>
                    <w:tr2bl w:val="nil"/>
                  </w:tcBorders>
                  <w:noWrap w:val="0"/>
                  <w:vAlign w:val="center"/>
                </w:tcPr>
                <w:p w14:paraId="16864314">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管控要求</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44E5556B">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符合性分析</w:t>
                  </w:r>
                </w:p>
              </w:tc>
            </w:tr>
            <w:tr w14:paraId="1BF52B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22E7C714">
                  <w:pPr>
                    <w:widowControl/>
                    <w:spacing w:beforeLines="0" w:afterLines="0"/>
                    <w:jc w:val="center"/>
                    <w:rPr>
                      <w:rFonts w:hint="default" w:ascii="Times New Roman" w:hAnsi="Times New Roman" w:cs="Times New Roman" w:eastAsiaTheme="minorEastAsia"/>
                      <w:b/>
                      <w:bCs/>
                      <w:color w:val="000000" w:themeColor="text1"/>
                      <w:kern w:val="0"/>
                      <w:sz w:val="21"/>
                      <w:szCs w:val="21"/>
                      <w:lang w:eastAsia="zh-CN"/>
                      <w14:textFill>
                        <w14:solidFill>
                          <w14:schemeClr w14:val="tx1"/>
                        </w14:solidFill>
                      </w14:textFill>
                    </w:rPr>
                  </w:pPr>
                  <w:r>
                    <w:rPr>
                      <w:rFonts w:hint="default" w:ascii="Times New Roman" w:hAnsi="Times New Roman" w:cs="Times New Roman"/>
                      <w:b/>
                      <w:bCs/>
                      <w:color w:val="000000" w:themeColor="text1"/>
                      <w:kern w:val="0"/>
                      <w:sz w:val="21"/>
                      <w:szCs w:val="21"/>
                      <w:lang w:eastAsia="zh-CN"/>
                      <w14:textFill>
                        <w14:solidFill>
                          <w14:schemeClr w14:val="tx1"/>
                        </w14:solidFill>
                      </w14:textFill>
                    </w:rPr>
                    <w:t>环境风险防控</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971906">
                  <w:pPr>
                    <w:widowControl/>
                    <w:spacing w:beforeLines="0" w:afterLines="0"/>
                    <w:jc w:val="both"/>
                    <w:rPr>
                      <w:rFonts w:hint="default" w:ascii="Times New Roman" w:hAnsi="Times New Roman" w:cs="Times New Roman"/>
                      <w:color w:val="000000" w:themeColor="text1"/>
                      <w:kern w:val="0"/>
                      <w:sz w:val="21"/>
                      <w:szCs w:val="21"/>
                      <w:lang w:val="zh-TW" w:eastAsia="zh-TW"/>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lang w:val="zh-TW" w:eastAsia="zh-TW"/>
                      <w14:textFill>
                        <w14:solidFill>
                          <w14:schemeClr w14:val="tx1"/>
                        </w14:solidFill>
                      </w14:textFill>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4C78627C">
                  <w:pPr>
                    <w:widowControl/>
                    <w:spacing w:beforeLines="0" w:afterLines="0"/>
                    <w:jc w:val="both"/>
                    <w:rPr>
                      <w:rFonts w:hint="default" w:ascii="Times New Roman" w:hAnsi="Times New Roman" w:cs="Times New Roman"/>
                      <w:color w:val="000000" w:themeColor="text1"/>
                      <w:kern w:val="0"/>
                      <w:sz w:val="21"/>
                      <w:szCs w:val="21"/>
                      <w:lang w:val="zh-TW" w:eastAsia="zh-TW"/>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lang w:val="zh-TW" w:eastAsia="zh-TW"/>
                      <w14:textFill>
                        <w14:solidFill>
                          <w14:schemeClr w14:val="tx1"/>
                        </w14:solidFill>
                      </w14:textFill>
                    </w:rPr>
                    <w:t>重点单位新、改、扩建项目地下储罐储存有毒有害物质的，应当在项目投入生产或者使用之前，将地下储罐的信息报所在地设区的市级生态环境主管部门备案。</w:t>
                  </w:r>
                </w:p>
                <w:p w14:paraId="58E454C7">
                  <w:pPr>
                    <w:widowControl/>
                    <w:spacing w:beforeLines="0" w:afterLines="0"/>
                    <w:jc w:val="both"/>
                    <w:rPr>
                      <w:rFonts w:hint="default" w:ascii="Times New Roman" w:hAnsi="Times New Roman" w:cs="Times New Roman"/>
                      <w:color w:val="000000" w:themeColor="text1"/>
                      <w:kern w:val="0"/>
                      <w:sz w:val="21"/>
                      <w:szCs w:val="21"/>
                      <w:lang w:val="zh-TW" w:eastAsia="zh-TW"/>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r>
                    <w:rPr>
                      <w:rFonts w:hint="default" w:ascii="Times New Roman" w:hAnsi="Times New Roman" w:cs="Times New Roman"/>
                      <w:color w:val="000000" w:themeColor="text1"/>
                      <w:kern w:val="0"/>
                      <w:sz w:val="21"/>
                      <w:szCs w:val="21"/>
                      <w:lang w:val="zh-TW" w:eastAsia="zh-TW"/>
                      <w14:textFill>
                        <w14:solidFill>
                          <w14:schemeClr w14:val="tx1"/>
                        </w14:solidFill>
                      </w14:textFill>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22C3A12D">
                  <w:pPr>
                    <w:widowControl/>
                    <w:spacing w:beforeLines="0" w:afterLines="0"/>
                    <w:jc w:val="both"/>
                    <w:rPr>
                      <w:rFonts w:hint="default" w:ascii="Times New Roman" w:hAnsi="Times New Roman" w:cs="Times New Roman"/>
                      <w:color w:val="000000" w:themeColor="text1"/>
                      <w:kern w:val="0"/>
                      <w:sz w:val="21"/>
                      <w:szCs w:val="21"/>
                      <w:lang w:val="zh-TW" w:eastAsia="zh-TW"/>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4.</w:t>
                  </w:r>
                  <w:r>
                    <w:rPr>
                      <w:rFonts w:hint="default" w:ascii="Times New Roman" w:hAnsi="Times New Roman" w:cs="Times New Roman"/>
                      <w:color w:val="000000" w:themeColor="text1"/>
                      <w:kern w:val="0"/>
                      <w:sz w:val="21"/>
                      <w:szCs w:val="21"/>
                      <w:lang w:val="zh-TW" w:eastAsia="zh-TW"/>
                      <w14:textFill>
                        <w14:solidFill>
                          <w14:schemeClr w14:val="tx1"/>
                        </w14:solidFill>
                      </w14:textFill>
                    </w:rPr>
                    <w:t>化学品生产企业以及工业集聚区、矿山开采区、尾矿库、危险废物处置场、垃圾填埋场等的运营、管理单位，应当采取防渗漏等措施，并建设地下水水质监测井进行监测，防止地下水污染。</w:t>
                  </w:r>
                </w:p>
                <w:p w14:paraId="203E8493">
                  <w:pPr>
                    <w:widowControl/>
                    <w:spacing w:beforeLines="0" w:afterLines="0"/>
                    <w:jc w:val="both"/>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5.</w:t>
                  </w:r>
                  <w:r>
                    <w:rPr>
                      <w:rFonts w:hint="default" w:ascii="Times New Roman" w:hAnsi="Times New Roman" w:cs="Times New Roman"/>
                      <w:color w:val="000000" w:themeColor="text1"/>
                      <w:kern w:val="0"/>
                      <w:sz w:val="21"/>
                      <w:szCs w:val="21"/>
                      <w:lang w:val="zh-TW" w:eastAsia="zh-TW"/>
                      <w14:textFill>
                        <w14:solidFill>
                          <w14:schemeClr w14:val="tx1"/>
                        </w14:solidFill>
                      </w14:textFill>
                    </w:rPr>
                    <w:t>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592" w:type="pct"/>
                  <w:tcBorders>
                    <w:top w:val="single" w:color="auto" w:sz="4" w:space="0"/>
                    <w:left w:val="single" w:color="auto" w:sz="4" w:space="0"/>
                    <w:bottom w:val="single" w:color="auto" w:sz="4" w:space="0"/>
                    <w:right w:val="nil"/>
                    <w:tl2br w:val="nil"/>
                    <w:tr2bl w:val="nil"/>
                  </w:tcBorders>
                  <w:noWrap w:val="0"/>
                  <w:vAlign w:val="center"/>
                </w:tcPr>
                <w:p w14:paraId="5E2D120B">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本项目污水处理站采用重点防渗；本项目不涉及</w:t>
                  </w:r>
                  <w:r>
                    <w:rPr>
                      <w:rFonts w:hint="default" w:ascii="Times New Roman" w:hAnsi="Times New Roman" w:cs="Times New Roman"/>
                      <w:color w:val="000000" w:themeColor="text1"/>
                      <w:kern w:val="0"/>
                      <w:sz w:val="21"/>
                      <w:szCs w:val="21"/>
                      <w:lang w:val="zh-TW" w:eastAsia="zh-CN"/>
                      <w14:textFill>
                        <w14:solidFill>
                          <w14:schemeClr w14:val="tx1"/>
                        </w14:solidFill>
                      </w14:textFill>
                    </w:rPr>
                    <w:t>地下储罐储存有毒有害物质；本项目不涉及有毒有害物质的生产区，原材料及固体废物的堆存区、储放区和转运区等；不涉及有毒有害物质的地下储罐、地下管线；不属于化学品生产企业以及工业集聚区、矿山开采区、尾矿库、危险废物处置场、垃圾填埋场等的运营、管理单位；本项目无需开展土壤和地下水环境现状调查。</w:t>
                  </w:r>
                </w:p>
              </w:tc>
            </w:tr>
            <w:tr w14:paraId="6ED1E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3FF29D85">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三、资源利用上线</w:t>
                  </w:r>
                </w:p>
              </w:tc>
            </w:tr>
            <w:tr w14:paraId="3CD90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441E30C8">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能源利用上线</w:t>
                  </w:r>
                </w:p>
              </w:tc>
            </w:tr>
            <w:tr w14:paraId="27B90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5DBF51F7">
                  <w:pPr>
                    <w:widowControl/>
                    <w:spacing w:beforeLines="0" w:afterLines="0"/>
                    <w:jc w:val="center"/>
                    <w:rPr>
                      <w:rFonts w:hint="default" w:ascii="Times New Roman" w:hAnsi="Times New Roman" w:cs="Times New Roman" w:eastAsiaTheme="minorEastAsia"/>
                      <w:b/>
                      <w:bCs/>
                      <w:color w:val="000000" w:themeColor="text1"/>
                      <w:kern w:val="0"/>
                      <w:sz w:val="21"/>
                      <w:szCs w:val="21"/>
                      <w:lang w:eastAsia="zh-CN"/>
                      <w14:textFill>
                        <w14:solidFill>
                          <w14:schemeClr w14:val="tx1"/>
                        </w14:solidFill>
                      </w14:textFill>
                    </w:rPr>
                  </w:pPr>
                  <w:r>
                    <w:rPr>
                      <w:rFonts w:hint="default" w:ascii="Times New Roman" w:hAnsi="Times New Roman" w:cs="Times New Roman"/>
                      <w:b/>
                      <w:bCs/>
                      <w:color w:val="000000" w:themeColor="text1"/>
                      <w:kern w:val="0"/>
                      <w:sz w:val="21"/>
                      <w:szCs w:val="21"/>
                      <w:lang w:eastAsia="zh-CN"/>
                      <w14:textFill>
                        <w14:solidFill>
                          <w14:schemeClr w14:val="tx1"/>
                        </w14:solidFill>
                      </w14:textFill>
                    </w:rPr>
                    <w:t>管控维度</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3718F826">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高污染燃料禁燃区资源利用效率要求</w:t>
                  </w:r>
                </w:p>
              </w:tc>
            </w:tr>
            <w:tr w14:paraId="50FB9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1DEDA13E">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管控要求</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4AB9BF76">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14:textFill>
                        <w14:solidFill>
                          <w14:schemeClr w14:val="tx1"/>
                        </w14:solidFill>
                      </w14:textFill>
                    </w:rPr>
                    <w:t>在禁燃区内</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禁止销售、燃用相应高污染燃料</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禁止新建、扩建燃用高污染燃料的设施</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已建成的</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应当限期改造或拆除。</w:t>
                  </w:r>
                </w:p>
                <w:p w14:paraId="5438391D">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14:textFill>
                        <w14:solidFill>
                          <w14:schemeClr w14:val="tx1"/>
                        </w14:solidFill>
                      </w14:textFill>
                    </w:rPr>
                    <w:t>禁燃区内不得新</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改、扩</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建高污染燃料燃用设施。高污染燃料燃用设施改燃期限到期后，禁燃区内禁止销售、燃用相应类型的高污染燃料。</w:t>
                  </w:r>
                </w:p>
                <w:p w14:paraId="7E50A4C1">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r>
                    <w:rPr>
                      <w:rFonts w:hint="default" w:ascii="Times New Roman" w:hAnsi="Times New Roman" w:cs="Times New Roman"/>
                      <w:color w:val="000000" w:themeColor="text1"/>
                      <w:kern w:val="0"/>
                      <w:sz w:val="21"/>
                      <w:szCs w:val="21"/>
                      <w14:textFill>
                        <w14:solidFill>
                          <w14:schemeClr w14:val="tx1"/>
                        </w14:solidFill>
                      </w14:textFill>
                    </w:rPr>
                    <w:t>高污染燃料燃用设施拆除或者改用清洁能源之前，有关单位和个人应当采取有效措施，控制二氧化硫、氮氧化物和烟尘等污染物排放。燃料应当符合国家和省规定的有关强制性标准和要求。燃用高污染燃料的设施应当达标排放,不得发生冒黑烟和烟尘扰民等影响居民正常生活的现象。</w:t>
                  </w:r>
                </w:p>
              </w:tc>
            </w:tr>
            <w:tr w14:paraId="630FA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366BCF7B">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符合性分析</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210447A1">
                  <w:pPr>
                    <w:widowControl/>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本项目位于黑龙江省双鸭山市岭东区青山路933号，用地性质为工业用地，本项目用水由市政供水管网提供，本项目不使用高污染燃料。本项目不会突破资源利用上线。</w:t>
                  </w:r>
                  <w:r>
                    <w:rPr>
                      <w:rFonts w:hint="default" w:ascii="Times New Roman" w:hAnsi="Times New Roman" w:cs="Times New Roman"/>
                      <w:color w:val="000000" w:themeColor="text1"/>
                      <w:kern w:val="0"/>
                      <w:sz w:val="21"/>
                      <w:szCs w:val="21"/>
                      <w14:textFill>
                        <w14:solidFill>
                          <w14:schemeClr w14:val="tx1"/>
                        </w14:solidFill>
                      </w14:textFill>
                    </w:rPr>
                    <w:t xml:space="preserve"> </w:t>
                  </w:r>
                </w:p>
              </w:tc>
            </w:tr>
            <w:tr w14:paraId="465F9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4980" w:type="pct"/>
                  <w:gridSpan w:val="3"/>
                  <w:tcBorders>
                    <w:top w:val="single" w:color="auto" w:sz="4" w:space="0"/>
                    <w:left w:val="nil"/>
                    <w:bottom w:val="single" w:color="auto" w:sz="4" w:space="0"/>
                    <w:right w:val="nil"/>
                    <w:tl2br w:val="nil"/>
                    <w:tr2bl w:val="nil"/>
                  </w:tcBorders>
                  <w:noWrap w:val="0"/>
                  <w:vAlign w:val="center"/>
                </w:tcPr>
                <w:p w14:paraId="7D51107F">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四、环境准入清单</w:t>
                  </w:r>
                </w:p>
              </w:tc>
            </w:tr>
            <w:tr w14:paraId="6ABCE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E9C5C5C">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环境管控单元名称</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63D132CF">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岭东区城镇空间</w:t>
                  </w:r>
                </w:p>
              </w:tc>
            </w:tr>
            <w:tr w14:paraId="18244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631C4EE9">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环境管控单元编码</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65814A1B">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ZH23050320005</w:t>
                  </w:r>
                </w:p>
              </w:tc>
            </w:tr>
            <w:tr w14:paraId="6D556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625C0E4">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管控单元类别</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69277C02">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重点管控单元</w:t>
                  </w:r>
                </w:p>
              </w:tc>
            </w:tr>
            <w:tr w14:paraId="05DC6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9" w:type="pct"/>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5EC34C7">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管控要求</w:t>
                  </w:r>
                </w:p>
              </w:tc>
              <w:tc>
                <w:tcPr>
                  <w:tcW w:w="4291" w:type="pct"/>
                  <w:gridSpan w:val="2"/>
                  <w:tcBorders>
                    <w:top w:val="single" w:color="auto" w:sz="4" w:space="0"/>
                    <w:left w:val="single" w:color="auto" w:sz="4" w:space="0"/>
                    <w:bottom w:val="single" w:color="auto" w:sz="4" w:space="0"/>
                    <w:right w:val="nil"/>
                    <w:tl2br w:val="nil"/>
                    <w:tr2bl w:val="nil"/>
                  </w:tcBorders>
                  <w:noWrap w:val="0"/>
                  <w:vAlign w:val="center"/>
                </w:tcPr>
                <w:p w14:paraId="37D7AEFE">
                  <w:pPr>
                    <w:widowControl/>
                    <w:spacing w:beforeLines="0" w:afterLines="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项目符合性分析</w:t>
                  </w:r>
                </w:p>
              </w:tc>
            </w:tr>
            <w:tr w14:paraId="515EB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70390159">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空间布局约束</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C0A9C4C">
                  <w:pPr>
                    <w:spacing w:beforeLines="0" w:afterLines="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执行</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zh-CN"/>
                      <w14:textFill>
                        <w14:solidFill>
                          <w14:schemeClr w14:val="tx1"/>
                        </w14:solidFill>
                      </w14:textFill>
                    </w:rPr>
                    <w:t>1）严禁在人口密集区新建危险化学品生产项目，城镇人口密集区危险化学品生产企业应搬迁改造。2）禁止在城镇居民区、文化教育科学研究区等人口集中区域建设畜禽养殖场、养殖小区。”</w:t>
                  </w:r>
                </w:p>
                <w:p w14:paraId="333111CF">
                  <w:pPr>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大气环境布局敏感重点管控区</w:t>
                  </w:r>
                  <w:r>
                    <w:rPr>
                      <w:rFonts w:hint="default" w:ascii="Times New Roman" w:hAnsi="Times New Roman" w:cs="Times New Roman"/>
                      <w:color w:val="000000" w:themeColor="text1"/>
                      <w:sz w:val="21"/>
                      <w:szCs w:val="21"/>
                      <w:lang w:eastAsia="zh-CN"/>
                      <w14:textFill>
                        <w14:solidFill>
                          <w14:schemeClr w14:val="tx1"/>
                        </w14:solidFill>
                      </w14:textFill>
                    </w:rPr>
                    <w:t>同时</w:t>
                  </w:r>
                  <w:r>
                    <w:rPr>
                      <w:rFonts w:hint="default" w:ascii="Times New Roman" w:hAnsi="Times New Roman" w:cs="Times New Roman"/>
                      <w:color w:val="000000" w:themeColor="text1"/>
                      <w:sz w:val="21"/>
                      <w:szCs w:val="21"/>
                      <w14:textFill>
                        <w14:solidFill>
                          <w14:schemeClr w14:val="tx1"/>
                        </w14:solidFill>
                      </w14:textFill>
                    </w:rPr>
                    <w:t>执行</w:t>
                  </w:r>
                  <w:r>
                    <w:rPr>
                      <w:rFonts w:hint="default" w:ascii="Times New Roman" w:hAnsi="Times New Roman" w:cs="Times New Roman"/>
                      <w:color w:val="000000" w:themeColor="text1"/>
                      <w:sz w:val="21"/>
                      <w:szCs w:val="21"/>
                      <w:lang w:eastAsia="zh-CN"/>
                      <w14:textFill>
                        <w14:solidFill>
                          <w14:schemeClr w14:val="tx1"/>
                        </w14:solidFill>
                      </w14:textFill>
                    </w:rPr>
                    <w:t>“禁止在居民区、学校、医疗和养老机构等周边新建有色金属冶炼、焦化等行业企业。”</w:t>
                  </w:r>
                </w:p>
              </w:tc>
              <w:tc>
                <w:tcPr>
                  <w:tcW w:w="1612" w:type="pct"/>
                  <w:gridSpan w:val="2"/>
                  <w:tcBorders>
                    <w:top w:val="single" w:color="auto" w:sz="4" w:space="0"/>
                    <w:left w:val="single" w:color="auto" w:sz="4" w:space="0"/>
                    <w:bottom w:val="single" w:color="auto" w:sz="4" w:space="0"/>
                    <w:right w:val="nil"/>
                    <w:tl2br w:val="nil"/>
                    <w:tr2bl w:val="nil"/>
                  </w:tcBorders>
                  <w:noWrap w:val="0"/>
                  <w:vAlign w:val="center"/>
                </w:tcPr>
                <w:p w14:paraId="738A6BE6">
                  <w:pPr>
                    <w:widowControl/>
                    <w:spacing w:beforeLines="0" w:afterLines="0"/>
                    <w:jc w:val="center"/>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本项目为速冻食品生产项目，不属于</w:t>
                  </w:r>
                  <w:r>
                    <w:rPr>
                      <w:rFonts w:hint="default" w:ascii="Times New Roman" w:hAnsi="Times New Roman" w:cs="Times New Roman"/>
                      <w:color w:val="000000" w:themeColor="text1"/>
                      <w:kern w:val="0"/>
                      <w:sz w:val="21"/>
                      <w:szCs w:val="21"/>
                      <w:lang w:val="zh-CN" w:eastAsia="zh-CN"/>
                      <w14:textFill>
                        <w14:solidFill>
                          <w14:schemeClr w14:val="tx1"/>
                        </w14:solidFill>
                      </w14:textFill>
                    </w:rPr>
                    <w:t>危险化学品生产项目，不属于畜禽养殖场、养殖小区；本项目不属于有色金属冶炼、焦化等行业企业。</w:t>
                  </w:r>
                </w:p>
              </w:tc>
            </w:tr>
            <w:tr w14:paraId="2ECE4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23219011">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污染物排放管控</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91C046A">
                  <w:pPr>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lang w:val="zh-CN"/>
                      <w14:textFill>
                        <w14:solidFill>
                          <w14:schemeClr w14:val="tx1"/>
                        </w14:solidFill>
                      </w14:textFill>
                    </w:rPr>
                    <w:t>加快65t／h以上燃煤锅炉（含电力）超低排放改造。</w:t>
                  </w:r>
                </w:p>
                <w:p w14:paraId="2695150A">
                  <w:pPr>
                    <w:spacing w:beforeLines="0" w:afterLines="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14:textFill>
                        <w14:solidFill>
                          <w14:schemeClr w14:val="tx1"/>
                        </w14:solidFill>
                      </w14:textFill>
                    </w:rPr>
                    <w:t>大气环境布局敏感重点管控区</w:t>
                  </w:r>
                  <w:r>
                    <w:rPr>
                      <w:rFonts w:hint="default" w:ascii="Times New Roman" w:hAnsi="Times New Roman" w:cs="Times New Roman"/>
                      <w:color w:val="000000" w:themeColor="text1"/>
                      <w:kern w:val="0"/>
                      <w:sz w:val="21"/>
                      <w:szCs w:val="21"/>
                      <w:lang w:eastAsia="zh-CN"/>
                      <w14:textFill>
                        <w14:solidFill>
                          <w14:schemeClr w14:val="tx1"/>
                        </w14:solidFill>
                      </w14:textFill>
                    </w:rPr>
                    <w:t>同时</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lang w:val="en-US" w:eastAsia="zh-CN"/>
                      <w14:textFill>
                        <w14:solidFill>
                          <w14:schemeClr w14:val="tx1"/>
                        </w14:solidFill>
                      </w14:textFill>
                    </w:rPr>
                    <w:t>“1）对以煤、石焦油、渣油、重油等为燃料的锅炉和工业炉窑，加快使用清洁低碳能源以及工厂余热、电力热力等进行替代。2）到2025年，在用65蒸吨/小时以上的燃煤锅炉（含电力）实现超低排放，钢铁企业基本实现超低排放。”（含电力）实现超低排放，钢铁企业基本实现超低排放。”</w:t>
                  </w:r>
                </w:p>
              </w:tc>
              <w:tc>
                <w:tcPr>
                  <w:tcW w:w="1612" w:type="pct"/>
                  <w:gridSpan w:val="2"/>
                  <w:tcBorders>
                    <w:top w:val="single" w:color="auto" w:sz="4" w:space="0"/>
                    <w:left w:val="single" w:color="auto" w:sz="4" w:space="0"/>
                    <w:bottom w:val="single" w:color="auto" w:sz="4" w:space="0"/>
                    <w:right w:val="nil"/>
                    <w:tl2br w:val="nil"/>
                    <w:tr2bl w:val="nil"/>
                  </w:tcBorders>
                  <w:noWrap w:val="0"/>
                  <w:vAlign w:val="center"/>
                </w:tcPr>
                <w:p w14:paraId="20A1606A">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本项目不使用高污染燃料，冬季供暖使用电锅炉，使用的能源为清洁能源。</w:t>
                  </w:r>
                </w:p>
              </w:tc>
            </w:tr>
            <w:tr w14:paraId="048BB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tcBorders>
                    <w:top w:val="single" w:color="auto" w:sz="4" w:space="0"/>
                    <w:left w:val="nil"/>
                    <w:bottom w:val="single" w:color="auto" w:sz="4" w:space="0"/>
                    <w:right w:val="single" w:color="auto" w:sz="4" w:space="0"/>
                    <w:tl2br w:val="nil"/>
                    <w:tr2bl w:val="nil"/>
                  </w:tcBorders>
                  <w:noWrap w:val="0"/>
                  <w:vAlign w:val="center"/>
                </w:tcPr>
                <w:p w14:paraId="620B8F82">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环境风险防控</w:t>
                  </w:r>
                </w:p>
              </w:tc>
              <w:tc>
                <w:tcPr>
                  <w:tcW w:w="2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0E090D3">
                  <w:pPr>
                    <w:widowControl/>
                    <w:spacing w:beforeLines="0" w:afterLines="0"/>
                    <w:jc w:val="both"/>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zh-CN"/>
                      <w14:textFill>
                        <w14:solidFill>
                          <w14:schemeClr w14:val="tx1"/>
                        </w14:solidFill>
                      </w14:textFill>
                    </w:rPr>
                    <w:t>“化工园区与城市建成区、人员密集场所、重要设施、敏感目标等应当保持规定的安全距离，相对封闭，不应保留常住居民，非关联企业和产业要逐步搬迁或退出，妥善防范化解“邻避”问题。严禁在松花江干流及一级支流沿岸</w:t>
                  </w:r>
                  <w:r>
                    <w:rPr>
                      <w:rFonts w:hint="default" w:ascii="Times New Roman" w:hAnsi="Times New Roman" w:cs="Times New Roman"/>
                      <w:color w:val="000000" w:themeColor="text1"/>
                      <w:kern w:val="0"/>
                      <w:sz w:val="21"/>
                      <w:szCs w:val="21"/>
                      <w:lang w:val="en-US"/>
                      <w14:textFill>
                        <w14:solidFill>
                          <w14:schemeClr w14:val="tx1"/>
                        </w14:solidFill>
                      </w14:textFill>
                    </w:rPr>
                    <w:t>1公里范围内布局化工园区。</w:t>
                  </w:r>
                  <w:r>
                    <w:rPr>
                      <w:rFonts w:hint="default" w:ascii="Times New Roman" w:hAnsi="Times New Roman" w:cs="Times New Roman"/>
                      <w:color w:val="000000" w:themeColor="text1"/>
                      <w:kern w:val="0"/>
                      <w:sz w:val="21"/>
                      <w:szCs w:val="21"/>
                      <w:lang w:val="zh-CN"/>
                      <w14:textFill>
                        <w14:solidFill>
                          <w14:schemeClr w14:val="tx1"/>
                        </w14:solidFill>
                      </w14:textFill>
                    </w:rPr>
                    <w:t>”</w:t>
                  </w:r>
                </w:p>
                <w:p w14:paraId="1D8CA73B">
                  <w:pPr>
                    <w:widowControl/>
                    <w:spacing w:beforeLines="0" w:afterLines="0"/>
                    <w:jc w:val="both"/>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14:textFill>
                        <w14:solidFill>
                          <w14:schemeClr w14:val="tx1"/>
                        </w14:solidFill>
                      </w14:textFill>
                    </w:rPr>
                    <w:t>大气环境布局敏感重点管控区</w:t>
                  </w:r>
                  <w:r>
                    <w:rPr>
                      <w:rFonts w:hint="default" w:ascii="Times New Roman" w:hAnsi="Times New Roman" w:cs="Times New Roman"/>
                      <w:color w:val="000000" w:themeColor="text1"/>
                      <w:kern w:val="0"/>
                      <w:sz w:val="21"/>
                      <w:szCs w:val="21"/>
                      <w:lang w:eastAsia="zh-CN"/>
                      <w14:textFill>
                        <w14:solidFill>
                          <w14:schemeClr w14:val="tx1"/>
                        </w14:solidFill>
                      </w14:textFill>
                    </w:rPr>
                    <w:t>同时</w:t>
                  </w:r>
                  <w:r>
                    <w:rPr>
                      <w:rFonts w:hint="default" w:ascii="Times New Roman" w:hAnsi="Times New Roman" w:cs="Times New Roman"/>
                      <w:color w:val="000000" w:themeColor="text1"/>
                      <w:kern w:val="0"/>
                      <w:sz w:val="21"/>
                      <w:szCs w:val="21"/>
                      <w14:textFill>
                        <w14:solidFill>
                          <w14:schemeClr w14:val="tx1"/>
                        </w14:solidFill>
                      </w14:textFill>
                    </w:rPr>
                    <w:t>执行执行本清单</w:t>
                  </w:r>
                  <w:r>
                    <w:rPr>
                      <w:rFonts w:hint="default" w:ascii="Times New Roman" w:hAnsi="Times New Roman" w:cs="Times New Roman"/>
                      <w:color w:val="000000" w:themeColor="text1"/>
                      <w:kern w:val="0"/>
                      <w:sz w:val="21"/>
                      <w:szCs w:val="21"/>
                      <w:lang w:eastAsia="zh-CN"/>
                      <w14:textFill>
                        <w14:solidFill>
                          <w14:schemeClr w14:val="tx1"/>
                        </w14:solidFill>
                      </w14:textFill>
                    </w:rPr>
                    <w:t>，禁止在居民区、学校、医疗和养老机构等周边新建有色金属冶炼、焦化等行业企业。”</w:t>
                  </w:r>
                </w:p>
              </w:tc>
              <w:tc>
                <w:tcPr>
                  <w:tcW w:w="1612" w:type="pct"/>
                  <w:gridSpan w:val="2"/>
                  <w:tcBorders>
                    <w:top w:val="single" w:color="auto" w:sz="4" w:space="0"/>
                    <w:left w:val="single" w:color="auto" w:sz="4" w:space="0"/>
                    <w:bottom w:val="single" w:color="auto" w:sz="4" w:space="0"/>
                    <w:right w:val="nil"/>
                    <w:tl2br w:val="nil"/>
                    <w:tr2bl w:val="nil"/>
                  </w:tcBorders>
                  <w:noWrap w:val="0"/>
                  <w:vAlign w:val="center"/>
                </w:tcPr>
                <w:p w14:paraId="3A40573C">
                  <w:pPr>
                    <w:widowControl/>
                    <w:spacing w:beforeLines="0" w:afterLines="0"/>
                    <w:jc w:val="center"/>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本项目不位于化工园区，不属于有色金属冶炼、焦化等行业企业。</w:t>
                  </w:r>
                </w:p>
              </w:tc>
            </w:tr>
            <w:tr w14:paraId="14D7A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tcBorders>
                    <w:top w:val="single" w:color="auto" w:sz="4" w:space="0"/>
                    <w:left w:val="nil"/>
                    <w:bottom w:val="single" w:color="auto" w:sz="12" w:space="0"/>
                    <w:right w:val="single" w:color="auto" w:sz="4" w:space="0"/>
                    <w:tl2br w:val="nil"/>
                    <w:tr2bl w:val="nil"/>
                  </w:tcBorders>
                  <w:noWrap w:val="0"/>
                  <w:vAlign w:val="center"/>
                </w:tcPr>
                <w:p w14:paraId="00D1D075">
                  <w:pPr>
                    <w:widowControl/>
                    <w:spacing w:beforeLines="0" w:afterLines="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资源利用效率要求</w:t>
                  </w:r>
                </w:p>
              </w:tc>
              <w:tc>
                <w:tcPr>
                  <w:tcW w:w="2699"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48371E4B">
                  <w:pPr>
                    <w:widowControl/>
                    <w:spacing w:beforeLines="0" w:afterLines="0"/>
                    <w:jc w:val="both"/>
                    <w:rPr>
                      <w:rFonts w:hint="default" w:ascii="Times New Roman" w:hAnsi="Times New Roman" w:cs="Times New Roman"/>
                      <w:color w:val="000000" w:themeColor="text1"/>
                      <w:kern w:val="0"/>
                      <w:sz w:val="21"/>
                      <w:szCs w:val="21"/>
                      <w:lang w:val="zh-CN"/>
                      <w14:textFill>
                        <w14:solidFill>
                          <w14:schemeClr w14:val="tx1"/>
                        </w14:solidFill>
                      </w14:textFill>
                    </w:rPr>
                  </w:pPr>
                  <w:r>
                    <w:rPr>
                      <w:rFonts w:hint="default" w:ascii="Times New Roman" w:hAnsi="Times New Roman" w:cs="Times New Roman"/>
                      <w:color w:val="000000" w:themeColor="text1"/>
                      <w:kern w:val="0"/>
                      <w:sz w:val="21"/>
                      <w:szCs w:val="21"/>
                      <w:lang w:val="zh-CN"/>
                      <w14:textFill>
                        <w14:solidFill>
                          <w14:schemeClr w14:val="tx1"/>
                        </w14:solidFill>
                      </w14:textFill>
                    </w:rPr>
                    <w:t>1.</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zh-CN"/>
                      <w14:textFill>
                        <w14:solidFill>
                          <w14:schemeClr w14:val="tx1"/>
                        </w14:solidFill>
                      </w14:textFill>
                    </w:rPr>
                    <w:t>“1）推进污水再生利用设施建设。2）公共建筑必须采用节水器具，限期淘汰公共建筑中不符合节水标准的水嘴、便器水箱等生活用水器具。”</w:t>
                  </w:r>
                </w:p>
                <w:p w14:paraId="20CBD659">
                  <w:pPr>
                    <w:widowControl/>
                    <w:spacing w:beforeLines="0" w:afterLines="0"/>
                    <w:jc w:val="both"/>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14:textFill>
                        <w14:solidFill>
                          <w14:schemeClr w14:val="tx1"/>
                        </w14:solidFill>
                      </w14:textFill>
                    </w:rPr>
                    <w:t>高污染燃料禁燃区</w:t>
                  </w:r>
                  <w:r>
                    <w:rPr>
                      <w:rFonts w:hint="default" w:ascii="Times New Roman" w:hAnsi="Times New Roman" w:cs="Times New Roman"/>
                      <w:color w:val="000000" w:themeColor="text1"/>
                      <w:kern w:val="0"/>
                      <w:sz w:val="21"/>
                      <w:szCs w:val="21"/>
                      <w:lang w:eastAsia="zh-CN"/>
                      <w14:textFill>
                        <w14:solidFill>
                          <w14:schemeClr w14:val="tx1"/>
                        </w14:solidFill>
                      </w14:textFill>
                    </w:rPr>
                    <w:t>同时</w:t>
                  </w:r>
                  <w:r>
                    <w:rPr>
                      <w:rFonts w:hint="default" w:ascii="Times New Roman" w:hAnsi="Times New Roman" w:cs="Times New Roman"/>
                      <w:color w:val="000000" w:themeColor="text1"/>
                      <w:kern w:val="0"/>
                      <w:sz w:val="21"/>
                      <w:szCs w:val="21"/>
                      <w14:textFill>
                        <w14:solidFill>
                          <w14:schemeClr w14:val="tx1"/>
                        </w14:solidFill>
                      </w14:textFill>
                    </w:rPr>
                    <w:t>执行</w:t>
                  </w:r>
                  <w:r>
                    <w:rPr>
                      <w:rFonts w:hint="default" w:ascii="Times New Roman" w:hAnsi="Times New Roman" w:cs="Times New Roman"/>
                      <w:color w:val="000000" w:themeColor="text1"/>
                      <w:kern w:val="0"/>
                      <w:sz w:val="21"/>
                      <w:szCs w:val="21"/>
                      <w:lang w:val="en-US" w:eastAsia="zh-CN"/>
                      <w14:textFill>
                        <w14:solidFill>
                          <w14:schemeClr w14:val="tx1"/>
                        </w14:solidFill>
                      </w14:textFill>
                    </w:rPr>
                    <w:t>“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612" w:type="pct"/>
                  <w:gridSpan w:val="2"/>
                  <w:tcBorders>
                    <w:top w:val="single" w:color="auto" w:sz="4" w:space="0"/>
                    <w:left w:val="single" w:color="auto" w:sz="4" w:space="0"/>
                    <w:bottom w:val="single" w:color="auto" w:sz="12" w:space="0"/>
                    <w:right w:val="nil"/>
                    <w:tl2br w:val="nil"/>
                    <w:tr2bl w:val="nil"/>
                  </w:tcBorders>
                  <w:noWrap w:val="0"/>
                  <w:vAlign w:val="center"/>
                </w:tcPr>
                <w:p w14:paraId="77EAAD6C">
                  <w:pPr>
                    <w:widowControl/>
                    <w:spacing w:beforeLines="0" w:afterLines="0"/>
                    <w:jc w:val="both"/>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lang w:eastAsia="zh-CN"/>
                      <w14:textFill>
                        <w14:solidFill>
                          <w14:schemeClr w14:val="tx1"/>
                        </w14:solidFill>
                      </w14:textFill>
                    </w:rPr>
                    <w:t>本项目不使用高污染燃料，冬季供暖使用电锅炉，使用的能源为清洁能源。</w:t>
                  </w:r>
                </w:p>
              </w:tc>
            </w:tr>
          </w:tbl>
          <w:p w14:paraId="1D4BFF04">
            <w:pPr>
              <w:pStyle w:val="28"/>
              <w:spacing w:beforeLines="0" w:afterLines="0"/>
              <w:ind w:firstLine="480"/>
              <w:rPr>
                <w:rFonts w:hint="eastAsia"/>
                <w:color w:val="FF0000"/>
                <w:sz w:val="24"/>
                <w:szCs w:val="24"/>
                <w:lang w:val="en-US" w:eastAsia="zh-CN"/>
              </w:rPr>
            </w:pPr>
            <w:r>
              <w:rPr>
                <w:rFonts w:hint="eastAsia"/>
                <w:color w:val="FF0000"/>
                <w:sz w:val="24"/>
                <w:szCs w:val="24"/>
                <w:lang w:val="en-US" w:eastAsia="zh-CN"/>
              </w:rPr>
              <w:t>（3）“一说明”</w:t>
            </w:r>
          </w:p>
          <w:p w14:paraId="37A9DBEC">
            <w:pPr>
              <w:pStyle w:val="28"/>
              <w:spacing w:beforeLines="0" w:afterLines="0"/>
              <w:ind w:firstLine="48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根据上表可知，本项目符合《黑龙江省人民政府关于实施“三线一单”生态环境分区管控的意见》（黑政发[2020]14号）、《</w:t>
            </w:r>
            <w:r>
              <w:rPr>
                <w:rFonts w:hint="eastAsia"/>
                <w:color w:val="000000" w:themeColor="text1"/>
                <w:sz w:val="24"/>
                <w:szCs w:val="24"/>
                <w:lang w:eastAsia="zh-CN"/>
                <w14:textFill>
                  <w14:solidFill>
                    <w14:schemeClr w14:val="tx1"/>
                  </w14:solidFill>
                </w14:textFill>
              </w:rPr>
              <w:t>双鸭山</w:t>
            </w:r>
            <w:r>
              <w:rPr>
                <w:rFonts w:hint="eastAsia"/>
                <w:color w:val="000000" w:themeColor="text1"/>
                <w:sz w:val="24"/>
                <w:szCs w:val="24"/>
                <w14:textFill>
                  <w14:solidFill>
                    <w14:schemeClr w14:val="tx1"/>
                  </w14:solidFill>
                </w14:textFill>
              </w:rPr>
              <w:t>市人民政府关于实施“三线一单”生态环境分区管控的意见》（双政规〔2021〕2号）、《</w:t>
            </w:r>
            <w:r>
              <w:rPr>
                <w:rFonts w:hint="eastAsia"/>
                <w:color w:val="000000" w:themeColor="text1"/>
                <w:sz w:val="24"/>
                <w:szCs w:val="24"/>
                <w:lang w:eastAsia="zh-CN"/>
                <w14:textFill>
                  <w14:solidFill>
                    <w14:schemeClr w14:val="tx1"/>
                  </w14:solidFill>
                </w14:textFill>
              </w:rPr>
              <w:t>双鸭山</w:t>
            </w:r>
            <w:r>
              <w:rPr>
                <w:rFonts w:hint="eastAsia"/>
                <w:color w:val="000000" w:themeColor="text1"/>
                <w:sz w:val="24"/>
                <w:szCs w:val="24"/>
                <w14:textFill>
                  <w14:solidFill>
                    <w14:schemeClr w14:val="tx1"/>
                  </w14:solidFill>
                </w14:textFill>
              </w:rPr>
              <w:t>市生态环境准入清单》（2023年版）中的要求。</w:t>
            </w:r>
          </w:p>
          <w:p w14:paraId="48161F1D">
            <w:pPr>
              <w:pStyle w:val="28"/>
              <w:spacing w:beforeLines="0" w:afterLines="0"/>
              <w:ind w:firstLine="480"/>
              <w:rPr>
                <w:rFonts w:hint="default"/>
                <w:color w:val="FF0000"/>
                <w:sz w:val="24"/>
                <w:szCs w:val="24"/>
              </w:rPr>
            </w:pPr>
            <w:r>
              <w:rPr>
                <w:rFonts w:hint="default"/>
                <w:color w:val="FF0000"/>
                <w:sz w:val="24"/>
                <w:szCs w:val="24"/>
              </w:rPr>
              <w:t>双鸭山市嘉程食品加工有限公司建设项目位置涉及双鸭山市岭东区</w:t>
            </w:r>
            <w:r>
              <w:rPr>
                <w:rFonts w:hint="eastAsia"/>
                <w:color w:val="FF0000"/>
                <w:sz w:val="24"/>
                <w:szCs w:val="24"/>
                <w:lang w:eastAsia="zh-CN"/>
              </w:rPr>
              <w:t>；</w:t>
            </w:r>
            <w:r>
              <w:rPr>
                <w:rFonts w:hint="default"/>
                <w:color w:val="FF0000"/>
                <w:sz w:val="24"/>
                <w:szCs w:val="24"/>
              </w:rPr>
              <w:t>项目占地总面积小于0.01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w:t>
            </w:r>
            <w:r>
              <w:rPr>
                <w:rFonts w:hint="eastAsia"/>
                <w:color w:val="FF0000"/>
                <w:sz w:val="24"/>
                <w:szCs w:val="24"/>
                <w:lang w:eastAsia="zh-CN"/>
              </w:rPr>
              <w:t>；</w:t>
            </w:r>
            <w:r>
              <w:rPr>
                <w:rFonts w:hint="default"/>
                <w:color w:val="FF0000"/>
                <w:sz w:val="24"/>
                <w:szCs w:val="24"/>
              </w:rPr>
              <w:t>与重点管控单元交集面积为小于0.01平方公里，占项目占地面积的100.00%</w:t>
            </w:r>
            <w:r>
              <w:rPr>
                <w:rFonts w:hint="eastAsia"/>
                <w:color w:val="FF0000"/>
                <w:sz w:val="24"/>
                <w:szCs w:val="24"/>
                <w:lang w:eastAsia="zh-CN"/>
              </w:rPr>
              <w:t>；</w:t>
            </w:r>
            <w:r>
              <w:rPr>
                <w:rFonts w:hint="default"/>
                <w:color w:val="FF0000"/>
                <w:sz w:val="24"/>
                <w:szCs w:val="24"/>
              </w:rPr>
              <w:t>一般管控单元交集面积为0.00平方公里，占项目占地面积的0.00%。与地下水环境优先保护区交集面积为0.00平方公里，占项目占地面积的0.00%</w:t>
            </w:r>
            <w:r>
              <w:rPr>
                <w:rFonts w:hint="eastAsia"/>
                <w:color w:val="FF0000"/>
                <w:sz w:val="24"/>
                <w:szCs w:val="24"/>
                <w:lang w:eastAsia="zh-CN"/>
              </w:rPr>
              <w:t>；</w:t>
            </w:r>
            <w:r>
              <w:rPr>
                <w:rFonts w:hint="default"/>
                <w:color w:val="FF0000"/>
                <w:sz w:val="24"/>
                <w:szCs w:val="24"/>
              </w:rPr>
              <w:t>与地下水环境重点管控区交集面积为0.00平方公里，占项目占地面积的0.00%，与地下水环境一般管控区交集面积为小于0.01平方公里，占项目占地面积的100.00%。</w:t>
            </w:r>
          </w:p>
          <w:p w14:paraId="2F583A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、选址合理性</w:t>
            </w:r>
          </w:p>
          <w:p w14:paraId="016D59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位于黑龙江省双鸭山市岭东区青山路933号</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FF0000"/>
                <w:sz w:val="24"/>
                <w:szCs w:val="24"/>
                <w:highlight w:val="none"/>
                <w:lang w:val="en-US" w:eastAsia="zh-CN"/>
              </w:rPr>
              <w:t>依据附图6国土调查中2022年末土地利用现状，其中“0601”区域土地利用现状为工业用地，本项目位于其中，因此本项目用地性质为工业用地。</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项目不属于《限制用地项目目录（2012年本)》和《禁止用地项目目录(2012年本)》中的限制、禁止用地项目。</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项目东侧为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青山</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路（主干路），西侧为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空</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地，南侧为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未建成厂房</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，北侧为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空地</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p>
          <w:p w14:paraId="3B76F8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highlight w:val="none"/>
                <w:lang w:val="en-US" w:eastAsia="zh-CN"/>
              </w:rPr>
            </w:pPr>
            <w:r>
              <w:rPr>
                <w:rFonts w:hint="eastAsia" w:ascii="Times New Roman" w:hAnsi="Times New Roman" w:eastAsia="宋体" w:cs="Times New Roman"/>
                <w:b w:val="0"/>
                <w:bCs w:val="0"/>
                <w:color w:val="FF0000"/>
                <w:sz w:val="24"/>
                <w:szCs w:val="24"/>
                <w:highlight w:val="none"/>
                <w:lang w:val="en-US" w:eastAsia="zh-CN"/>
              </w:rPr>
              <w:t>本项目</w:t>
            </w:r>
            <w:r>
              <w:rPr>
                <w:rFonts w:hint="default" w:ascii="Times New Roman" w:hAnsi="Times New Roman" w:eastAsia="宋体" w:cs="Times New Roman"/>
                <w:b w:val="0"/>
                <w:bCs w:val="0"/>
                <w:color w:val="FF0000"/>
                <w:sz w:val="24"/>
                <w:szCs w:val="24"/>
                <w:highlight w:val="none"/>
                <w:lang w:val="en-US" w:eastAsia="zh-CN"/>
              </w:rPr>
              <w:t>厂房原属黑龙江双瑞生物科技有限公司，用于菌种培育，经现场勘察，项目所在地的厂房现处于空置状态，不存在与项目有关的原有环境污染问题。</w:t>
            </w:r>
          </w:p>
          <w:p w14:paraId="666630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本项目选址区域不涉及自然保护区、森林公园、风景名胜区、世界文化自然遗产、地质公园等，并且不在重要生态功能区生态红线和生态环境敏感区、脆弱区生态红线内，符合生态保护红线要求。</w:t>
            </w:r>
          </w:p>
          <w:p w14:paraId="560B3A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FF0000"/>
                <w:sz w:val="24"/>
                <w:szCs w:val="24"/>
                <w:highlight w:val="none"/>
                <w:lang w:val="en-US" w:eastAsia="zh-CN"/>
              </w:rPr>
            </w:pPr>
            <w:r>
              <w:rPr>
                <w:rFonts w:hint="eastAsia" w:ascii="Times New Roman" w:hAnsi="Times New Roman" w:eastAsia="宋体" w:cs="Times New Roman"/>
                <w:b w:val="0"/>
                <w:bCs w:val="0"/>
                <w:color w:val="FF0000"/>
                <w:sz w:val="24"/>
                <w:szCs w:val="24"/>
                <w:highlight w:val="none"/>
                <w:lang w:val="en-US" w:eastAsia="zh-CN"/>
              </w:rPr>
              <w:t>本项目周边存在村民，包括南侧存在村民6户，距离本项目最近距离约为110m；西侧存在村民1户，距离本项目最近距离约为230m；西北侧存在村民1户，距离本项目最近距离约为210m。本项目和面间封闭结构有利于粉尘沉降，投料粉尘以无组织形式排放，厂界粉尘（颗粒物）浓度满足《大气污染物综合排放标准》（GB16297-1996）表2无组织排放监控浓度限值要求；污水处理站恶臭气体产生的池体均加盖处理，并定期喷洒除臭剂，可以使污水处理站恶臭影响降到最低。本项目污水处理站无组织排放NH</w:t>
            </w:r>
            <w:r>
              <w:rPr>
                <w:rFonts w:hint="eastAsia" w:ascii="Times New Roman" w:hAnsi="Times New Roman" w:eastAsia="宋体" w:cs="Times New Roman"/>
                <w:b w:val="0"/>
                <w:bCs w:val="0"/>
                <w:color w:val="FF0000"/>
                <w:sz w:val="24"/>
                <w:szCs w:val="24"/>
                <w:highlight w:val="none"/>
                <w:vertAlign w:val="subscript"/>
                <w:lang w:val="en-US" w:eastAsia="zh-CN"/>
              </w:rPr>
              <w:t>3</w:t>
            </w:r>
            <w:r>
              <w:rPr>
                <w:rFonts w:hint="eastAsia" w:ascii="Times New Roman" w:hAnsi="Times New Roman" w:eastAsia="宋体" w:cs="Times New Roman"/>
                <w:b w:val="0"/>
                <w:bCs w:val="0"/>
                <w:color w:val="FF0000"/>
                <w:sz w:val="24"/>
                <w:szCs w:val="24"/>
                <w:highlight w:val="none"/>
                <w:lang w:val="en-US" w:eastAsia="zh-CN"/>
              </w:rPr>
              <w:t>、H</w:t>
            </w:r>
            <w:r>
              <w:rPr>
                <w:rFonts w:hint="eastAsia" w:ascii="Times New Roman" w:hAnsi="Times New Roman" w:eastAsia="宋体" w:cs="Times New Roman"/>
                <w:b w:val="0"/>
                <w:bCs w:val="0"/>
                <w:color w:val="FF0000"/>
                <w:sz w:val="24"/>
                <w:szCs w:val="24"/>
                <w:highlight w:val="none"/>
                <w:vertAlign w:val="subscript"/>
                <w:lang w:val="en-US" w:eastAsia="zh-CN"/>
              </w:rPr>
              <w:t>2</w:t>
            </w:r>
            <w:r>
              <w:rPr>
                <w:rFonts w:hint="eastAsia" w:ascii="Times New Roman" w:hAnsi="Times New Roman" w:eastAsia="宋体" w:cs="Times New Roman"/>
                <w:b w:val="0"/>
                <w:bCs w:val="0"/>
                <w:color w:val="FF0000"/>
                <w:sz w:val="24"/>
                <w:szCs w:val="24"/>
                <w:highlight w:val="none"/>
                <w:lang w:val="en-US" w:eastAsia="zh-CN"/>
              </w:rPr>
              <w:t>S、臭气浓度满足《恶臭污染物排放标准》(GB14554-1993)表1新扩改建二级标准。油烟废气经收集后引入油烟净化器处理后经 DA001 排放有组织排放，油烟排放满足《饮食业油烟排放标准》（试行）（GB18483-2001）中型规模标准限值。经上述处理后，本项目废气对敏感目标的影响较小。</w:t>
            </w:r>
          </w:p>
          <w:p w14:paraId="6134B6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综上所述，从环境角度看本项目选址是合理的。</w:t>
            </w:r>
          </w:p>
          <w:p w14:paraId="62A617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4、与《黑龙江省大气污染防治条例》符合性分析</w:t>
            </w:r>
          </w:p>
          <w:p w14:paraId="38780F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第十一条向大气排放污染物的企业事业单位和其他生产经营者，应当配套建设大气污染防治设施。配套建设的大气污染防治设施，应当与主体工程同时设计、同时施工、同时投产使用，不得擅自拆除或者闲置”。</w:t>
            </w:r>
          </w:p>
          <w:p w14:paraId="25AFAB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本项目将按法律要求，污染防治设施与主体设施同步建设与运行，确保运行期大气污染物达标排放。符合《黑龙江省大气污染防治条例》要求。</w:t>
            </w:r>
          </w:p>
          <w:p w14:paraId="770CCF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5、与《双鸭山市“十四五”生态环境保护规划》（双政规〔2022〕9号）符合性分析</w:t>
            </w:r>
          </w:p>
          <w:p w14:paraId="5771C9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双鸭山市“十四五”生态环境保护规划》中指出：加快淘汰落后产能和化解过剩产能。全面贯彻落实国家、省更新修订的《产业结构调整指导目录》和过剩产能淘汰标准。严格执行质量、环保、能耗、安全等法规标准，持续对落后产能淘汰和过剩产能压减。对重点行业动态调整落后产能门槛，继续强化监察制度，加快转型升级。严控“两高”行业产能，围绕削减煤炭消费，以火电、工业锅炉、水泥等行业为重点，控制相关企业发展规模，严控环境风险和产能扩张，完成限制类产能和过剩产能压减的主要任务，新建、扩建钢铁、水泥等高耗能高排放向项目严格落实产能等量或减量置换全流程监管的具体要求。</w:t>
            </w:r>
          </w:p>
          <w:p w14:paraId="039051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不使用《产业结构调整指导目录（2024年本）》中限制类和淘汰类工艺和机械；本项目冬季取暖使用电锅炉，不涉及煤的使用，本项目不属于“两高”行业，因此本项目符合《双鸭山市“十四五”生态环境保护规划》的要求。</w:t>
            </w:r>
          </w:p>
          <w:p w14:paraId="27D97E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textAlignment w:val="auto"/>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6、与《黑龙江省“十四五”生态环境保护规划》符合性分析</w:t>
            </w:r>
          </w:p>
          <w:p w14:paraId="70AEF8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黑龙江省“十四五”生态环境保护规划》中要求：3.构建清洁低碳能源体系。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入实施“气化龙江”战略，率先在双鸭山市、齐齐哈尔市、大庆市、黑河市等城市以及工业园区推广应用分布式天然气供暖，重点将哈尔滨新区打造成天然气应用示范区。加快推进齐齐哈尔市、大庆市可再生能源综合应用示范区建设和四煤城新能源项目建设。到2025年，全省清洁取暖率提高到75%以上。</w:t>
            </w:r>
          </w:p>
          <w:p w14:paraId="6B0270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 xml:space="preserve">本项目冬季取暖使用电锅炉，不涉及煤的使用，因此，本项目符合《黑龙江省“十四五”生态环境保护规划》规划要求。 </w:t>
            </w:r>
          </w:p>
          <w:p w14:paraId="3852AA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textAlignment w:val="auto"/>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7、《双鸭山市空气质量持续改善行动计划实施方案》（双政发[2024]6号）符合性分析</w:t>
            </w:r>
          </w:p>
          <w:p w14:paraId="1B63DCDC">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kern w:val="0"/>
                <w:sz w:val="24"/>
                <w:szCs w:val="24"/>
                <w:highlight w:val="none"/>
                <w:lang w:val="en-US" w:eastAsia="zh-CN"/>
              </w:rPr>
            </w:pPr>
            <w:r>
              <w:rPr>
                <w:rFonts w:hint="default" w:ascii="Times New Roman" w:hAnsi="Times New Roman" w:eastAsia="宋体" w:cs="Times New Roman"/>
                <w:color w:val="FF0000"/>
                <w:kern w:val="0"/>
                <w:sz w:val="24"/>
                <w:szCs w:val="24"/>
                <w:highlight w:val="none"/>
                <w:lang w:val="en-US" w:eastAsia="zh-CN"/>
              </w:rPr>
              <w:t>(十一)积极推进燃煤锅炉淘汰改造。将燃煤供热锅炉替代项目纳入城镇供热规划。县级及以上城市建成区原则上不再新建35蒸吨/小时及以下燃煤锅炉，其他地区原则上不再新建10蒸吨/小时及以下燃煤锅炉。逐步开展集中供热项目建设，依托电厂、大型工业企业开展远距离供热示范，加快推进供热区域热网互联互通，推进正在谋划的热电联产、工业余热、电厂远距离供热等热源项目落地，提升热源保障能力，淘汰管网覆盖范围内的供热燃煤锅炉和散煤。</w:t>
            </w:r>
          </w:p>
          <w:p w14:paraId="01638EE8">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kern w:val="0"/>
                <w:sz w:val="24"/>
                <w:szCs w:val="24"/>
                <w:highlight w:val="none"/>
                <w:lang w:val="en-US" w:eastAsia="zh-CN"/>
              </w:rPr>
            </w:pPr>
            <w:r>
              <w:rPr>
                <w:rFonts w:hint="default" w:ascii="Times New Roman" w:hAnsi="Times New Roman" w:eastAsia="宋体" w:cs="Times New Roman"/>
                <w:color w:val="FF0000"/>
                <w:kern w:val="0"/>
                <w:sz w:val="24"/>
                <w:szCs w:val="24"/>
                <w:highlight w:val="none"/>
                <w:lang w:val="en-US" w:eastAsia="zh-CN"/>
              </w:rPr>
              <w:t>(二十三)加强餐饮油烟、恶臭异味污染治理。严格居民楼附近餐饮服务单位布局管理，加强油烟扰民源头控制。拟开设餐饮服务单位的建筑在施工图设计阶段应按照规范要求设计建设专用烟道。工作中加强部门联动，因地制宜解决人民群众反映集中的油烟及恶臭异味扰民问题。</w:t>
            </w:r>
          </w:p>
          <w:p w14:paraId="74B043E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kern w:val="0"/>
                <w:sz w:val="24"/>
                <w:szCs w:val="24"/>
                <w:highlight w:val="none"/>
                <w:lang w:val="en-US" w:eastAsia="zh-CN"/>
              </w:rPr>
            </w:pPr>
            <w:r>
              <w:rPr>
                <w:rFonts w:hint="eastAsia" w:ascii="Times New Roman" w:hAnsi="Times New Roman" w:eastAsia="宋体" w:cs="Times New Roman"/>
                <w:color w:val="FF0000"/>
                <w:kern w:val="0"/>
                <w:sz w:val="24"/>
                <w:szCs w:val="24"/>
                <w:highlight w:val="none"/>
                <w:lang w:val="en-US" w:eastAsia="zh-CN"/>
              </w:rPr>
              <w:t>本项目冬季取暖使用电锅炉，不涉及煤的使用；本项目</w:t>
            </w:r>
            <w:r>
              <w:rPr>
                <w:rFonts w:hint="default" w:ascii="Times New Roman" w:hAnsi="Times New Roman" w:eastAsia="宋体" w:cs="Times New Roman"/>
                <w:color w:val="FF0000"/>
                <w:kern w:val="0"/>
                <w:sz w:val="24"/>
                <w:szCs w:val="24"/>
                <w:highlight w:val="none"/>
                <w:lang w:val="en-US" w:eastAsia="zh-CN"/>
              </w:rPr>
              <w:t>油烟废气经收集后引入油烟净化器处理达标后经生产车间顶部排放</w:t>
            </w:r>
            <w:r>
              <w:rPr>
                <w:rFonts w:hint="eastAsia" w:ascii="Times New Roman" w:hAnsi="Times New Roman" w:eastAsia="宋体" w:cs="Times New Roman"/>
                <w:color w:val="FF0000"/>
                <w:kern w:val="0"/>
                <w:sz w:val="24"/>
                <w:szCs w:val="24"/>
                <w:highlight w:val="none"/>
                <w:lang w:val="en-US" w:eastAsia="zh-CN"/>
              </w:rPr>
              <w:t>。本项目符合《双鸭山市空气质量持续改善行动计划实施方案》（双政发[2024]6号）。</w:t>
            </w:r>
          </w:p>
          <w:p w14:paraId="3D0CAA60">
            <w:pPr>
              <w:rPr>
                <w:rFonts w:hint="default"/>
                <w:lang w:val="en-US" w:eastAsia="zh-CN"/>
              </w:rPr>
            </w:pPr>
          </w:p>
          <w:p w14:paraId="450B468C">
            <w:pPr>
              <w:rPr>
                <w:rFonts w:hint="default"/>
                <w:lang w:val="en-US" w:eastAsia="zh-CN"/>
              </w:rPr>
            </w:pPr>
          </w:p>
          <w:p w14:paraId="22DBA210">
            <w:pPr>
              <w:rPr>
                <w:rFonts w:hint="default"/>
                <w:lang w:val="en-US" w:eastAsia="zh-CN"/>
              </w:rPr>
            </w:pPr>
          </w:p>
          <w:p w14:paraId="527949C3">
            <w:pPr>
              <w:rPr>
                <w:rFonts w:hint="default"/>
                <w:lang w:val="en-US" w:eastAsia="zh-CN"/>
              </w:rPr>
            </w:pPr>
          </w:p>
          <w:p w14:paraId="5DE6A14D">
            <w:pPr>
              <w:rPr>
                <w:rFonts w:hint="default"/>
                <w:lang w:val="en-US" w:eastAsia="zh-CN"/>
              </w:rPr>
            </w:pPr>
          </w:p>
          <w:p w14:paraId="660E1D6F">
            <w:pPr>
              <w:rPr>
                <w:rFonts w:hint="default"/>
                <w:lang w:val="en-US" w:eastAsia="zh-CN"/>
              </w:rPr>
            </w:pPr>
          </w:p>
          <w:p w14:paraId="2ECEC275">
            <w:pPr>
              <w:rPr>
                <w:rFonts w:hint="default"/>
                <w:lang w:val="en-US" w:eastAsia="zh-CN"/>
              </w:rPr>
            </w:pPr>
          </w:p>
          <w:p w14:paraId="7632CCC5">
            <w:pPr>
              <w:rPr>
                <w:rFonts w:hint="default"/>
                <w:lang w:val="en-US" w:eastAsia="zh-CN"/>
              </w:rPr>
            </w:pPr>
          </w:p>
          <w:p w14:paraId="58F587D1">
            <w:pPr>
              <w:rPr>
                <w:rFonts w:hint="default"/>
                <w:lang w:val="en-US" w:eastAsia="zh-CN"/>
              </w:rPr>
            </w:pPr>
          </w:p>
          <w:p w14:paraId="023D6C49">
            <w:pPr>
              <w:rPr>
                <w:rFonts w:hint="default"/>
                <w:lang w:val="en-US" w:eastAsia="zh-CN"/>
              </w:rPr>
            </w:pPr>
          </w:p>
          <w:p w14:paraId="54603DDE">
            <w:pPr>
              <w:rPr>
                <w:rFonts w:hint="default"/>
                <w:lang w:val="en-US" w:eastAsia="zh-CN"/>
              </w:rPr>
            </w:pPr>
          </w:p>
          <w:p w14:paraId="507C4F88">
            <w:pPr>
              <w:rPr>
                <w:rFonts w:hint="default"/>
                <w:lang w:val="en-US" w:eastAsia="zh-CN"/>
              </w:rPr>
            </w:pPr>
          </w:p>
          <w:p w14:paraId="06B39EFA">
            <w:pPr>
              <w:rPr>
                <w:rFonts w:hint="default"/>
                <w:lang w:val="en-US" w:eastAsia="zh-CN"/>
              </w:rPr>
            </w:pPr>
          </w:p>
        </w:tc>
      </w:tr>
    </w:tbl>
    <w:p w14:paraId="246E6403">
      <w:pPr>
        <w:spacing w:line="360" w:lineRule="auto"/>
        <w:rPr>
          <w:rFonts w:hint="default" w:ascii="Times New Roman" w:hAnsi="Times New Roman" w:eastAsia="宋体" w:cs="Times New Roman"/>
          <w:color w:val="000000" w:themeColor="text1"/>
          <w:sz w:val="30"/>
          <w:highlight w:val="none"/>
          <w14:textFill>
            <w14:solidFill>
              <w14:schemeClr w14:val="tx1"/>
            </w14:solidFill>
          </w14:textFill>
        </w:rPr>
        <w:sectPr>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B7DD518">
      <w:pPr>
        <w:widowControl/>
        <w:spacing w:before="100" w:beforeAutospacing="1" w:after="100" w:afterAutospacing="1"/>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bookmarkStart w:id="4" w:name="_Toc140683751"/>
      <w:bookmarkStart w:id="5" w:name="_Toc138577282"/>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二、建设项目工程分析</w:t>
      </w:r>
      <w:bookmarkEnd w:id="4"/>
      <w:bookmarkEnd w:id="5"/>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6F31B5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5" w:hRule="atLeast"/>
          <w:jc w:val="center"/>
        </w:trPr>
        <w:tc>
          <w:tcPr>
            <w:tcW w:w="823" w:type="dxa"/>
            <w:vAlign w:val="center"/>
          </w:tcPr>
          <w:p w14:paraId="49CB2F3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建设内容</w:t>
            </w:r>
          </w:p>
        </w:tc>
        <w:tc>
          <w:tcPr>
            <w:tcW w:w="8161" w:type="dxa"/>
            <w:vAlign w:val="top"/>
          </w:tcPr>
          <w:p w14:paraId="1BFE4FC4">
            <w:pPr>
              <w:keepNext w:val="0"/>
              <w:keepLines w:val="0"/>
              <w:widowControl/>
              <w:suppressLineNumbers w:val="0"/>
              <w:spacing w:before="0" w:beforeAutospacing="0" w:after="0" w:afterAutospacing="0" w:line="360" w:lineRule="auto"/>
              <w:ind w:left="0" w:right="0" w:firstLine="47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1、项目概况</w:t>
            </w:r>
          </w:p>
          <w:p w14:paraId="2DCD8AD0">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项目名称：</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双鸭山市嘉程食品加工有限公司建设项目</w:t>
            </w:r>
          </w:p>
          <w:p w14:paraId="1E9A6ABC">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建设性质：新建</w:t>
            </w:r>
          </w:p>
          <w:p w14:paraId="47F65D52">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项目总投资：</w:t>
            </w:r>
            <w:r>
              <w:rPr>
                <w:rFonts w:hint="default" w:ascii="Times New Roman" w:hAnsi="Times New Roman" w:eastAsia="宋体" w:cs="Times New Roman"/>
                <w:color w:val="FF0000"/>
                <w:kern w:val="0"/>
                <w:sz w:val="24"/>
                <w:szCs w:val="24"/>
                <w:highlight w:val="none"/>
                <w:lang w:val="en-US" w:eastAsia="zh-CN"/>
              </w:rPr>
              <w:t>568.22</w:t>
            </w:r>
            <w:r>
              <w:rPr>
                <w:rFonts w:hint="default" w:ascii="Times New Roman" w:hAnsi="Times New Roman" w:eastAsia="宋体" w:cs="Times New Roman"/>
                <w:color w:val="FF0000"/>
                <w:kern w:val="0"/>
                <w:sz w:val="24"/>
                <w:szCs w:val="24"/>
                <w:highlight w:val="none"/>
              </w:rPr>
              <w:t>万元</w:t>
            </w:r>
          </w:p>
          <w:p w14:paraId="67CED04F">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占地面积：</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8000</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m</w:t>
            </w:r>
            <w:r>
              <w:rPr>
                <w:rFonts w:hint="default" w:ascii="Times New Roman" w:hAnsi="Times New Roman" w:eastAsia="宋体" w:cs="Times New Roman"/>
                <w:color w:val="000000" w:themeColor="text1"/>
                <w:kern w:val="0"/>
                <w:sz w:val="24"/>
                <w:szCs w:val="24"/>
                <w:highlight w:val="none"/>
                <w:vertAlign w:val="superscript"/>
                <w14:textFill>
                  <w14:solidFill>
                    <w14:schemeClr w14:val="tx1"/>
                  </w14:solidFill>
                </w14:textFill>
              </w:rPr>
              <w:t>2</w:t>
            </w:r>
          </w:p>
          <w:p w14:paraId="2AF8C7EE">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eastAsia" w:ascii="Times New Roman" w:hAnsi="Times New Roman" w:eastAsia="宋体" w:cs="Times New Roman"/>
                <w:color w:val="0000FF"/>
                <w:kern w:val="0"/>
                <w:sz w:val="24"/>
                <w:szCs w:val="24"/>
                <w:highlight w:val="none"/>
                <w:lang w:eastAsia="zh-CN"/>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劳动定员及工作制度：本项目劳动定员</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人，年工作天数为</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0天，每天工作</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小时，采用</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班制。</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不提供食宿</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eastAsia" w:ascii="Times New Roman" w:hAnsi="Times New Roman" w:eastAsia="宋体" w:cs="Times New Roman"/>
                <w:color w:val="0000FF"/>
                <w:kern w:val="0"/>
                <w:sz w:val="24"/>
                <w:szCs w:val="24"/>
                <w:highlight w:val="none"/>
                <w:lang w:eastAsia="zh-CN"/>
              </w:rPr>
              <w:t>本项目</w:t>
            </w:r>
            <w:r>
              <w:rPr>
                <w:rFonts w:hint="eastAsia" w:ascii="Times New Roman" w:hAnsi="Times New Roman" w:eastAsia="宋体" w:cs="Times New Roman"/>
                <w:color w:val="0000FF"/>
                <w:kern w:val="0"/>
                <w:sz w:val="24"/>
                <w:szCs w:val="24"/>
                <w:highlight w:val="none"/>
                <w:lang w:val="en-US" w:eastAsia="zh-CN"/>
              </w:rPr>
              <w:t>不设置洗衣房，员工工作服清洗活动外委。</w:t>
            </w:r>
          </w:p>
          <w:p w14:paraId="48953B5B">
            <w:pPr>
              <w:keepNext w:val="0"/>
              <w:keepLines w:val="0"/>
              <w:widowControl/>
              <w:suppressLineNumbers w:val="0"/>
              <w:spacing w:before="0" w:beforeAutospacing="0" w:after="0" w:afterAutospacing="0" w:line="360" w:lineRule="auto"/>
              <w:ind w:left="0" w:right="0" w:firstLine="470"/>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FF0000"/>
                <w:kern w:val="0"/>
                <w:sz w:val="24"/>
                <w:szCs w:val="24"/>
                <w:highlight w:val="none"/>
                <w:lang w:val="en-US" w:eastAsia="zh-CN"/>
              </w:rPr>
              <w:t>本项目租用现有厂房进行建设双鸭山市嘉程食品加工有限公司建设项目。厂房总建筑面积为5047.36m</w:t>
            </w:r>
            <w:r>
              <w:rPr>
                <w:rFonts w:hint="default" w:ascii="Times New Roman" w:hAnsi="Times New Roman" w:eastAsia="宋体" w:cs="Times New Roman"/>
                <w:color w:val="FF0000"/>
                <w:kern w:val="0"/>
                <w:sz w:val="24"/>
                <w:szCs w:val="24"/>
                <w:highlight w:val="none"/>
                <w:vertAlign w:val="superscript"/>
                <w:lang w:val="en-US" w:eastAsia="zh-CN"/>
              </w:rPr>
              <w:t>2</w:t>
            </w:r>
            <w:r>
              <w:rPr>
                <w:rFonts w:hint="default" w:ascii="Times New Roman" w:hAnsi="Times New Roman" w:eastAsia="宋体" w:cs="Times New Roman"/>
                <w:color w:val="FF0000"/>
                <w:kern w:val="0"/>
                <w:sz w:val="24"/>
                <w:szCs w:val="24"/>
                <w:highlight w:val="none"/>
                <w:lang w:val="en-US" w:eastAsia="zh-CN"/>
              </w:rPr>
              <w:t>，本项目使用面积为1782.5m</w:t>
            </w:r>
            <w:r>
              <w:rPr>
                <w:rFonts w:hint="default" w:ascii="Times New Roman" w:hAnsi="Times New Roman" w:eastAsia="宋体" w:cs="Times New Roman"/>
                <w:color w:val="FF0000"/>
                <w:kern w:val="0"/>
                <w:sz w:val="24"/>
                <w:szCs w:val="24"/>
                <w:highlight w:val="none"/>
                <w:vertAlign w:val="superscript"/>
                <w:lang w:val="en-US" w:eastAsia="zh-CN"/>
              </w:rPr>
              <w:t>2</w:t>
            </w:r>
            <w:r>
              <w:rPr>
                <w:rFonts w:hint="default" w:ascii="Times New Roman" w:hAnsi="Times New Roman" w:eastAsia="宋体" w:cs="Times New Roman"/>
                <w:color w:val="FF0000"/>
                <w:kern w:val="0"/>
                <w:sz w:val="24"/>
                <w:szCs w:val="24"/>
                <w:highlight w:val="none"/>
                <w:lang w:val="en-US" w:eastAsia="zh-CN"/>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本项目建设3条速冻饺子生产线、1条速冻馄饨生产线，建成后年生产速冻食品900吨，其中速冻饺子675吨，速冻馄饨225吨。本项目组成见下表。</w:t>
            </w:r>
          </w:p>
          <w:p w14:paraId="44F16B3F">
            <w:pPr>
              <w:keepNext w:val="0"/>
              <w:keepLines w:val="0"/>
              <w:widowControl/>
              <w:suppressLineNumbers w:val="0"/>
              <w:spacing w:before="0" w:beforeAutospacing="0" w:after="0" w:afterAutospacing="0" w:line="360" w:lineRule="auto"/>
              <w:ind w:left="0" w:right="0" w:firstLine="47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2、工程组成</w:t>
            </w:r>
          </w:p>
          <w:p w14:paraId="7F85A39E">
            <w:pPr>
              <w:keepNext w:val="0"/>
              <w:keepLines w:val="0"/>
              <w:widowControl/>
              <w:suppressLineNumbers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项目组成一览表见表2-1。</w:t>
            </w:r>
          </w:p>
          <w:p w14:paraId="7D61308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表2-1 项目组成一览表</w:t>
            </w:r>
          </w:p>
          <w:tbl>
            <w:tblPr>
              <w:tblStyle w:val="13"/>
              <w:tblW w:w="786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311"/>
              <w:gridCol w:w="4841"/>
              <w:gridCol w:w="892"/>
            </w:tblGrid>
            <w:tr w14:paraId="4B792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tcBorders>
                    <w:tl2br w:val="nil"/>
                    <w:tr2bl w:val="nil"/>
                  </w:tcBorders>
                  <w:vAlign w:val="center"/>
                </w:tcPr>
                <w:p w14:paraId="50F1BE3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类别</w:t>
                  </w:r>
                </w:p>
              </w:tc>
              <w:tc>
                <w:tcPr>
                  <w:tcW w:w="1311" w:type="dxa"/>
                  <w:tcBorders>
                    <w:tl2br w:val="nil"/>
                    <w:tr2bl w:val="nil"/>
                  </w:tcBorders>
                  <w:vAlign w:val="center"/>
                </w:tcPr>
                <w:p w14:paraId="67A2DF9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工程名称</w:t>
                  </w:r>
                </w:p>
              </w:tc>
              <w:tc>
                <w:tcPr>
                  <w:tcW w:w="4841" w:type="dxa"/>
                  <w:tcBorders>
                    <w:tl2br w:val="nil"/>
                    <w:tr2bl w:val="nil"/>
                  </w:tcBorders>
                  <w:vAlign w:val="center"/>
                </w:tcPr>
                <w:p w14:paraId="092B0AF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主要建设内容及规模</w:t>
                  </w:r>
                </w:p>
              </w:tc>
              <w:tc>
                <w:tcPr>
                  <w:tcW w:w="892" w:type="dxa"/>
                  <w:tcBorders>
                    <w:tl2br w:val="nil"/>
                    <w:tr2bl w:val="nil"/>
                  </w:tcBorders>
                  <w:vAlign w:val="center"/>
                </w:tcPr>
                <w:p w14:paraId="5A15281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备注</w:t>
                  </w:r>
                </w:p>
              </w:tc>
            </w:tr>
            <w:tr w14:paraId="575E0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tcBorders>
                    <w:tl2br w:val="nil"/>
                    <w:tr2bl w:val="nil"/>
                  </w:tcBorders>
                  <w:vAlign w:val="center"/>
                </w:tcPr>
                <w:p w14:paraId="64D684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主体</w:t>
                  </w:r>
                </w:p>
                <w:p w14:paraId="6BCBBD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1311" w:type="dxa"/>
                  <w:tcBorders>
                    <w:tl2br w:val="nil"/>
                    <w:tr2bl w:val="nil"/>
                  </w:tcBorders>
                  <w:vAlign w:val="center"/>
                </w:tcPr>
                <w:p w14:paraId="63C0F9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生产车间</w:t>
                  </w:r>
                </w:p>
              </w:tc>
              <w:tc>
                <w:tcPr>
                  <w:tcW w:w="4841" w:type="dxa"/>
                  <w:tcBorders>
                    <w:tl2br w:val="nil"/>
                    <w:tr2bl w:val="nil"/>
                  </w:tcBorders>
                  <w:vAlign w:val="center"/>
                </w:tcPr>
                <w:p w14:paraId="5B3945E2">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FF0000"/>
                      <w:sz w:val="21"/>
                      <w:szCs w:val="21"/>
                      <w:highlight w:val="none"/>
                      <w:lang w:eastAsia="zh-CN"/>
                    </w:rPr>
                    <w:t>租赁现有封闭厂房建设为生产车间，厂房内地面已经硬化处理，一层，钢结构，使用厂房面积</w:t>
                  </w:r>
                  <w:r>
                    <w:rPr>
                      <w:rFonts w:hint="default" w:ascii="Times New Roman" w:hAnsi="Times New Roman" w:eastAsia="宋体" w:cs="Times New Roman"/>
                      <w:color w:val="FF0000"/>
                      <w:sz w:val="21"/>
                      <w:szCs w:val="21"/>
                      <w:highlight w:val="none"/>
                      <w:lang w:val="en-US" w:eastAsia="zh-CN"/>
                    </w:rPr>
                    <w:t>1782.5m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eastAsia="zh-CN"/>
                    </w:rPr>
                    <w:t>，高</w:t>
                  </w:r>
                  <w:r>
                    <w:rPr>
                      <w:rFonts w:hint="default" w:ascii="Times New Roman" w:hAnsi="Times New Roman" w:eastAsia="宋体" w:cs="Times New Roman"/>
                      <w:color w:val="FF0000"/>
                      <w:sz w:val="21"/>
                      <w:szCs w:val="21"/>
                      <w:highlight w:val="none"/>
                      <w:lang w:val="en-US" w:eastAsia="zh-CN"/>
                    </w:rPr>
                    <w:t>5米</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。内部设置菜原料库（79m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）、洗菜间（60m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）、切菜（67m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）、清洗间（11m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），热加工间（37m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）、拌馅间（37m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）、辅料库（44m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）、肉、蛋白加工间（44m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）、包材、纸箱库（61m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）、冷藏库（244m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）、面粉库（91m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）、和面间（40m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）、成型区（354m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）、内包装间（133m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）、外包装间（43m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）等。</w:t>
                  </w:r>
                </w:p>
              </w:tc>
              <w:tc>
                <w:tcPr>
                  <w:tcW w:w="892" w:type="dxa"/>
                  <w:tcBorders>
                    <w:tl2br w:val="nil"/>
                    <w:tr2bl w:val="nil"/>
                  </w:tcBorders>
                  <w:vAlign w:val="center"/>
                </w:tcPr>
                <w:p w14:paraId="0A6DDC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利旧</w:t>
                  </w:r>
                </w:p>
              </w:tc>
            </w:tr>
            <w:tr w14:paraId="787C5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restart"/>
                  <w:tcBorders>
                    <w:tl2br w:val="nil"/>
                    <w:tr2bl w:val="nil"/>
                  </w:tcBorders>
                  <w:vAlign w:val="center"/>
                </w:tcPr>
                <w:p w14:paraId="542075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辅助</w:t>
                  </w:r>
                </w:p>
                <w:p w14:paraId="6A6B8A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1311" w:type="dxa"/>
                  <w:tcBorders>
                    <w:tl2br w:val="nil"/>
                    <w:tr2bl w:val="nil"/>
                  </w:tcBorders>
                  <w:vAlign w:val="center"/>
                </w:tcPr>
                <w:p w14:paraId="06E020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办公室</w:t>
                  </w:r>
                </w:p>
              </w:tc>
              <w:tc>
                <w:tcPr>
                  <w:tcW w:w="4841" w:type="dxa"/>
                  <w:tcBorders>
                    <w:tl2br w:val="nil"/>
                    <w:tr2bl w:val="nil"/>
                  </w:tcBorders>
                  <w:vAlign w:val="center"/>
                </w:tcPr>
                <w:p w14:paraId="15CBF224">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占地</w:t>
                  </w:r>
                  <w:r>
                    <w:rPr>
                      <w:rFonts w:hint="default" w:ascii="Times New Roman" w:hAnsi="Times New Roman" w:eastAsia="宋体" w:cs="Times New Roman"/>
                      <w:color w:val="000000" w:themeColor="text1"/>
                      <w:sz w:val="21"/>
                      <w:szCs w:val="21"/>
                      <w:highlight w:val="none"/>
                      <w14:textFill>
                        <w14:solidFill>
                          <w14:schemeClr w14:val="tx1"/>
                        </w14:solidFill>
                      </w14:textFill>
                    </w:rPr>
                    <w:t>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18</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。用于厂内人员办公。</w:t>
                  </w:r>
                </w:p>
              </w:tc>
              <w:tc>
                <w:tcPr>
                  <w:tcW w:w="892" w:type="dxa"/>
                  <w:tcBorders>
                    <w:tl2br w:val="nil"/>
                    <w:tr2bl w:val="nil"/>
                  </w:tcBorders>
                  <w:vAlign w:val="center"/>
                </w:tcPr>
                <w:p w14:paraId="16F8FE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4977A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691F46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1688FC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检验室</w:t>
                  </w:r>
                </w:p>
              </w:tc>
              <w:tc>
                <w:tcPr>
                  <w:tcW w:w="4841" w:type="dxa"/>
                  <w:tcBorders>
                    <w:tl2br w:val="nil"/>
                    <w:tr2bl w:val="nil"/>
                  </w:tcBorders>
                  <w:vAlign w:val="center"/>
                </w:tcPr>
                <w:p w14:paraId="4241B4CB">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占地</w:t>
                  </w:r>
                  <w:r>
                    <w:rPr>
                      <w:rFonts w:hint="default" w:ascii="Times New Roman" w:hAnsi="Times New Roman" w:eastAsia="宋体" w:cs="Times New Roman"/>
                      <w:color w:val="000000" w:themeColor="text1"/>
                      <w:sz w:val="21"/>
                      <w:szCs w:val="21"/>
                      <w:highlight w:val="none"/>
                      <w14:textFill>
                        <w14:solidFill>
                          <w14:schemeClr w14:val="tx1"/>
                        </w14:solidFill>
                      </w14:textFill>
                    </w:rPr>
                    <w:t>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用于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产品检测，不涉及化学检测</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892" w:type="dxa"/>
                  <w:tcBorders>
                    <w:tl2br w:val="nil"/>
                    <w:tr2bl w:val="nil"/>
                  </w:tcBorders>
                  <w:vAlign w:val="center"/>
                </w:tcPr>
                <w:p w14:paraId="0FE013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5ED31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819" w:type="dxa"/>
                  <w:vMerge w:val="continue"/>
                  <w:tcBorders>
                    <w:tl2br w:val="nil"/>
                    <w:tr2bl w:val="nil"/>
                  </w:tcBorders>
                  <w:vAlign w:val="center"/>
                </w:tcPr>
                <w:p w14:paraId="15AC35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13F4B9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更衣区</w:t>
                  </w:r>
                </w:p>
              </w:tc>
              <w:tc>
                <w:tcPr>
                  <w:tcW w:w="4841" w:type="dxa"/>
                  <w:tcBorders>
                    <w:tl2br w:val="nil"/>
                    <w:tr2bl w:val="nil"/>
                  </w:tcBorders>
                  <w:vAlign w:val="center"/>
                </w:tcPr>
                <w:p w14:paraId="2153F949">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占地</w:t>
                  </w:r>
                  <w:r>
                    <w:rPr>
                      <w:rFonts w:hint="default" w:ascii="Times New Roman" w:hAnsi="Times New Roman" w:eastAsia="宋体" w:cs="Times New Roman"/>
                      <w:color w:val="000000" w:themeColor="text1"/>
                      <w:sz w:val="21"/>
                      <w:szCs w:val="21"/>
                      <w:highlight w:val="none"/>
                      <w14:textFill>
                        <w14:solidFill>
                          <w14:schemeClr w14:val="tx1"/>
                        </w14:solidFill>
                      </w14:textFill>
                    </w:rPr>
                    <w:t>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，分为更鞋区、男更区、女更区。</w:t>
                  </w:r>
                </w:p>
              </w:tc>
              <w:tc>
                <w:tcPr>
                  <w:tcW w:w="892" w:type="dxa"/>
                  <w:tcBorders>
                    <w:tl2br w:val="nil"/>
                    <w:tr2bl w:val="nil"/>
                  </w:tcBorders>
                  <w:vAlign w:val="center"/>
                </w:tcPr>
                <w:p w14:paraId="6E97B4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8DC9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1EAAF2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7FE12E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洗消间</w:t>
                  </w:r>
                </w:p>
              </w:tc>
              <w:tc>
                <w:tcPr>
                  <w:tcW w:w="4841" w:type="dxa"/>
                  <w:tcBorders>
                    <w:tl2br w:val="nil"/>
                    <w:tr2bl w:val="nil"/>
                  </w:tcBorders>
                  <w:vAlign w:val="center"/>
                </w:tcPr>
                <w:p w14:paraId="15F60AF3">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占地</w:t>
                  </w:r>
                  <w:r>
                    <w:rPr>
                      <w:rFonts w:hint="default" w:ascii="Times New Roman" w:hAnsi="Times New Roman" w:eastAsia="宋体" w:cs="Times New Roman"/>
                      <w:color w:val="000000" w:themeColor="text1"/>
                      <w:sz w:val="21"/>
                      <w:szCs w:val="21"/>
                      <w:highlight w:val="none"/>
                      <w14:textFill>
                        <w14:solidFill>
                          <w14:schemeClr w14:val="tx1"/>
                        </w14:solidFill>
                      </w14:textFill>
                    </w:rPr>
                    <w:t>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FF0000"/>
                      <w:sz w:val="21"/>
                      <w:szCs w:val="21"/>
                      <w:highlight w:val="none"/>
                      <w:lang w:eastAsia="zh-CN"/>
                    </w:rPr>
                    <w:t>内部设置双人双吹风淋室、自动感应全304不锈钢消毒池。</w:t>
                  </w:r>
                </w:p>
              </w:tc>
              <w:tc>
                <w:tcPr>
                  <w:tcW w:w="892" w:type="dxa"/>
                  <w:tcBorders>
                    <w:tl2br w:val="nil"/>
                    <w:tr2bl w:val="nil"/>
                  </w:tcBorders>
                  <w:vAlign w:val="center"/>
                </w:tcPr>
                <w:p w14:paraId="642A3F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E13A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194ED7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7EC5B3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功能间</w:t>
                  </w:r>
                </w:p>
              </w:tc>
              <w:tc>
                <w:tcPr>
                  <w:tcW w:w="4841" w:type="dxa"/>
                  <w:tcBorders>
                    <w:tl2br w:val="nil"/>
                    <w:tr2bl w:val="nil"/>
                  </w:tcBorders>
                  <w:vAlign w:val="center"/>
                </w:tcPr>
                <w:p w14:paraId="1F0BA995">
                  <w:pPr>
                    <w:keepNext w:val="0"/>
                    <w:keepLines w:val="0"/>
                    <w:suppressLineNumbers w:val="0"/>
                    <w:spacing w:before="0" w:beforeAutospacing="0" w:after="0" w:afterAutospacing="0"/>
                    <w:ind w:left="0" w:right="0"/>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1层，</w:t>
                  </w:r>
                  <w:r>
                    <w:rPr>
                      <w:rFonts w:hint="default" w:ascii="Times New Roman" w:hAnsi="Times New Roman" w:eastAsia="宋体" w:cs="Times New Roman"/>
                      <w:color w:val="FF0000"/>
                      <w:sz w:val="21"/>
                      <w:szCs w:val="21"/>
                      <w:highlight w:val="none"/>
                      <w:lang w:eastAsia="zh-CN"/>
                    </w:rPr>
                    <w:t>占地</w:t>
                  </w:r>
                  <w:r>
                    <w:rPr>
                      <w:rFonts w:hint="default" w:ascii="Times New Roman" w:hAnsi="Times New Roman" w:eastAsia="宋体" w:cs="Times New Roman"/>
                      <w:color w:val="FF0000"/>
                      <w:sz w:val="21"/>
                      <w:szCs w:val="21"/>
                      <w:highlight w:val="none"/>
                    </w:rPr>
                    <w:t>面积为</w:t>
                  </w:r>
                  <w:r>
                    <w:rPr>
                      <w:rFonts w:hint="default" w:ascii="Times New Roman" w:hAnsi="Times New Roman" w:eastAsia="宋体" w:cs="Times New Roman"/>
                      <w:color w:val="FF0000"/>
                      <w:sz w:val="21"/>
                      <w:szCs w:val="21"/>
                      <w:highlight w:val="none"/>
                      <w:lang w:val="en-US" w:eastAsia="zh-CN"/>
                    </w:rPr>
                    <w:t>20</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lang w:eastAsia="zh-CN"/>
                    </w:rPr>
                    <w:t>。内部设置电锅炉冬季供暖，功率为90-110kw。</w:t>
                  </w:r>
                </w:p>
              </w:tc>
              <w:tc>
                <w:tcPr>
                  <w:tcW w:w="892" w:type="dxa"/>
                  <w:tcBorders>
                    <w:tl2br w:val="nil"/>
                    <w:tr2bl w:val="nil"/>
                  </w:tcBorders>
                  <w:vAlign w:val="center"/>
                </w:tcPr>
                <w:p w14:paraId="3315C4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新建</w:t>
                  </w:r>
                </w:p>
              </w:tc>
            </w:tr>
            <w:tr w14:paraId="79433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2233A7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246342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制冷机组间</w:t>
                  </w:r>
                </w:p>
              </w:tc>
              <w:tc>
                <w:tcPr>
                  <w:tcW w:w="4841" w:type="dxa"/>
                  <w:tcBorders>
                    <w:tl2br w:val="nil"/>
                    <w:tr2bl w:val="nil"/>
                  </w:tcBorders>
                  <w:vAlign w:val="center"/>
                </w:tcPr>
                <w:p w14:paraId="170F9B9A">
                  <w:pPr>
                    <w:keepNext w:val="0"/>
                    <w:keepLines w:val="0"/>
                    <w:suppressLineNumbers w:val="0"/>
                    <w:spacing w:before="0" w:beforeAutospacing="0" w:after="0" w:afterAutospacing="0"/>
                    <w:ind w:left="0" w:right="0"/>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rPr>
                    <w:t>侧</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1层，</w:t>
                  </w:r>
                  <w:r>
                    <w:rPr>
                      <w:rFonts w:hint="default" w:ascii="Times New Roman" w:hAnsi="Times New Roman" w:eastAsia="宋体" w:cs="Times New Roman"/>
                      <w:color w:val="FF0000"/>
                      <w:sz w:val="21"/>
                      <w:szCs w:val="21"/>
                      <w:highlight w:val="none"/>
                      <w:lang w:eastAsia="zh-CN"/>
                    </w:rPr>
                    <w:t>占地</w:t>
                  </w:r>
                  <w:r>
                    <w:rPr>
                      <w:rFonts w:hint="default" w:ascii="Times New Roman" w:hAnsi="Times New Roman" w:eastAsia="宋体" w:cs="Times New Roman"/>
                      <w:color w:val="FF0000"/>
                      <w:sz w:val="21"/>
                      <w:szCs w:val="21"/>
                      <w:highlight w:val="none"/>
                    </w:rPr>
                    <w:t>面积为</w:t>
                  </w:r>
                  <w:r>
                    <w:rPr>
                      <w:rFonts w:hint="default" w:ascii="Times New Roman" w:hAnsi="Times New Roman" w:eastAsia="宋体" w:cs="Times New Roman"/>
                      <w:color w:val="FF0000"/>
                      <w:sz w:val="21"/>
                      <w:szCs w:val="21"/>
                      <w:highlight w:val="none"/>
                      <w:lang w:val="en-US" w:eastAsia="zh-CN"/>
                    </w:rPr>
                    <w:t>85</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lang w:eastAsia="zh-CN"/>
                    </w:rPr>
                    <w:t>。内部设置车间制冷恒温（15p恒温），为冷藏库制冷。</w:t>
                  </w:r>
                </w:p>
              </w:tc>
              <w:tc>
                <w:tcPr>
                  <w:tcW w:w="892" w:type="dxa"/>
                  <w:tcBorders>
                    <w:tl2br w:val="nil"/>
                    <w:tr2bl w:val="nil"/>
                  </w:tcBorders>
                  <w:vAlign w:val="center"/>
                </w:tcPr>
                <w:p w14:paraId="03A256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新建</w:t>
                  </w:r>
                </w:p>
              </w:tc>
            </w:tr>
            <w:tr w14:paraId="4FAA4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71FC3F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08AA0A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空压机机房</w:t>
                  </w:r>
                </w:p>
              </w:tc>
              <w:tc>
                <w:tcPr>
                  <w:tcW w:w="4841" w:type="dxa"/>
                  <w:tcBorders>
                    <w:tl2br w:val="nil"/>
                    <w:tr2bl w:val="nil"/>
                  </w:tcBorders>
                  <w:vAlign w:val="center"/>
                </w:tcPr>
                <w:p w14:paraId="6C913243">
                  <w:pPr>
                    <w:keepNext w:val="0"/>
                    <w:keepLines w:val="0"/>
                    <w:suppressLineNumbers w:val="0"/>
                    <w:spacing w:before="0" w:beforeAutospacing="0" w:after="0" w:afterAutospacing="0"/>
                    <w:ind w:left="0" w:right="0"/>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位于</w:t>
                  </w:r>
                  <w:r>
                    <w:rPr>
                      <w:rFonts w:hint="default" w:ascii="Times New Roman" w:hAnsi="Times New Roman" w:eastAsia="宋体" w:cs="Times New Roman"/>
                      <w:color w:val="FF0000"/>
                      <w:sz w:val="21"/>
                      <w:szCs w:val="21"/>
                      <w:highlight w:val="none"/>
                      <w:lang w:eastAsia="zh-CN"/>
                    </w:rPr>
                    <w:t>生产车间</w:t>
                  </w:r>
                  <w:r>
                    <w:rPr>
                      <w:rFonts w:hint="default" w:ascii="Times New Roman" w:hAnsi="Times New Roman" w:eastAsia="宋体" w:cs="Times New Roman"/>
                      <w:color w:val="FF0000"/>
                      <w:sz w:val="21"/>
                      <w:szCs w:val="21"/>
                      <w:highlight w:val="none"/>
                      <w:lang w:val="en-US" w:eastAsia="zh-CN"/>
                    </w:rPr>
                    <w:t>南侧</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1层，</w:t>
                  </w:r>
                  <w:r>
                    <w:rPr>
                      <w:rFonts w:hint="default" w:ascii="Times New Roman" w:hAnsi="Times New Roman" w:eastAsia="宋体" w:cs="Times New Roman"/>
                      <w:color w:val="FF0000"/>
                      <w:sz w:val="21"/>
                      <w:szCs w:val="21"/>
                      <w:highlight w:val="none"/>
                      <w:lang w:eastAsia="zh-CN"/>
                    </w:rPr>
                    <w:t>占地</w:t>
                  </w:r>
                  <w:r>
                    <w:rPr>
                      <w:rFonts w:hint="default" w:ascii="Times New Roman" w:hAnsi="Times New Roman" w:eastAsia="宋体" w:cs="Times New Roman"/>
                      <w:color w:val="FF0000"/>
                      <w:sz w:val="21"/>
                      <w:szCs w:val="21"/>
                      <w:highlight w:val="none"/>
                    </w:rPr>
                    <w:t>面积为</w:t>
                  </w:r>
                  <w:r>
                    <w:rPr>
                      <w:rFonts w:hint="default" w:ascii="Times New Roman" w:hAnsi="Times New Roman" w:eastAsia="宋体" w:cs="Times New Roman"/>
                      <w:color w:val="FF0000"/>
                      <w:sz w:val="21"/>
                      <w:szCs w:val="21"/>
                      <w:highlight w:val="none"/>
                      <w:lang w:val="en-US" w:eastAsia="zh-CN"/>
                    </w:rPr>
                    <w:t>24</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eastAsia="zh-CN"/>
                    </w:rPr>
                    <w:t>内部设置空气压缩机和臭氧发生器，用于包装区域消毒。</w:t>
                  </w:r>
                </w:p>
              </w:tc>
              <w:tc>
                <w:tcPr>
                  <w:tcW w:w="892" w:type="dxa"/>
                  <w:tcBorders>
                    <w:tl2br w:val="nil"/>
                    <w:tr2bl w:val="nil"/>
                  </w:tcBorders>
                  <w:vAlign w:val="center"/>
                </w:tcPr>
                <w:p w14:paraId="377FD6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新建</w:t>
                  </w:r>
                </w:p>
              </w:tc>
            </w:tr>
            <w:tr w14:paraId="620F7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vMerge w:val="continue"/>
                  <w:tcBorders>
                    <w:tl2br w:val="nil"/>
                    <w:tr2bl w:val="nil"/>
                  </w:tcBorders>
                  <w:vAlign w:val="center"/>
                </w:tcPr>
                <w:p w14:paraId="345EFA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5AE72F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污水处理站</w:t>
                  </w:r>
                </w:p>
              </w:tc>
              <w:tc>
                <w:tcPr>
                  <w:tcW w:w="4841" w:type="dxa"/>
                  <w:tcBorders>
                    <w:tl2br w:val="nil"/>
                    <w:tr2bl w:val="nil"/>
                  </w:tcBorders>
                  <w:vAlign w:val="center"/>
                </w:tcPr>
                <w:p w14:paraId="7F0A09C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位于</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highlight w:val="none"/>
                      <w14:textFill>
                        <w14:solidFill>
                          <w14:schemeClr w14:val="tx1"/>
                        </w14:solidFill>
                      </w14:textFill>
                    </w:rPr>
                    <w:t>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占地</w:t>
                  </w:r>
                  <w:r>
                    <w:rPr>
                      <w:rFonts w:hint="default" w:ascii="Times New Roman" w:hAnsi="Times New Roman" w:eastAsia="宋体" w:cs="Times New Roman"/>
                      <w:color w:val="000000" w:themeColor="text1"/>
                      <w:sz w:val="21"/>
                      <w:szCs w:val="21"/>
                      <w:highlight w:val="none"/>
                      <w14:textFill>
                        <w14:solidFill>
                          <w14:schemeClr w14:val="tx1"/>
                        </w14:solidFill>
                      </w14:textFill>
                    </w:rPr>
                    <w:t>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处理规模</w:t>
                  </w:r>
                  <w:r>
                    <w:rPr>
                      <w:rFonts w:hint="default" w:ascii="Times New Roman" w:hAnsi="Times New Roman" w:eastAsia="宋体" w:cs="Times New Roman"/>
                      <w:color w:val="FF0000"/>
                      <w:sz w:val="21"/>
                      <w:szCs w:val="21"/>
                      <w:highlight w:val="none"/>
                      <w:lang w:val="en-US" w:eastAsia="zh-CN"/>
                    </w:rPr>
                    <w:t>15</w:t>
                  </w:r>
                  <w:r>
                    <w:rPr>
                      <w:rFonts w:hint="default" w:ascii="Times New Roman" w:hAnsi="Times New Roman" w:eastAsia="宋体" w:cs="Times New Roman"/>
                      <w:color w:val="FF0000"/>
                      <w:sz w:val="21"/>
                      <w:szCs w:val="21"/>
                      <w:highlight w:val="none"/>
                      <w:lang w:eastAsia="zh-CN"/>
                    </w:rPr>
                    <w:t>m</w:t>
                  </w:r>
                  <w:r>
                    <w:rPr>
                      <w:rFonts w:hint="default" w:ascii="Times New Roman" w:hAnsi="Times New Roman" w:eastAsia="宋体" w:cs="Times New Roman"/>
                      <w:color w:val="FF0000"/>
                      <w:sz w:val="21"/>
                      <w:szCs w:val="21"/>
                      <w:highlight w:val="none"/>
                      <w:vertAlign w:val="superscript"/>
                      <w:lang w:eastAsia="zh-CN"/>
                    </w:rPr>
                    <w:t>3</w:t>
                  </w:r>
                  <w:r>
                    <w:rPr>
                      <w:rFonts w:hint="default" w:ascii="Times New Roman" w:hAnsi="Times New Roman" w:eastAsia="宋体" w:cs="Times New Roman"/>
                      <w:color w:val="FF0000"/>
                      <w:sz w:val="21"/>
                      <w:szCs w:val="21"/>
                      <w:highlight w:val="none"/>
                      <w:lang w:eastAsia="zh-CN"/>
                    </w:rPr>
                    <w:t>/d</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，处理工艺：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机械格栅+隔油调节池+气浮机+</w:t>
                  </w:r>
                  <w:r>
                    <w:rPr>
                      <w:rFonts w:hint="default" w:ascii="Times New Roman" w:hAnsi="Times New Roman" w:eastAsia="宋体" w:cs="Times New Roman"/>
                      <w:color w:val="FF0000"/>
                      <w:sz w:val="21"/>
                      <w:szCs w:val="21"/>
                      <w:highlight w:val="none"/>
                      <w:lang w:val="en-US" w:eastAsia="zh-CN"/>
                    </w:rPr>
                    <w:t>一体化污水处理设施（缺氧池+好氧池+沉淀池）</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FF0000"/>
                      <w:sz w:val="21"/>
                      <w:szCs w:val="21"/>
                      <w:highlight w:val="none"/>
                      <w:lang w:val="en-US" w:eastAsia="zh-CN"/>
                    </w:rPr>
                    <w:t>污水处理</w:t>
                  </w:r>
                  <w:r>
                    <w:rPr>
                      <w:rFonts w:hint="default" w:ascii="Times New Roman" w:hAnsi="Times New Roman" w:eastAsia="宋体" w:cs="Times New Roman"/>
                      <w:color w:val="FF0000"/>
                      <w:sz w:val="21"/>
                      <w:szCs w:val="21"/>
                      <w:highlight w:val="none"/>
                      <w:lang w:eastAsia="zh-CN"/>
                    </w:rPr>
                    <w:t>站内设置</w:t>
                  </w:r>
                  <w:r>
                    <w:rPr>
                      <w:rFonts w:hint="default" w:ascii="Times New Roman" w:hAnsi="Times New Roman" w:eastAsia="宋体" w:cs="Times New Roman"/>
                      <w:color w:val="FF0000"/>
                      <w:sz w:val="21"/>
                      <w:szCs w:val="21"/>
                      <w:highlight w:val="none"/>
                      <w:lang w:val="en-US" w:eastAsia="zh-CN"/>
                    </w:rPr>
                    <w:t>1个</w:t>
                  </w:r>
                  <w:r>
                    <w:rPr>
                      <w:rFonts w:hint="default" w:ascii="Times New Roman" w:hAnsi="Times New Roman" w:eastAsia="宋体" w:cs="Times New Roman"/>
                      <w:color w:val="FF0000"/>
                      <w:sz w:val="21"/>
                      <w:szCs w:val="21"/>
                      <w:highlight w:val="none"/>
                      <w:lang w:eastAsia="zh-CN"/>
                    </w:rPr>
                    <w:t>容积为</w:t>
                  </w:r>
                  <w:r>
                    <w:rPr>
                      <w:rFonts w:hint="default" w:ascii="Times New Roman" w:hAnsi="Times New Roman" w:eastAsia="宋体" w:cs="Times New Roman"/>
                      <w:color w:val="FF0000"/>
                      <w:sz w:val="21"/>
                      <w:szCs w:val="21"/>
                      <w:highlight w:val="none"/>
                      <w:lang w:val="en-US" w:eastAsia="zh-CN"/>
                    </w:rPr>
                    <w:t>15m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的</w:t>
                  </w:r>
                  <w:r>
                    <w:rPr>
                      <w:rFonts w:hint="default" w:ascii="Times New Roman" w:hAnsi="Times New Roman" w:eastAsia="宋体" w:cs="Times New Roman"/>
                      <w:color w:val="FF0000"/>
                      <w:sz w:val="21"/>
                      <w:szCs w:val="21"/>
                      <w:highlight w:val="none"/>
                      <w:lang w:eastAsia="zh-CN"/>
                    </w:rPr>
                    <w:t>事故池。</w:t>
                  </w:r>
                </w:p>
              </w:tc>
              <w:tc>
                <w:tcPr>
                  <w:tcW w:w="892" w:type="dxa"/>
                  <w:tcBorders>
                    <w:tl2br w:val="nil"/>
                    <w:tr2bl w:val="nil"/>
                  </w:tcBorders>
                  <w:vAlign w:val="center"/>
                </w:tcPr>
                <w:p w14:paraId="22F5D2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7A1A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restart"/>
                  <w:tcBorders>
                    <w:tl2br w:val="nil"/>
                    <w:tr2bl w:val="nil"/>
                  </w:tcBorders>
                  <w:vAlign w:val="center"/>
                </w:tcPr>
                <w:p w14:paraId="2DC781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储运</w:t>
                  </w:r>
                </w:p>
                <w:p w14:paraId="2AEA27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1311" w:type="dxa"/>
                  <w:tcBorders>
                    <w:tl2br w:val="nil"/>
                    <w:tr2bl w:val="nil"/>
                  </w:tcBorders>
                  <w:vAlign w:val="center"/>
                </w:tcPr>
                <w:p w14:paraId="77ED0D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面粉库</w:t>
                  </w:r>
                </w:p>
              </w:tc>
              <w:tc>
                <w:tcPr>
                  <w:tcW w:w="4841" w:type="dxa"/>
                  <w:tcBorders>
                    <w:tl2br w:val="nil"/>
                    <w:tr2bl w:val="nil"/>
                  </w:tcBorders>
                  <w:vAlign w:val="center"/>
                </w:tcPr>
                <w:p w14:paraId="15DF0439">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位于生产车间南侧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，占地面积91m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，用于存放面粉，最大贮存量为30t。</w:t>
                  </w:r>
                </w:p>
              </w:tc>
              <w:tc>
                <w:tcPr>
                  <w:tcW w:w="892" w:type="dxa"/>
                  <w:tcBorders>
                    <w:tl2br w:val="nil"/>
                    <w:tr2bl w:val="nil"/>
                  </w:tcBorders>
                  <w:vAlign w:val="center"/>
                </w:tcPr>
                <w:p w14:paraId="51160A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0DD1A0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23330F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1F0469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菜原料库</w:t>
                  </w:r>
                </w:p>
              </w:tc>
              <w:tc>
                <w:tcPr>
                  <w:tcW w:w="4841" w:type="dxa"/>
                  <w:tcBorders>
                    <w:tl2br w:val="nil"/>
                    <w:tr2bl w:val="nil"/>
                  </w:tcBorders>
                  <w:vAlign w:val="center"/>
                </w:tcPr>
                <w:p w14:paraId="0C748FE4">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位于生产车间中部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，占地面积79m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，用于存放蔬菜，最大贮存量为20t。</w:t>
                  </w:r>
                </w:p>
              </w:tc>
              <w:tc>
                <w:tcPr>
                  <w:tcW w:w="892" w:type="dxa"/>
                  <w:tcBorders>
                    <w:tl2br w:val="nil"/>
                    <w:tr2bl w:val="nil"/>
                  </w:tcBorders>
                  <w:vAlign w:val="center"/>
                </w:tcPr>
                <w:p w14:paraId="460C5B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0F8BD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0FE749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793619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保鲜库</w:t>
                  </w:r>
                </w:p>
              </w:tc>
              <w:tc>
                <w:tcPr>
                  <w:tcW w:w="4841" w:type="dxa"/>
                  <w:tcBorders>
                    <w:tl2br w:val="nil"/>
                    <w:tr2bl w:val="nil"/>
                  </w:tcBorders>
                  <w:vAlign w:val="center"/>
                </w:tcPr>
                <w:p w14:paraId="195FAC9A">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位于生产车间北侧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，占地面积20m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，用于存放新鲜肉，最大贮存量为</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w:t>
                  </w:r>
                </w:p>
              </w:tc>
              <w:tc>
                <w:tcPr>
                  <w:tcW w:w="892" w:type="dxa"/>
                  <w:tcBorders>
                    <w:tl2br w:val="nil"/>
                    <w:tr2bl w:val="nil"/>
                  </w:tcBorders>
                  <w:vAlign w:val="center"/>
                </w:tcPr>
                <w:p w14:paraId="4B7E97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7D884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16FB11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489F4C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冷藏库</w:t>
                  </w:r>
                </w:p>
              </w:tc>
              <w:tc>
                <w:tcPr>
                  <w:tcW w:w="4841" w:type="dxa"/>
                  <w:tcBorders>
                    <w:tl2br w:val="nil"/>
                    <w:tr2bl w:val="nil"/>
                  </w:tcBorders>
                  <w:vAlign w:val="center"/>
                </w:tcPr>
                <w:p w14:paraId="393130C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位于生产车间北侧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，共两处，每个占地面积122m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，共占地面积为244m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，主要用于存放成品，最大贮存量为100t。</w:t>
                  </w:r>
                </w:p>
              </w:tc>
              <w:tc>
                <w:tcPr>
                  <w:tcW w:w="892" w:type="dxa"/>
                  <w:tcBorders>
                    <w:tl2br w:val="nil"/>
                    <w:tr2bl w:val="nil"/>
                  </w:tcBorders>
                  <w:vAlign w:val="center"/>
                </w:tcPr>
                <w:p w14:paraId="18CD29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552E3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2A2A25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4C7E8C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包材、纸箱库</w:t>
                  </w:r>
                </w:p>
              </w:tc>
              <w:tc>
                <w:tcPr>
                  <w:tcW w:w="4841" w:type="dxa"/>
                  <w:tcBorders>
                    <w:tl2br w:val="nil"/>
                    <w:tr2bl w:val="nil"/>
                  </w:tcBorders>
                  <w:vAlign w:val="center"/>
                </w:tcPr>
                <w:p w14:paraId="248C23D6">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位于位于生产车间北侧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，占地面积61m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，主要用于存放包装和纸箱。</w:t>
                  </w:r>
                </w:p>
              </w:tc>
              <w:tc>
                <w:tcPr>
                  <w:tcW w:w="892" w:type="dxa"/>
                  <w:tcBorders>
                    <w:tl2br w:val="nil"/>
                    <w:tr2bl w:val="nil"/>
                  </w:tcBorders>
                  <w:vAlign w:val="center"/>
                </w:tcPr>
                <w:p w14:paraId="64F9EE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057C0A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2F43F1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4B562E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辅料库</w:t>
                  </w:r>
                </w:p>
              </w:tc>
              <w:tc>
                <w:tcPr>
                  <w:tcW w:w="4841" w:type="dxa"/>
                  <w:tcBorders>
                    <w:tl2br w:val="nil"/>
                    <w:tr2bl w:val="nil"/>
                  </w:tcBorders>
                  <w:vAlign w:val="center"/>
                </w:tcPr>
                <w:p w14:paraId="5CA827C4">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位于位于生产车间中部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，占地面积44m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，主要用于存放本项目生产过程中使用的辅料，最大贮存量为10t。</w:t>
                  </w:r>
                </w:p>
              </w:tc>
              <w:tc>
                <w:tcPr>
                  <w:tcW w:w="892" w:type="dxa"/>
                  <w:tcBorders>
                    <w:tl2br w:val="nil"/>
                    <w:tr2bl w:val="nil"/>
                  </w:tcBorders>
                  <w:vAlign w:val="center"/>
                </w:tcPr>
                <w:p w14:paraId="5A9D1C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FAEE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2BB77C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366606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一般固体废物暂存间</w:t>
                  </w:r>
                </w:p>
              </w:tc>
              <w:tc>
                <w:tcPr>
                  <w:tcW w:w="4841" w:type="dxa"/>
                  <w:tcBorders>
                    <w:tl2br w:val="nil"/>
                    <w:tr2bl w:val="nil"/>
                  </w:tcBorders>
                  <w:vAlign w:val="center"/>
                </w:tcPr>
                <w:p w14:paraId="7DF52238">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位于生产车间北侧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，占地面积为10m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。用于储存生产过程中产生的一般固体废物，最大储存能力为5t。</w:t>
                  </w:r>
                </w:p>
              </w:tc>
              <w:tc>
                <w:tcPr>
                  <w:tcW w:w="892" w:type="dxa"/>
                  <w:tcBorders>
                    <w:tl2br w:val="nil"/>
                    <w:tr2bl w:val="nil"/>
                  </w:tcBorders>
                  <w:vAlign w:val="center"/>
                </w:tcPr>
                <w:p w14:paraId="51165D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B62F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3F2099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28B8D4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危废暂存间</w:t>
                  </w:r>
                </w:p>
              </w:tc>
              <w:tc>
                <w:tcPr>
                  <w:tcW w:w="4841" w:type="dxa"/>
                  <w:tcBorders>
                    <w:tl2br w:val="nil"/>
                    <w:tr2bl w:val="nil"/>
                  </w:tcBorders>
                  <w:vAlign w:val="center"/>
                </w:tcPr>
                <w:p w14:paraId="13C672CF">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位于检验室北侧，占地面积为5m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。用于储存生产过程中产生的检验室检验废液，</w:t>
                  </w:r>
                  <w:r>
                    <w:rPr>
                      <w:rFonts w:hint="default" w:ascii="Times New Roman" w:hAnsi="Times New Roman" w:eastAsia="宋体" w:cs="Times New Roman"/>
                      <w:color w:val="FF0000"/>
                      <w:sz w:val="21"/>
                      <w:szCs w:val="21"/>
                      <w:highlight w:val="none"/>
                      <w:lang w:val="en-US" w:eastAsia="zh-CN"/>
                    </w:rPr>
                    <w:t>最大储存能力为1t。</w:t>
                  </w:r>
                </w:p>
              </w:tc>
              <w:tc>
                <w:tcPr>
                  <w:tcW w:w="892" w:type="dxa"/>
                  <w:tcBorders>
                    <w:tl2br w:val="nil"/>
                    <w:tr2bl w:val="nil"/>
                  </w:tcBorders>
                  <w:vAlign w:val="center"/>
                </w:tcPr>
                <w:p w14:paraId="1C73DD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030E0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restart"/>
                  <w:tcBorders>
                    <w:tl2br w:val="nil"/>
                    <w:tr2bl w:val="nil"/>
                  </w:tcBorders>
                  <w:vAlign w:val="center"/>
                </w:tcPr>
                <w:p w14:paraId="24D949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公用工程</w:t>
                  </w:r>
                </w:p>
              </w:tc>
              <w:tc>
                <w:tcPr>
                  <w:tcW w:w="1311" w:type="dxa"/>
                  <w:tcBorders>
                    <w:tl2br w:val="nil"/>
                    <w:tr2bl w:val="nil"/>
                  </w:tcBorders>
                  <w:vAlign w:val="center"/>
                </w:tcPr>
                <w:p w14:paraId="422F55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给水</w:t>
                  </w:r>
                </w:p>
              </w:tc>
              <w:tc>
                <w:tcPr>
                  <w:tcW w:w="4841" w:type="dxa"/>
                  <w:tcBorders>
                    <w:tl2br w:val="nil"/>
                    <w:tr2bl w:val="nil"/>
                  </w:tcBorders>
                  <w:vAlign w:val="center"/>
                </w:tcPr>
                <w:p w14:paraId="6BD29FC0">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本项目给水</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由市政给水管网供水</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p>
              </w:tc>
              <w:tc>
                <w:tcPr>
                  <w:tcW w:w="892" w:type="dxa"/>
                  <w:tcBorders>
                    <w:tl2br w:val="nil"/>
                    <w:tr2bl w:val="nil"/>
                  </w:tcBorders>
                  <w:vAlign w:val="center"/>
                </w:tcPr>
                <w:p w14:paraId="214F8C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依托</w:t>
                  </w:r>
                </w:p>
              </w:tc>
            </w:tr>
            <w:tr w14:paraId="742D7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230593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3393B1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排水</w:t>
                  </w:r>
                </w:p>
              </w:tc>
              <w:tc>
                <w:tcPr>
                  <w:tcW w:w="4841" w:type="dxa"/>
                  <w:tcBorders>
                    <w:tl2br w:val="nil"/>
                    <w:tr2bl w:val="nil"/>
                  </w:tcBorders>
                  <w:vAlign w:val="center"/>
                </w:tcPr>
                <w:p w14:paraId="7482FE4C">
                  <w:pPr>
                    <w:keepNext w:val="0"/>
                    <w:keepLines w:val="0"/>
                    <w:suppressLineNumbers w:val="0"/>
                    <w:spacing w:before="0" w:beforeAutospacing="0" w:after="0" w:afterAutospacing="0"/>
                    <w:ind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本项目经化粪池处理后的生活污水与生产废水一起进入厂区污水处理站，处理后的综合废水经污水管网进入双鸭山龙江环保水务有限责任公司(双鸭山市污水处理厂)，处理达标后排入安邦河。</w:t>
                  </w:r>
                </w:p>
              </w:tc>
              <w:tc>
                <w:tcPr>
                  <w:tcW w:w="892" w:type="dxa"/>
                  <w:tcBorders>
                    <w:tl2br w:val="nil"/>
                    <w:tr2bl w:val="nil"/>
                  </w:tcBorders>
                  <w:vAlign w:val="center"/>
                </w:tcPr>
                <w:p w14:paraId="1595D7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34BA2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0DD14B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488838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热</w:t>
                  </w:r>
                </w:p>
              </w:tc>
              <w:tc>
                <w:tcPr>
                  <w:tcW w:w="4841" w:type="dxa"/>
                  <w:tcBorders>
                    <w:tl2br w:val="nil"/>
                    <w:tr2bl w:val="nil"/>
                  </w:tcBorders>
                  <w:vAlign w:val="center"/>
                </w:tcPr>
                <w:p w14:paraId="25CC639D">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本项目冬季供暖采用电锅炉。</w:t>
                  </w:r>
                </w:p>
              </w:tc>
              <w:tc>
                <w:tcPr>
                  <w:tcW w:w="892" w:type="dxa"/>
                  <w:tcBorders>
                    <w:tl2br w:val="nil"/>
                    <w:tr2bl w:val="nil"/>
                  </w:tcBorders>
                  <w:vAlign w:val="center"/>
                </w:tcPr>
                <w:p w14:paraId="61C17E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新建</w:t>
                  </w:r>
                </w:p>
              </w:tc>
            </w:tr>
            <w:tr w14:paraId="4BAFF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5474DD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195D26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供电</w:t>
                  </w:r>
                </w:p>
              </w:tc>
              <w:tc>
                <w:tcPr>
                  <w:tcW w:w="4841" w:type="dxa"/>
                  <w:tcBorders>
                    <w:tl2br w:val="nil"/>
                    <w:tr2bl w:val="nil"/>
                  </w:tcBorders>
                  <w:vAlign w:val="center"/>
                </w:tcPr>
                <w:p w14:paraId="49CA12BA">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本项目由国家电网供给，电力供应充足，可保障项目用电。</w:t>
                  </w:r>
                </w:p>
              </w:tc>
              <w:tc>
                <w:tcPr>
                  <w:tcW w:w="892" w:type="dxa"/>
                  <w:tcBorders>
                    <w:tl2br w:val="nil"/>
                    <w:tr2bl w:val="nil"/>
                  </w:tcBorders>
                  <w:vAlign w:val="center"/>
                </w:tcPr>
                <w:p w14:paraId="7713B0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依托</w:t>
                  </w:r>
                </w:p>
              </w:tc>
            </w:tr>
            <w:tr w14:paraId="63690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restart"/>
                  <w:tcBorders>
                    <w:tl2br w:val="nil"/>
                    <w:tr2bl w:val="nil"/>
                  </w:tcBorders>
                  <w:vAlign w:val="center"/>
                </w:tcPr>
                <w:p w14:paraId="4A2191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eastAsia="zh-CN"/>
                    </w:rPr>
                    <w:t>环保工程</w:t>
                  </w:r>
                </w:p>
              </w:tc>
              <w:tc>
                <w:tcPr>
                  <w:tcW w:w="1311" w:type="dxa"/>
                  <w:tcBorders>
                    <w:tl2br w:val="nil"/>
                    <w:tr2bl w:val="nil"/>
                  </w:tcBorders>
                  <w:vAlign w:val="center"/>
                </w:tcPr>
                <w:p w14:paraId="6A8126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废水</w:t>
                  </w:r>
                </w:p>
              </w:tc>
              <w:tc>
                <w:tcPr>
                  <w:tcW w:w="4841" w:type="dxa"/>
                  <w:tcBorders>
                    <w:tl2br w:val="nil"/>
                    <w:tr2bl w:val="nil"/>
                  </w:tcBorders>
                  <w:vAlign w:val="center"/>
                </w:tcPr>
                <w:p w14:paraId="0A39954F">
                  <w:pPr>
                    <w:keepNext w:val="0"/>
                    <w:keepLines w:val="0"/>
                    <w:suppressLineNumbers w:val="0"/>
                    <w:spacing w:before="0" w:beforeAutospacing="0" w:after="0" w:afterAutospacing="0"/>
                    <w:ind w:right="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本项目经化粪池处理后的生活污水与生产废水一起进入厂区污水处理站，处理后的综合废水经污水管网进入双鸭山龙江环保水务有限责任公司(双鸭山市污水处理厂)，处理达标后排入安邦河。</w:t>
                  </w:r>
                </w:p>
              </w:tc>
              <w:tc>
                <w:tcPr>
                  <w:tcW w:w="892" w:type="dxa"/>
                  <w:tcBorders>
                    <w:tl2br w:val="nil"/>
                    <w:tr2bl w:val="nil"/>
                  </w:tcBorders>
                  <w:vAlign w:val="center"/>
                </w:tcPr>
                <w:p w14:paraId="601E2C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新建</w:t>
                  </w:r>
                </w:p>
              </w:tc>
            </w:tr>
            <w:tr w14:paraId="7A3A70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1" w:hRule="atLeast"/>
              </w:trPr>
              <w:tc>
                <w:tcPr>
                  <w:tcW w:w="819" w:type="dxa"/>
                  <w:vMerge w:val="continue"/>
                  <w:tcBorders>
                    <w:tl2br w:val="nil"/>
                    <w:tr2bl w:val="nil"/>
                  </w:tcBorders>
                  <w:vAlign w:val="center"/>
                </w:tcPr>
                <w:p w14:paraId="0E9938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74C8B1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w:t>
                  </w:r>
                </w:p>
              </w:tc>
              <w:tc>
                <w:tcPr>
                  <w:tcW w:w="4841" w:type="dxa"/>
                  <w:tcBorders>
                    <w:tl2br w:val="nil"/>
                    <w:tr2bl w:val="nil"/>
                  </w:tcBorders>
                  <w:vAlign w:val="center"/>
                </w:tcPr>
                <w:p w14:paraId="38F6503A">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拆袋、和面粉尘：车间密闭，采用真空和面机和面。</w:t>
                  </w:r>
                </w:p>
                <w:p w14:paraId="3D4E0295">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投料粉尘：和面车间密闭，采用真空和面机和面，人员搬运物料时注意轻拿轻放，投料时降低面粉投料高度，减小投料速度，沉降在车间内部的粉尘，每天进行清扫。</w:t>
                  </w:r>
                </w:p>
                <w:p w14:paraId="359D12B0">
                  <w:pPr>
                    <w:pStyle w:val="9"/>
                    <w:ind w:left="0" w:leftChars="0" w:firstLine="420" w:firstLineChars="20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污水处理站废气：恶臭气体产生的池体均加盖处理，并定期喷洒除臭剂</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FF0000"/>
                      <w:lang w:val="en-US" w:eastAsia="zh-CN"/>
                    </w:rPr>
                    <w:t>加强周边绿化。</w:t>
                  </w:r>
                </w:p>
                <w:p w14:paraId="626861FD">
                  <w:pPr>
                    <w:ind w:firstLine="420" w:firstLineChars="20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油烟：油烟废气经收集后引入油烟净化器处理达标后经生产车间顶部排放。</w:t>
                  </w:r>
                </w:p>
                <w:p w14:paraId="1AC2817B">
                  <w:pPr>
                    <w:ind w:firstLine="420" w:firstLineChars="20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FF0000"/>
                      <w:lang w:eastAsia="zh-CN"/>
                    </w:rPr>
                    <w:t>检验室检验废气：</w:t>
                  </w:r>
                  <w:r>
                    <w:rPr>
                      <w:rFonts w:hint="default" w:ascii="Times New Roman" w:hAnsi="Times New Roman" w:eastAsia="宋体" w:cs="Times New Roman"/>
                      <w:color w:val="FF0000"/>
                      <w:lang w:val="en-US" w:eastAsia="zh-CN"/>
                    </w:rPr>
                    <w:t>检验过程在通风橱内进行，废气经检验室换风系统排出</w:t>
                  </w:r>
                  <w:r>
                    <w:rPr>
                      <w:rFonts w:hint="eastAsia" w:ascii="Times New Roman" w:hAnsi="Times New Roman" w:eastAsia="宋体" w:cs="Times New Roman"/>
                      <w:color w:val="FF0000"/>
                      <w:lang w:val="en-US" w:eastAsia="zh-CN"/>
                    </w:rPr>
                    <w:t>，加强周边绿化。</w:t>
                  </w:r>
                </w:p>
              </w:tc>
              <w:tc>
                <w:tcPr>
                  <w:tcW w:w="892" w:type="dxa"/>
                  <w:tcBorders>
                    <w:tl2br w:val="nil"/>
                    <w:tr2bl w:val="nil"/>
                  </w:tcBorders>
                  <w:vAlign w:val="center"/>
                </w:tcPr>
                <w:p w14:paraId="3A4739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新建</w:t>
                  </w:r>
                </w:p>
              </w:tc>
            </w:tr>
            <w:tr w14:paraId="4382A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1AF725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583564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4841" w:type="dxa"/>
                  <w:tcBorders>
                    <w:tl2br w:val="nil"/>
                    <w:tr2bl w:val="nil"/>
                  </w:tcBorders>
                  <w:vAlign w:val="center"/>
                </w:tcPr>
                <w:p w14:paraId="272E657D">
                  <w:pPr>
                    <w:keepNext w:val="0"/>
                    <w:keepLines w:val="0"/>
                    <w:suppressLineNumbers w:val="0"/>
                    <w:spacing w:before="0" w:beforeAutospacing="0" w:after="0" w:afterAutospacing="0"/>
                    <w:ind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采用低噪声设备、减振、距离衰减</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、厂房隔声</w:t>
                  </w:r>
                  <w:r>
                    <w:rPr>
                      <w:rFonts w:hint="default" w:ascii="Times New Roman" w:hAnsi="Times New Roman" w:eastAsia="宋体" w:cs="Times New Roman"/>
                      <w:color w:val="000000" w:themeColor="text1"/>
                      <w:sz w:val="21"/>
                      <w:szCs w:val="21"/>
                      <w:highlight w:val="none"/>
                      <w14:textFill>
                        <w14:solidFill>
                          <w14:schemeClr w14:val="tx1"/>
                        </w14:solidFill>
                      </w14:textFill>
                    </w:rPr>
                    <w:t>等措施。</w:t>
                  </w:r>
                </w:p>
              </w:tc>
              <w:tc>
                <w:tcPr>
                  <w:tcW w:w="892" w:type="dxa"/>
                  <w:tcBorders>
                    <w:tl2br w:val="nil"/>
                    <w:tr2bl w:val="nil"/>
                  </w:tcBorders>
                  <w:vAlign w:val="center"/>
                </w:tcPr>
                <w:p w14:paraId="628BA7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新建</w:t>
                  </w:r>
                </w:p>
              </w:tc>
            </w:tr>
            <w:tr w14:paraId="2216D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47A6DE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1A3658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固体废物</w:t>
                  </w:r>
                </w:p>
                <w:p w14:paraId="3BAEE1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41" w:type="dxa"/>
                  <w:tcBorders>
                    <w:tl2br w:val="nil"/>
                    <w:tr2bl w:val="nil"/>
                  </w:tcBorders>
                  <w:vAlign w:val="center"/>
                </w:tcPr>
                <w:p w14:paraId="769D976B">
                  <w:pPr>
                    <w:ind w:firstLine="420" w:firstLineChars="20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生活垃圾集中收集后，交由环卫部门统一处理处置；</w:t>
                  </w:r>
                  <w:r>
                    <w:rPr>
                      <w:rFonts w:hint="default" w:ascii="Times New Roman" w:hAnsi="Times New Roman" w:eastAsia="宋体" w:cs="Times New Roman"/>
                      <w:color w:val="FF0000"/>
                      <w:sz w:val="21"/>
                      <w:szCs w:val="21"/>
                      <w:highlight w:val="none"/>
                      <w:lang w:eastAsia="zh-CN"/>
                    </w:rPr>
                    <w:t>车间沉降面粉粉尘、</w:t>
                  </w:r>
                  <w:r>
                    <w:rPr>
                      <w:rFonts w:hint="default" w:ascii="Times New Roman" w:hAnsi="Times New Roman" w:eastAsia="宋体" w:cs="Times New Roman"/>
                      <w:color w:val="FF0000"/>
                      <w:sz w:val="21"/>
                      <w:szCs w:val="21"/>
                      <w:highlight w:val="none"/>
                      <w:lang w:val="en-US" w:eastAsia="zh-CN"/>
                    </w:rPr>
                    <w:t>废弃原材料及不合格产品、废油脂</w:t>
                  </w:r>
                  <w:r>
                    <w:rPr>
                      <w:rFonts w:hint="default" w:ascii="Times New Roman" w:hAnsi="Times New Roman" w:eastAsia="宋体" w:cs="Times New Roman"/>
                      <w:color w:val="FF0000"/>
                      <w:sz w:val="21"/>
                      <w:szCs w:val="21"/>
                      <w:highlight w:val="none"/>
                      <w:lang w:eastAsia="zh-CN"/>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r>
                    <w:rPr>
                      <w:rFonts w:hint="default" w:ascii="Times New Roman" w:hAnsi="Times New Roman" w:eastAsia="宋体" w:cs="Times New Roman"/>
                      <w:color w:val="FF0000"/>
                      <w:sz w:val="21"/>
                      <w:szCs w:val="21"/>
                      <w:highlight w:val="none"/>
                      <w:lang w:eastAsia="zh-CN"/>
                    </w:rPr>
                    <w:t>污水处理站污泥集中收集后，</w:t>
                  </w:r>
                  <w:r>
                    <w:rPr>
                      <w:rFonts w:hint="default" w:ascii="Times New Roman" w:hAnsi="Times New Roman" w:eastAsia="宋体" w:cs="Times New Roman"/>
                      <w:color w:val="FF0000"/>
                      <w:sz w:val="21"/>
                      <w:szCs w:val="21"/>
                      <w:highlight w:val="none"/>
                      <w:lang w:val="en-US" w:eastAsia="zh-CN"/>
                    </w:rPr>
                    <w:t>委托有能力单位清运处置；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鸡蛋壳集中收集后，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交由环卫部门统一进行外运处理</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；废弃包装材料集中收集后，由废品收购站收购；更换下来的废RO反渗透膜，由厂家回收利用。</w:t>
                  </w:r>
                </w:p>
                <w:p w14:paraId="5244D582">
                  <w:pPr>
                    <w:ind w:firstLine="420" w:firstLineChars="20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检验室检验废液暂存于危废暂存间内，定期交由有资质单位处理。</w:t>
                  </w:r>
                </w:p>
              </w:tc>
              <w:tc>
                <w:tcPr>
                  <w:tcW w:w="892" w:type="dxa"/>
                  <w:tcBorders>
                    <w:tl2br w:val="nil"/>
                    <w:tr2bl w:val="nil"/>
                  </w:tcBorders>
                  <w:vAlign w:val="center"/>
                </w:tcPr>
                <w:p w14:paraId="189FC3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新建</w:t>
                  </w:r>
                </w:p>
              </w:tc>
            </w:tr>
            <w:tr w14:paraId="6D3580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vMerge w:val="continue"/>
                  <w:tcBorders>
                    <w:tl2br w:val="nil"/>
                    <w:tr2bl w:val="nil"/>
                  </w:tcBorders>
                  <w:vAlign w:val="center"/>
                </w:tcPr>
                <w:p w14:paraId="164D5C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11" w:type="dxa"/>
                  <w:tcBorders>
                    <w:tl2br w:val="nil"/>
                    <w:tr2bl w:val="nil"/>
                  </w:tcBorders>
                  <w:vAlign w:val="center"/>
                </w:tcPr>
                <w:p w14:paraId="0A8410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地下水防渗措施</w:t>
                  </w:r>
                </w:p>
              </w:tc>
              <w:tc>
                <w:tcPr>
                  <w:tcW w:w="4841" w:type="dxa"/>
                  <w:tcBorders>
                    <w:tl2br w:val="nil"/>
                    <w:tr2bl w:val="nil"/>
                  </w:tcBorders>
                  <w:vAlign w:val="center"/>
                </w:tcPr>
                <w:p w14:paraId="1237EA2E">
                  <w:pPr>
                    <w:keepNext w:val="0"/>
                    <w:keepLines w:val="0"/>
                    <w:widowControl/>
                    <w:suppressLineNumbers w:val="0"/>
                    <w:spacing w:before="0" w:beforeAutospacing="0" w:after="0" w:afterAutospacing="0"/>
                    <w:ind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本项目危废暂存间、污水处理站按重点防渗区要求进行防渗处理，防渗技术要求达到等效粘土防渗层Mb≥6.0m，K≤1×10</w:t>
                  </w:r>
                  <w:r>
                    <w:rPr>
                      <w:rFonts w:hint="default" w:ascii="Times New Roman" w:hAnsi="Times New Roman" w:eastAsia="宋体" w:cs="Times New Roman"/>
                      <w:color w:val="000000" w:themeColor="text1"/>
                      <w:sz w:val="21"/>
                      <w:szCs w:val="21"/>
                      <w:highlight w:val="none"/>
                      <w:vertAlign w:val="superscript"/>
                      <w:lang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cm/s。生产车间等按一般防渗区要求进行防渗处理，防渗技术要求：等效黏土防渗层Mb≥1.5m，K≤1×10</w:t>
                  </w:r>
                  <w:r>
                    <w:rPr>
                      <w:rFonts w:hint="default" w:ascii="Times New Roman" w:hAnsi="Times New Roman" w:eastAsia="宋体" w:cs="Times New Roman"/>
                      <w:color w:val="000000" w:themeColor="text1"/>
                      <w:sz w:val="21"/>
                      <w:szCs w:val="21"/>
                      <w:highlight w:val="none"/>
                      <w:vertAlign w:val="superscript"/>
                      <w:lang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cm/s</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892" w:type="dxa"/>
                  <w:tcBorders>
                    <w:tl2br w:val="nil"/>
                    <w:tr2bl w:val="nil"/>
                  </w:tcBorders>
                  <w:vAlign w:val="center"/>
                </w:tcPr>
                <w:p w14:paraId="694452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新建</w:t>
                  </w:r>
                </w:p>
              </w:tc>
            </w:tr>
            <w:tr w14:paraId="611C4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9" w:type="dxa"/>
                  <w:tcBorders>
                    <w:tl2br w:val="nil"/>
                    <w:tr2bl w:val="nil"/>
                  </w:tcBorders>
                  <w:vAlign w:val="center"/>
                </w:tcPr>
                <w:p w14:paraId="7EF285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依托工程</w:t>
                  </w:r>
                </w:p>
              </w:tc>
              <w:tc>
                <w:tcPr>
                  <w:tcW w:w="1311" w:type="dxa"/>
                  <w:tcBorders>
                    <w:tl2br w:val="nil"/>
                    <w:tr2bl w:val="nil"/>
                  </w:tcBorders>
                  <w:vAlign w:val="center"/>
                </w:tcPr>
                <w:p w14:paraId="4440849B">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双鸭山龙江环保水务有限责任公司(双鸭山市污水处理厂)</w:t>
                  </w:r>
                </w:p>
              </w:tc>
              <w:tc>
                <w:tcPr>
                  <w:tcW w:w="4841" w:type="dxa"/>
                  <w:tcBorders>
                    <w:tl2br w:val="nil"/>
                    <w:tr2bl w:val="nil"/>
                  </w:tcBorders>
                  <w:vAlign w:val="center"/>
                </w:tcPr>
                <w:p w14:paraId="1CF7A10B">
                  <w:pPr>
                    <w:keepNext w:val="0"/>
                    <w:keepLines w:val="0"/>
                    <w:widowControl/>
                    <w:suppressLineNumbers w:val="0"/>
                    <w:spacing w:before="0" w:beforeAutospacing="0" w:after="0" w:afterAutospacing="0"/>
                    <w:ind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双鸭山龙江环保水务有限责任公司(双鸭山市污水处理厂)位于双鸭山市集贤县高丰村西北处。占地面积60000m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区内主要构筑物包括：调节池、提升泵房、沉砂池、初沉池、污泥池、二沉池、加药间、絮凝池、防渗沉淀池、加氯间、消毒池、污泥处理池、风机房、水泵房、锅炉房、综合楼、维修间等，污水处理厂采用A</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/0处理工艺，污水处理规模为10万m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/d，经处理后的污水排放满足《城镇污水处理厂污染物排放标准(GB18918-2002)一级A标准，最终进入安邦河。</w:t>
                  </w:r>
                </w:p>
              </w:tc>
              <w:tc>
                <w:tcPr>
                  <w:tcW w:w="892" w:type="dxa"/>
                  <w:tcBorders>
                    <w:tl2br w:val="nil"/>
                    <w:tr2bl w:val="nil"/>
                  </w:tcBorders>
                  <w:vAlign w:val="center"/>
                </w:tcPr>
                <w:p w14:paraId="545BA7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依托</w:t>
                  </w:r>
                </w:p>
              </w:tc>
            </w:tr>
          </w:tbl>
          <w:p w14:paraId="3AAFD917">
            <w:pPr>
              <w:keepNext w:val="0"/>
              <w:keepLines w:val="0"/>
              <w:widowControl/>
              <w:suppressLineNumbers w:val="0"/>
              <w:spacing w:before="0" w:beforeAutospacing="0" w:after="0" w:afterAutospacing="0" w:line="360" w:lineRule="auto"/>
              <w:ind w:left="0" w:right="0" w:firstLine="234" w:firstLineChars="97"/>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3、设备情况一览表</w:t>
            </w:r>
          </w:p>
          <w:p w14:paraId="399D516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 xml:space="preserve">表2-2 设备情况一览表 </w:t>
            </w:r>
          </w:p>
          <w:tbl>
            <w:tblPr>
              <w:tblStyle w:val="30"/>
              <w:tblW w:w="778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4"/>
              <w:gridCol w:w="599"/>
              <w:gridCol w:w="1608"/>
              <w:gridCol w:w="779"/>
              <w:gridCol w:w="3445"/>
              <w:gridCol w:w="944"/>
            </w:tblGrid>
            <w:tr w14:paraId="0F1880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282B0A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 号</w:t>
                  </w:r>
                </w:p>
              </w:tc>
              <w:tc>
                <w:tcPr>
                  <w:tcW w:w="599" w:type="dxa"/>
                  <w:vAlign w:val="center"/>
                </w:tcPr>
                <w:p w14:paraId="150594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工艺 类别</w:t>
                  </w:r>
                </w:p>
              </w:tc>
              <w:tc>
                <w:tcPr>
                  <w:tcW w:w="1608" w:type="dxa"/>
                  <w:vAlign w:val="center"/>
                </w:tcPr>
                <w:p w14:paraId="76A003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设备名称</w:t>
                  </w:r>
                </w:p>
              </w:tc>
              <w:tc>
                <w:tcPr>
                  <w:tcW w:w="779" w:type="dxa"/>
                  <w:vAlign w:val="center"/>
                </w:tcPr>
                <w:p w14:paraId="37C583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数量 (台)</w:t>
                  </w:r>
                </w:p>
              </w:tc>
              <w:tc>
                <w:tcPr>
                  <w:tcW w:w="3445" w:type="dxa"/>
                  <w:vAlign w:val="center"/>
                </w:tcPr>
                <w:p w14:paraId="1837D2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规格型号</w:t>
                  </w:r>
                </w:p>
              </w:tc>
              <w:tc>
                <w:tcPr>
                  <w:tcW w:w="944" w:type="dxa"/>
                  <w:vAlign w:val="center"/>
                </w:tcPr>
                <w:p w14:paraId="75AED6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备注</w:t>
                  </w:r>
                </w:p>
              </w:tc>
            </w:tr>
            <w:tr w14:paraId="009D0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1676FB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599" w:type="dxa"/>
                  <w:vMerge w:val="restart"/>
                  <w:tcBorders>
                    <w:bottom w:val="nil"/>
                  </w:tcBorders>
                  <w:vAlign w:val="center"/>
                </w:tcPr>
                <w:p w14:paraId="25C3A2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洗菜</w:t>
                  </w:r>
                </w:p>
                <w:p w14:paraId="5BB1B2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5B0400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清洗去皮机</w:t>
                  </w:r>
                </w:p>
              </w:tc>
              <w:tc>
                <w:tcPr>
                  <w:tcW w:w="779" w:type="dxa"/>
                  <w:vAlign w:val="center"/>
                </w:tcPr>
                <w:p w14:paraId="4679B8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802C3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ZW-909,尺寸1280*680*1085</w:t>
                  </w:r>
                </w:p>
              </w:tc>
              <w:tc>
                <w:tcPr>
                  <w:tcW w:w="944" w:type="dxa"/>
                  <w:vAlign w:val="center"/>
                </w:tcPr>
                <w:p w14:paraId="77C731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生产能力为0.7t/d</w:t>
                  </w:r>
                </w:p>
              </w:tc>
            </w:tr>
            <w:tr w14:paraId="05749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7FED29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599" w:type="dxa"/>
                  <w:vMerge w:val="continue"/>
                  <w:tcBorders>
                    <w:top w:val="nil"/>
                    <w:bottom w:val="nil"/>
                  </w:tcBorders>
                  <w:vAlign w:val="center"/>
                </w:tcPr>
                <w:p w14:paraId="026AEF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328B91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蔬菜气泡清洗机 (加去农残)</w:t>
                  </w:r>
                </w:p>
              </w:tc>
              <w:tc>
                <w:tcPr>
                  <w:tcW w:w="779" w:type="dxa"/>
                  <w:vAlign w:val="center"/>
                </w:tcPr>
                <w:p w14:paraId="2A4383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2D6D14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尺寸，3000*1500*1200</w:t>
                  </w:r>
                </w:p>
              </w:tc>
              <w:tc>
                <w:tcPr>
                  <w:tcW w:w="944" w:type="dxa"/>
                  <w:vAlign w:val="center"/>
                </w:tcPr>
                <w:p w14:paraId="721695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生产能力为0.7t/d</w:t>
                  </w:r>
                </w:p>
              </w:tc>
            </w:tr>
            <w:tr w14:paraId="316EA2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7B8B4A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599" w:type="dxa"/>
                  <w:vMerge w:val="continue"/>
                  <w:tcBorders>
                    <w:top w:val="nil"/>
                    <w:bottom w:val="nil"/>
                  </w:tcBorders>
                  <w:vAlign w:val="center"/>
                </w:tcPr>
                <w:p w14:paraId="495BAA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DEBA6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清洗水池</w:t>
                  </w:r>
                </w:p>
              </w:tc>
              <w:tc>
                <w:tcPr>
                  <w:tcW w:w="779" w:type="dxa"/>
                  <w:vAlign w:val="center"/>
                </w:tcPr>
                <w:p w14:paraId="19E486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w:t>
                  </w:r>
                </w:p>
              </w:tc>
              <w:tc>
                <w:tcPr>
                  <w:tcW w:w="3445" w:type="dxa"/>
                  <w:vAlign w:val="center"/>
                </w:tcPr>
                <w:p w14:paraId="3E1923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304不锈钢加厚3槽  尺寸 200*600*8003槽</w:t>
                  </w:r>
                </w:p>
              </w:tc>
              <w:tc>
                <w:tcPr>
                  <w:tcW w:w="944" w:type="dxa"/>
                  <w:vAlign w:val="center"/>
                </w:tcPr>
                <w:p w14:paraId="72A63E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86187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068D1E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599" w:type="dxa"/>
                  <w:vMerge w:val="continue"/>
                  <w:tcBorders>
                    <w:top w:val="nil"/>
                    <w:bottom w:val="nil"/>
                  </w:tcBorders>
                  <w:vAlign w:val="center"/>
                </w:tcPr>
                <w:p w14:paraId="55C7C7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33146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热交换加热器</w:t>
                  </w:r>
                </w:p>
              </w:tc>
              <w:tc>
                <w:tcPr>
                  <w:tcW w:w="779" w:type="dxa"/>
                  <w:vAlign w:val="center"/>
                </w:tcPr>
                <w:p w14:paraId="6EECB0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5BA48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能耗5000w尺寸600*1690*630</w:t>
                  </w:r>
                </w:p>
              </w:tc>
              <w:tc>
                <w:tcPr>
                  <w:tcW w:w="944" w:type="dxa"/>
                  <w:vAlign w:val="center"/>
                </w:tcPr>
                <w:p w14:paraId="2B06D7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DBDF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78937B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599" w:type="dxa"/>
                  <w:vMerge w:val="continue"/>
                  <w:tcBorders>
                    <w:top w:val="nil"/>
                  </w:tcBorders>
                  <w:vAlign w:val="center"/>
                </w:tcPr>
                <w:p w14:paraId="518307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7FC6D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高压水枪</w:t>
                  </w:r>
                </w:p>
              </w:tc>
              <w:tc>
                <w:tcPr>
                  <w:tcW w:w="779" w:type="dxa"/>
                  <w:vAlign w:val="center"/>
                </w:tcPr>
                <w:p w14:paraId="5C8B0C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3445" w:type="dxa"/>
                  <w:vAlign w:val="center"/>
                </w:tcPr>
                <w:p w14:paraId="41807D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220v450kw  钢丝管</w:t>
                  </w:r>
                </w:p>
              </w:tc>
              <w:tc>
                <w:tcPr>
                  <w:tcW w:w="944" w:type="dxa"/>
                  <w:vAlign w:val="center"/>
                </w:tcPr>
                <w:p w14:paraId="6194F4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BB40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50BCF6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599" w:type="dxa"/>
                  <w:vMerge w:val="restart"/>
                  <w:tcBorders>
                    <w:bottom w:val="nil"/>
                  </w:tcBorders>
                  <w:vAlign w:val="center"/>
                </w:tcPr>
                <w:p w14:paraId="68CAD8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切菜</w:t>
                  </w:r>
                </w:p>
                <w:p w14:paraId="220634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3BADCD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切菜机</w:t>
                  </w:r>
                </w:p>
              </w:tc>
              <w:tc>
                <w:tcPr>
                  <w:tcW w:w="779" w:type="dxa"/>
                  <w:vAlign w:val="center"/>
                </w:tcPr>
                <w:p w14:paraId="1D777EB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60C5B8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型号ZW-805,规格750*520*1300</w:t>
                  </w:r>
                </w:p>
              </w:tc>
              <w:tc>
                <w:tcPr>
                  <w:tcW w:w="944" w:type="dxa"/>
                  <w:vAlign w:val="center"/>
                </w:tcPr>
                <w:p w14:paraId="1F13AC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生产能力为0.7t/d</w:t>
                  </w:r>
                </w:p>
              </w:tc>
            </w:tr>
            <w:tr w14:paraId="0A573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4ED0D1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w:t>
                  </w:r>
                </w:p>
              </w:tc>
              <w:tc>
                <w:tcPr>
                  <w:tcW w:w="599" w:type="dxa"/>
                  <w:vMerge w:val="continue"/>
                  <w:tcBorders>
                    <w:top w:val="nil"/>
                    <w:bottom w:val="nil"/>
                  </w:tcBorders>
                  <w:vAlign w:val="center"/>
                </w:tcPr>
                <w:p w14:paraId="616991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73F08E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斩拌机</w:t>
                  </w:r>
                </w:p>
              </w:tc>
              <w:tc>
                <w:tcPr>
                  <w:tcW w:w="779" w:type="dxa"/>
                  <w:vAlign w:val="center"/>
                </w:tcPr>
                <w:p w14:paraId="3A3803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196B53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型号ZW-40,规格1100*865*1200</w:t>
                  </w:r>
                </w:p>
              </w:tc>
              <w:tc>
                <w:tcPr>
                  <w:tcW w:w="944" w:type="dxa"/>
                  <w:vAlign w:val="center"/>
                </w:tcPr>
                <w:p w14:paraId="15FECC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生产能力为0.7t/d</w:t>
                  </w:r>
                </w:p>
              </w:tc>
            </w:tr>
            <w:tr w14:paraId="424849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4BD97C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w:t>
                  </w:r>
                </w:p>
              </w:tc>
              <w:tc>
                <w:tcPr>
                  <w:tcW w:w="599" w:type="dxa"/>
                  <w:vMerge w:val="continue"/>
                  <w:tcBorders>
                    <w:top w:val="nil"/>
                    <w:bottom w:val="nil"/>
                  </w:tcBorders>
                  <w:vAlign w:val="center"/>
                </w:tcPr>
                <w:p w14:paraId="73060B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5C1F1B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切丁机</w:t>
                  </w:r>
                </w:p>
              </w:tc>
              <w:tc>
                <w:tcPr>
                  <w:tcW w:w="779" w:type="dxa"/>
                  <w:vAlign w:val="center"/>
                </w:tcPr>
                <w:p w14:paraId="7CC646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0E71DB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型号QD-02,规格1440*860*1400</w:t>
                  </w:r>
                </w:p>
              </w:tc>
              <w:tc>
                <w:tcPr>
                  <w:tcW w:w="944" w:type="dxa"/>
                  <w:vAlign w:val="center"/>
                </w:tcPr>
                <w:p w14:paraId="2C31AB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生产能力为0.7t/d</w:t>
                  </w:r>
                </w:p>
              </w:tc>
            </w:tr>
            <w:tr w14:paraId="18C5A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12B512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w:t>
                  </w:r>
                </w:p>
              </w:tc>
              <w:tc>
                <w:tcPr>
                  <w:tcW w:w="599" w:type="dxa"/>
                  <w:vMerge w:val="continue"/>
                  <w:tcBorders>
                    <w:top w:val="nil"/>
                  </w:tcBorders>
                  <w:vAlign w:val="center"/>
                </w:tcPr>
                <w:p w14:paraId="3AD5B3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7FBB2A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三足式离心机</w:t>
                  </w:r>
                </w:p>
              </w:tc>
              <w:tc>
                <w:tcPr>
                  <w:tcW w:w="779" w:type="dxa"/>
                  <w:vAlign w:val="center"/>
                </w:tcPr>
                <w:p w14:paraId="7BF5C9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44E06B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型号SS800规格1670*1270*1000</w:t>
                  </w:r>
                </w:p>
              </w:tc>
              <w:tc>
                <w:tcPr>
                  <w:tcW w:w="944" w:type="dxa"/>
                  <w:vAlign w:val="center"/>
                </w:tcPr>
                <w:p w14:paraId="73C03C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9F80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0C9570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599" w:type="dxa"/>
                  <w:vMerge w:val="restart"/>
                  <w:tcBorders>
                    <w:bottom w:val="nil"/>
                  </w:tcBorders>
                  <w:vAlign w:val="center"/>
                </w:tcPr>
                <w:p w14:paraId="52E57779">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肉 、</w:t>
                  </w:r>
                </w:p>
                <w:p w14:paraId="5CF875C6">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蛋白加工间</w:t>
                  </w:r>
                </w:p>
              </w:tc>
              <w:tc>
                <w:tcPr>
                  <w:tcW w:w="1608" w:type="dxa"/>
                  <w:vAlign w:val="center"/>
                </w:tcPr>
                <w:p w14:paraId="062B33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鲜肉切丁机</w:t>
                  </w:r>
                </w:p>
              </w:tc>
              <w:tc>
                <w:tcPr>
                  <w:tcW w:w="779" w:type="dxa"/>
                  <w:vAlign w:val="center"/>
                </w:tcPr>
                <w:p w14:paraId="57D2A4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6EAB1D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型号JR-D120规格950*550*1050</w:t>
                  </w:r>
                </w:p>
              </w:tc>
              <w:tc>
                <w:tcPr>
                  <w:tcW w:w="944" w:type="dxa"/>
                  <w:vAlign w:val="center"/>
                </w:tcPr>
                <w:p w14:paraId="4F6AFE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生产能力为0.6t/d</w:t>
                  </w:r>
                </w:p>
              </w:tc>
            </w:tr>
            <w:tr w14:paraId="6D8C4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2BA041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11</w:t>
                  </w:r>
                </w:p>
              </w:tc>
              <w:tc>
                <w:tcPr>
                  <w:tcW w:w="599" w:type="dxa"/>
                  <w:vMerge w:val="continue"/>
                  <w:tcBorders>
                    <w:top w:val="nil"/>
                    <w:bottom w:val="nil"/>
                  </w:tcBorders>
                  <w:vAlign w:val="center"/>
                </w:tcPr>
                <w:p w14:paraId="333CD8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7673F5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鲜肉绞馅机</w:t>
                  </w:r>
                </w:p>
              </w:tc>
              <w:tc>
                <w:tcPr>
                  <w:tcW w:w="779" w:type="dxa"/>
                  <w:vAlign w:val="center"/>
                </w:tcPr>
                <w:p w14:paraId="2FF157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2A9630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型号JR-120规格940*550*1100</w:t>
                  </w:r>
                </w:p>
              </w:tc>
              <w:tc>
                <w:tcPr>
                  <w:tcW w:w="944" w:type="dxa"/>
                  <w:vAlign w:val="center"/>
                </w:tcPr>
                <w:p w14:paraId="639597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生产能力为0.6t/d</w:t>
                  </w:r>
                </w:p>
              </w:tc>
            </w:tr>
            <w:tr w14:paraId="730B6C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6CF379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12</w:t>
                  </w:r>
                </w:p>
              </w:tc>
              <w:tc>
                <w:tcPr>
                  <w:tcW w:w="599" w:type="dxa"/>
                  <w:vMerge w:val="continue"/>
                  <w:tcBorders>
                    <w:top w:val="nil"/>
                  </w:tcBorders>
                  <w:vAlign w:val="center"/>
                </w:tcPr>
                <w:p w14:paraId="639FFF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5E07FB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三足式离心机</w:t>
                  </w:r>
                </w:p>
              </w:tc>
              <w:tc>
                <w:tcPr>
                  <w:tcW w:w="779" w:type="dxa"/>
                  <w:vAlign w:val="center"/>
                </w:tcPr>
                <w:p w14:paraId="23A72E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0F918C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型号SS800规格1670*1270*1000</w:t>
                  </w:r>
                </w:p>
              </w:tc>
              <w:tc>
                <w:tcPr>
                  <w:tcW w:w="944" w:type="dxa"/>
                  <w:vAlign w:val="center"/>
                </w:tcPr>
                <w:p w14:paraId="305C0A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002E6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17AC79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13</w:t>
                  </w:r>
                </w:p>
              </w:tc>
              <w:tc>
                <w:tcPr>
                  <w:tcW w:w="599" w:type="dxa"/>
                  <w:vMerge w:val="restart"/>
                  <w:tcBorders>
                    <w:bottom w:val="nil"/>
                  </w:tcBorders>
                  <w:vAlign w:val="center"/>
                </w:tcPr>
                <w:p w14:paraId="090D77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热加 工间</w:t>
                  </w:r>
                </w:p>
              </w:tc>
              <w:tc>
                <w:tcPr>
                  <w:tcW w:w="1608" w:type="dxa"/>
                  <w:vAlign w:val="center"/>
                </w:tcPr>
                <w:p w14:paraId="5E831A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欧式大锅灶</w:t>
                  </w:r>
                </w:p>
              </w:tc>
              <w:tc>
                <w:tcPr>
                  <w:tcW w:w="779" w:type="dxa"/>
                  <w:vAlign w:val="center"/>
                </w:tcPr>
                <w:p w14:paraId="478C4F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45973F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20kw-30kw直径0.8-1.0不锈钢</w:t>
                  </w:r>
                </w:p>
              </w:tc>
              <w:tc>
                <w:tcPr>
                  <w:tcW w:w="944" w:type="dxa"/>
                  <w:vMerge w:val="restart"/>
                  <w:vAlign w:val="center"/>
                </w:tcPr>
                <w:p w14:paraId="22A71CE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三用两备。生产能力为1.1t/d</w:t>
                  </w:r>
                </w:p>
              </w:tc>
            </w:tr>
            <w:tr w14:paraId="1DA7F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0A3084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14</w:t>
                  </w:r>
                </w:p>
              </w:tc>
              <w:tc>
                <w:tcPr>
                  <w:tcW w:w="599" w:type="dxa"/>
                  <w:vMerge w:val="continue"/>
                  <w:tcBorders>
                    <w:top w:val="nil"/>
                    <w:bottom w:val="nil"/>
                  </w:tcBorders>
                  <w:vAlign w:val="center"/>
                </w:tcPr>
                <w:p w14:paraId="04205D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13376E0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导热油夹层锅</w:t>
                  </w:r>
                </w:p>
              </w:tc>
              <w:tc>
                <w:tcPr>
                  <w:tcW w:w="779" w:type="dxa"/>
                  <w:vAlign w:val="center"/>
                </w:tcPr>
                <w:p w14:paraId="1DE7BB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52FD46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300L导热油方式304不锈钢材质直径 0.8-1.0</w:t>
                  </w:r>
                </w:p>
              </w:tc>
              <w:tc>
                <w:tcPr>
                  <w:tcW w:w="944" w:type="dxa"/>
                  <w:vMerge w:val="continue"/>
                  <w:vAlign w:val="center"/>
                </w:tcPr>
                <w:p w14:paraId="06B72F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p>
              </w:tc>
            </w:tr>
            <w:tr w14:paraId="442C11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7A2F81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w:t>
                  </w:r>
                </w:p>
              </w:tc>
              <w:tc>
                <w:tcPr>
                  <w:tcW w:w="599" w:type="dxa"/>
                  <w:vMerge w:val="continue"/>
                  <w:tcBorders>
                    <w:top w:val="nil"/>
                    <w:bottom w:val="nil"/>
                  </w:tcBorders>
                  <w:vAlign w:val="center"/>
                </w:tcPr>
                <w:p w14:paraId="3175F8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167781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炒蛋锅</w:t>
                  </w:r>
                </w:p>
              </w:tc>
              <w:tc>
                <w:tcPr>
                  <w:tcW w:w="779" w:type="dxa"/>
                  <w:vAlign w:val="center"/>
                </w:tcPr>
                <w:p w14:paraId="359E45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0F78F9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型号DCDG-300,规格1350*1000*1200</w:t>
                  </w:r>
                </w:p>
              </w:tc>
              <w:tc>
                <w:tcPr>
                  <w:tcW w:w="944" w:type="dxa"/>
                  <w:vMerge w:val="continue"/>
                  <w:vAlign w:val="center"/>
                </w:tcPr>
                <w:p w14:paraId="44C686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p>
              </w:tc>
            </w:tr>
            <w:tr w14:paraId="37A7F3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49A57D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w:t>
                  </w:r>
                </w:p>
              </w:tc>
              <w:tc>
                <w:tcPr>
                  <w:tcW w:w="599" w:type="dxa"/>
                  <w:vMerge w:val="continue"/>
                  <w:tcBorders>
                    <w:top w:val="nil"/>
                    <w:bottom w:val="nil"/>
                  </w:tcBorders>
                  <w:vAlign w:val="center"/>
                </w:tcPr>
                <w:p w14:paraId="0354A0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0E1D01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打蛋机</w:t>
                  </w:r>
                </w:p>
              </w:tc>
              <w:tc>
                <w:tcPr>
                  <w:tcW w:w="779" w:type="dxa"/>
                  <w:vAlign w:val="center"/>
                </w:tcPr>
                <w:p w14:paraId="672893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3E812C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型号SM202H  规格550*600*1060</w:t>
                  </w:r>
                </w:p>
              </w:tc>
              <w:tc>
                <w:tcPr>
                  <w:tcW w:w="944" w:type="dxa"/>
                  <w:vAlign w:val="center"/>
                </w:tcPr>
                <w:p w14:paraId="458E3E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生产能力为1.1t/d</w:t>
                  </w:r>
                </w:p>
              </w:tc>
            </w:tr>
            <w:tr w14:paraId="5574C6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4141B0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17</w:t>
                  </w:r>
                </w:p>
              </w:tc>
              <w:tc>
                <w:tcPr>
                  <w:tcW w:w="599" w:type="dxa"/>
                  <w:vMerge w:val="continue"/>
                  <w:tcBorders>
                    <w:top w:val="nil"/>
                  </w:tcBorders>
                  <w:vAlign w:val="center"/>
                </w:tcPr>
                <w:p w14:paraId="5D1E69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F771A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料油桶</w:t>
                  </w:r>
                </w:p>
              </w:tc>
              <w:tc>
                <w:tcPr>
                  <w:tcW w:w="779" w:type="dxa"/>
                  <w:vAlign w:val="center"/>
                </w:tcPr>
                <w:p w14:paraId="3FD46F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3445" w:type="dxa"/>
                  <w:vAlign w:val="center"/>
                </w:tcPr>
                <w:p w14:paraId="52FFA2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加厚304不锈钢带表面防腐涂层带提升带 轮尺寸：650*650*700</w:t>
                  </w:r>
                </w:p>
              </w:tc>
              <w:tc>
                <w:tcPr>
                  <w:tcW w:w="944" w:type="dxa"/>
                  <w:vAlign w:val="center"/>
                </w:tcPr>
                <w:p w14:paraId="542DCF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455E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4" w:type="dxa"/>
                  <w:vAlign w:val="center"/>
                </w:tcPr>
                <w:p w14:paraId="2F6803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18</w:t>
                  </w:r>
                </w:p>
              </w:tc>
              <w:tc>
                <w:tcPr>
                  <w:tcW w:w="599" w:type="dxa"/>
                  <w:vMerge w:val="restart"/>
                  <w:vAlign w:val="center"/>
                </w:tcPr>
                <w:p w14:paraId="32903B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拌馅</w:t>
                  </w:r>
                </w:p>
                <w:p w14:paraId="67D42E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3138AB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搅拌机</w:t>
                  </w:r>
                </w:p>
              </w:tc>
              <w:tc>
                <w:tcPr>
                  <w:tcW w:w="779" w:type="dxa"/>
                  <w:vAlign w:val="center"/>
                </w:tcPr>
                <w:p w14:paraId="61F1B4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7384F9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型号ZW150,规格1450*680*1120</w:t>
                  </w:r>
                </w:p>
              </w:tc>
              <w:tc>
                <w:tcPr>
                  <w:tcW w:w="944" w:type="dxa"/>
                  <w:vAlign w:val="center"/>
                </w:tcPr>
                <w:p w14:paraId="667517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生产能力为1.55t/d</w:t>
                  </w:r>
                </w:p>
              </w:tc>
            </w:tr>
            <w:tr w14:paraId="679F17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414" w:type="dxa"/>
                  <w:vAlign w:val="center"/>
                </w:tcPr>
                <w:p w14:paraId="23DE83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19</w:t>
                  </w:r>
                </w:p>
              </w:tc>
              <w:tc>
                <w:tcPr>
                  <w:tcW w:w="599" w:type="dxa"/>
                  <w:vMerge w:val="continue"/>
                  <w:vAlign w:val="center"/>
                </w:tcPr>
                <w:p w14:paraId="4F08DC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bookmarkStart w:id="6" w:name="bookmark155"/>
                  <w:bookmarkEnd w:id="6"/>
                </w:p>
              </w:tc>
              <w:tc>
                <w:tcPr>
                  <w:tcW w:w="1608" w:type="dxa"/>
                  <w:vAlign w:val="center"/>
                </w:tcPr>
                <w:p w14:paraId="5EE543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移动提升机</w:t>
                  </w:r>
                </w:p>
              </w:tc>
              <w:tc>
                <w:tcPr>
                  <w:tcW w:w="779" w:type="dxa"/>
                  <w:vAlign w:val="center"/>
                </w:tcPr>
                <w:p w14:paraId="55802E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67BA3E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型号YT-200规格1120*1130*2700</w:t>
                  </w:r>
                </w:p>
              </w:tc>
              <w:tc>
                <w:tcPr>
                  <w:tcW w:w="944" w:type="dxa"/>
                  <w:vAlign w:val="center"/>
                </w:tcPr>
                <w:p w14:paraId="18D9D5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2DEF6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414" w:type="dxa"/>
                  <w:vAlign w:val="center"/>
                </w:tcPr>
                <w:p w14:paraId="042DF6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599" w:type="dxa"/>
                  <w:vMerge w:val="restart"/>
                  <w:tcBorders>
                    <w:bottom w:val="nil"/>
                  </w:tcBorders>
                  <w:vAlign w:val="center"/>
                </w:tcPr>
                <w:p w14:paraId="23BBB0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100BD8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和面</w:t>
                  </w:r>
                </w:p>
                <w:p w14:paraId="74B9C9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6664C3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真空和面机(自</w:t>
                  </w:r>
                </w:p>
                <w:p w14:paraId="76A54D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动加水、面)</w:t>
                  </w:r>
                </w:p>
              </w:tc>
              <w:tc>
                <w:tcPr>
                  <w:tcW w:w="779" w:type="dxa"/>
                  <w:vAlign w:val="center"/>
                </w:tcPr>
                <w:p w14:paraId="277DF3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757E4C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型号ZKHM-150,1340*920*1375</w:t>
                  </w:r>
                </w:p>
              </w:tc>
              <w:tc>
                <w:tcPr>
                  <w:tcW w:w="944" w:type="dxa"/>
                  <w:vAlign w:val="center"/>
                </w:tcPr>
                <w:p w14:paraId="08DC05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生产能力为1.5t/d</w:t>
                  </w:r>
                </w:p>
              </w:tc>
            </w:tr>
            <w:tr w14:paraId="5D8E56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14" w:type="dxa"/>
                  <w:vAlign w:val="center"/>
                </w:tcPr>
                <w:p w14:paraId="6E2066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21</w:t>
                  </w:r>
                </w:p>
              </w:tc>
              <w:tc>
                <w:tcPr>
                  <w:tcW w:w="599" w:type="dxa"/>
                  <w:vMerge w:val="continue"/>
                  <w:tcBorders>
                    <w:top w:val="nil"/>
                  </w:tcBorders>
                  <w:vAlign w:val="center"/>
                </w:tcPr>
                <w:p w14:paraId="1C8A64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384833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上翻式压面机</w:t>
                  </w:r>
                </w:p>
              </w:tc>
              <w:tc>
                <w:tcPr>
                  <w:tcW w:w="779" w:type="dxa"/>
                  <w:vAlign w:val="center"/>
                </w:tcPr>
                <w:p w14:paraId="637CAC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47576E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型号ZRM500II规格1420*860*1100</w:t>
                  </w:r>
                </w:p>
              </w:tc>
              <w:tc>
                <w:tcPr>
                  <w:tcW w:w="944" w:type="dxa"/>
                  <w:vAlign w:val="center"/>
                </w:tcPr>
                <w:p w14:paraId="5AA5D8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生产能力为1.5t/d</w:t>
                  </w:r>
                </w:p>
              </w:tc>
            </w:tr>
            <w:tr w14:paraId="66E879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jc w:val="center"/>
              </w:trPr>
              <w:tc>
                <w:tcPr>
                  <w:tcW w:w="414" w:type="dxa"/>
                  <w:vAlign w:val="center"/>
                </w:tcPr>
                <w:p w14:paraId="3DA9F5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22</w:t>
                  </w:r>
                </w:p>
              </w:tc>
              <w:tc>
                <w:tcPr>
                  <w:tcW w:w="599" w:type="dxa"/>
                  <w:vMerge w:val="restart"/>
                  <w:tcBorders>
                    <w:bottom w:val="nil"/>
                  </w:tcBorders>
                  <w:vAlign w:val="center"/>
                </w:tcPr>
                <w:p w14:paraId="52CC88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20D6BF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成型</w:t>
                  </w:r>
                </w:p>
                <w:p w14:paraId="6C5AB9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4BF61E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水饺机</w:t>
                  </w:r>
                </w:p>
              </w:tc>
              <w:tc>
                <w:tcPr>
                  <w:tcW w:w="779" w:type="dxa"/>
                  <w:vAlign w:val="center"/>
                </w:tcPr>
                <w:p w14:paraId="0388F4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0E14FC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型号GSJ-1000规格1700*1000*1500</w:t>
                  </w:r>
                </w:p>
              </w:tc>
              <w:tc>
                <w:tcPr>
                  <w:tcW w:w="944" w:type="dxa"/>
                  <w:vMerge w:val="restart"/>
                  <w:vAlign w:val="center"/>
                </w:tcPr>
                <w:p w14:paraId="561C7B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eastAsia="zh-CN"/>
                    </w:rPr>
                    <w:t>两用两备</w:t>
                  </w:r>
                  <w:r>
                    <w:rPr>
                      <w:rFonts w:hint="default" w:ascii="Times New Roman" w:hAnsi="Times New Roman" w:eastAsia="宋体" w:cs="Times New Roman"/>
                      <w:color w:val="FF0000"/>
                      <w:sz w:val="21"/>
                      <w:szCs w:val="21"/>
                      <w:highlight w:val="none"/>
                      <w:lang w:val="en-US" w:eastAsia="zh-CN"/>
                    </w:rPr>
                    <w:t>。生产能力为3t/d</w:t>
                  </w:r>
                </w:p>
              </w:tc>
            </w:tr>
            <w:tr w14:paraId="0E56E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9" w:hRule="atLeast"/>
                <w:jc w:val="center"/>
              </w:trPr>
              <w:tc>
                <w:tcPr>
                  <w:tcW w:w="414" w:type="dxa"/>
                  <w:vAlign w:val="center"/>
                </w:tcPr>
                <w:p w14:paraId="2BA4B3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23</w:t>
                  </w:r>
                </w:p>
              </w:tc>
              <w:tc>
                <w:tcPr>
                  <w:tcW w:w="599" w:type="dxa"/>
                  <w:vMerge w:val="continue"/>
                  <w:tcBorders>
                    <w:top w:val="nil"/>
                    <w:bottom w:val="nil"/>
                  </w:tcBorders>
                  <w:vAlign w:val="center"/>
                </w:tcPr>
                <w:p w14:paraId="270289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441BA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馄饨机</w:t>
                  </w:r>
                </w:p>
              </w:tc>
              <w:tc>
                <w:tcPr>
                  <w:tcW w:w="779" w:type="dxa"/>
                  <w:vAlign w:val="center"/>
                </w:tcPr>
                <w:p w14:paraId="627A86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B1CFF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型号G3H/J3H尺寸2900*1700*1800</w:t>
                  </w:r>
                </w:p>
              </w:tc>
              <w:tc>
                <w:tcPr>
                  <w:tcW w:w="944" w:type="dxa"/>
                  <w:vMerge w:val="continue"/>
                  <w:vAlign w:val="center"/>
                </w:tcPr>
                <w:p w14:paraId="054474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9202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414" w:type="dxa"/>
                  <w:vAlign w:val="center"/>
                </w:tcPr>
                <w:p w14:paraId="75E1C1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w:t>
                  </w:r>
                </w:p>
              </w:tc>
              <w:tc>
                <w:tcPr>
                  <w:tcW w:w="599" w:type="dxa"/>
                  <w:vMerge w:val="continue"/>
                  <w:tcBorders>
                    <w:top w:val="nil"/>
                    <w:bottom w:val="nil"/>
                  </w:tcBorders>
                  <w:vAlign w:val="center"/>
                </w:tcPr>
                <w:p w14:paraId="027B46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5EB352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切皮注馅机</w:t>
                  </w:r>
                </w:p>
              </w:tc>
              <w:tc>
                <w:tcPr>
                  <w:tcW w:w="779" w:type="dxa"/>
                  <w:vAlign w:val="center"/>
                </w:tcPr>
                <w:p w14:paraId="537C0E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116A2E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型号PX3规格2900*1700*1800</w:t>
                  </w:r>
                </w:p>
              </w:tc>
              <w:tc>
                <w:tcPr>
                  <w:tcW w:w="944" w:type="dxa"/>
                  <w:vMerge w:val="continue"/>
                  <w:vAlign w:val="center"/>
                </w:tcPr>
                <w:p w14:paraId="2689E1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D31C6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674E0D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25</w:t>
                  </w:r>
                </w:p>
              </w:tc>
              <w:tc>
                <w:tcPr>
                  <w:tcW w:w="599" w:type="dxa"/>
                  <w:vMerge w:val="continue"/>
                  <w:tcBorders>
                    <w:top w:val="nil"/>
                  </w:tcBorders>
                  <w:vAlign w:val="center"/>
                </w:tcPr>
                <w:p w14:paraId="019095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D25BF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成品输送带</w:t>
                  </w:r>
                </w:p>
              </w:tc>
              <w:tc>
                <w:tcPr>
                  <w:tcW w:w="779" w:type="dxa"/>
                  <w:vAlign w:val="center"/>
                </w:tcPr>
                <w:p w14:paraId="60247E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3445" w:type="dxa"/>
                  <w:vAlign w:val="center"/>
                </w:tcPr>
                <w:p w14:paraId="40D734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订制</w:t>
                  </w:r>
                </w:p>
              </w:tc>
              <w:tc>
                <w:tcPr>
                  <w:tcW w:w="944" w:type="dxa"/>
                  <w:vAlign w:val="center"/>
                </w:tcPr>
                <w:p w14:paraId="1CBC86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7B793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9" w:hRule="atLeast"/>
                <w:jc w:val="center"/>
              </w:trPr>
              <w:tc>
                <w:tcPr>
                  <w:tcW w:w="414" w:type="dxa"/>
                  <w:vAlign w:val="center"/>
                </w:tcPr>
                <w:p w14:paraId="0C3AA7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74F560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26</w:t>
                  </w:r>
                </w:p>
              </w:tc>
              <w:tc>
                <w:tcPr>
                  <w:tcW w:w="599" w:type="dxa"/>
                  <w:vMerge w:val="restart"/>
                  <w:tcBorders>
                    <w:bottom w:val="nil"/>
                  </w:tcBorders>
                  <w:vAlign w:val="center"/>
                </w:tcPr>
                <w:p w14:paraId="037448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43C4E7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16A0E8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包装</w:t>
                  </w:r>
                </w:p>
                <w:p w14:paraId="17F9E5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w:t>
                  </w:r>
                </w:p>
              </w:tc>
              <w:tc>
                <w:tcPr>
                  <w:tcW w:w="1608" w:type="dxa"/>
                  <w:vAlign w:val="center"/>
                </w:tcPr>
                <w:p w14:paraId="517EEF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自动称重包装机</w:t>
                  </w:r>
                </w:p>
              </w:tc>
              <w:tc>
                <w:tcPr>
                  <w:tcW w:w="779" w:type="dxa"/>
                  <w:vAlign w:val="center"/>
                </w:tcPr>
                <w:p w14:paraId="5EC1D9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4FBE5E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35BE6C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520倾斜+防潮10头电脑组合称 全304</w:t>
                  </w:r>
                </w:p>
                <w:p w14:paraId="0ED3F15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6KW/220V/330V 50/60HZ  尺寸</w:t>
                  </w:r>
                </w:p>
                <w:p w14:paraId="520496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6200*3400*3100</w:t>
                  </w:r>
                </w:p>
              </w:tc>
              <w:tc>
                <w:tcPr>
                  <w:tcW w:w="944" w:type="dxa"/>
                  <w:vAlign w:val="center"/>
                </w:tcPr>
                <w:p w14:paraId="435163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3DFAD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414" w:type="dxa"/>
                  <w:vAlign w:val="center"/>
                </w:tcPr>
                <w:p w14:paraId="32218F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27</w:t>
                  </w:r>
                </w:p>
              </w:tc>
              <w:tc>
                <w:tcPr>
                  <w:tcW w:w="599" w:type="dxa"/>
                  <w:vMerge w:val="continue"/>
                  <w:tcBorders>
                    <w:top w:val="nil"/>
                    <w:bottom w:val="nil"/>
                  </w:tcBorders>
                  <w:vAlign w:val="center"/>
                </w:tcPr>
                <w:p w14:paraId="58E3F3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07417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枕式包装机</w:t>
                  </w:r>
                </w:p>
              </w:tc>
              <w:tc>
                <w:tcPr>
                  <w:tcW w:w="779" w:type="dxa"/>
                  <w:vAlign w:val="center"/>
                </w:tcPr>
                <w:p w14:paraId="60FC48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7AE591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往复式全伺候包装，全304不锈钢机器尺 寸4380*970*1450</w:t>
                  </w:r>
                </w:p>
              </w:tc>
              <w:tc>
                <w:tcPr>
                  <w:tcW w:w="944" w:type="dxa"/>
                  <w:vAlign w:val="center"/>
                </w:tcPr>
                <w:p w14:paraId="4E76D6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生产能力为3t/d</w:t>
                  </w:r>
                </w:p>
              </w:tc>
            </w:tr>
            <w:tr w14:paraId="187E9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2E3DC5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28</w:t>
                  </w:r>
                </w:p>
              </w:tc>
              <w:tc>
                <w:tcPr>
                  <w:tcW w:w="599" w:type="dxa"/>
                  <w:vMerge w:val="continue"/>
                  <w:tcBorders>
                    <w:top w:val="nil"/>
                  </w:tcBorders>
                  <w:vAlign w:val="center"/>
                </w:tcPr>
                <w:p w14:paraId="25E709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6ADEE9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金属探测仪</w:t>
                  </w:r>
                </w:p>
              </w:tc>
              <w:tc>
                <w:tcPr>
                  <w:tcW w:w="779" w:type="dxa"/>
                  <w:vAlign w:val="center"/>
                </w:tcPr>
                <w:p w14:paraId="5E48D4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1C961E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GJ-2金属探测用于速冻食品，灵敏度0.8</w:t>
                  </w:r>
                </w:p>
              </w:tc>
              <w:tc>
                <w:tcPr>
                  <w:tcW w:w="944" w:type="dxa"/>
                  <w:vAlign w:val="center"/>
                </w:tcPr>
                <w:p w14:paraId="0E11ED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59C2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4C66AD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29</w:t>
                  </w:r>
                </w:p>
              </w:tc>
              <w:tc>
                <w:tcPr>
                  <w:tcW w:w="599" w:type="dxa"/>
                  <w:vMerge w:val="restart"/>
                  <w:vAlign w:val="center"/>
                </w:tcPr>
                <w:p w14:paraId="149D77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05D8E9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2B2279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5FF0FD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471975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2BDDF8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5EECBB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其他 配套 设备 设施</w:t>
                  </w:r>
                </w:p>
              </w:tc>
              <w:tc>
                <w:tcPr>
                  <w:tcW w:w="1608" w:type="dxa"/>
                  <w:vAlign w:val="center"/>
                </w:tcPr>
                <w:p w14:paraId="6AA724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车间制冷恒温</w:t>
                  </w:r>
                </w:p>
              </w:tc>
              <w:tc>
                <w:tcPr>
                  <w:tcW w:w="779" w:type="dxa"/>
                  <w:vAlign w:val="center"/>
                </w:tcPr>
                <w:p w14:paraId="5BEAFE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305FCB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15p恒温</w:t>
                  </w:r>
                </w:p>
              </w:tc>
              <w:tc>
                <w:tcPr>
                  <w:tcW w:w="944" w:type="dxa"/>
                  <w:vAlign w:val="center"/>
                </w:tcPr>
                <w:p w14:paraId="107133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0AC9B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0" w:hRule="atLeast"/>
                <w:jc w:val="center"/>
              </w:trPr>
              <w:tc>
                <w:tcPr>
                  <w:tcW w:w="414" w:type="dxa"/>
                  <w:vAlign w:val="center"/>
                </w:tcPr>
                <w:p w14:paraId="1C903F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599" w:type="dxa"/>
                  <w:vMerge w:val="continue"/>
                  <w:vAlign w:val="center"/>
                </w:tcPr>
                <w:p w14:paraId="404800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50A8A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电加热锅炉</w:t>
                  </w:r>
                </w:p>
              </w:tc>
              <w:tc>
                <w:tcPr>
                  <w:tcW w:w="779" w:type="dxa"/>
                  <w:vAlign w:val="center"/>
                </w:tcPr>
                <w:p w14:paraId="1148CB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3956DE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功率90-110kw。电压0.3Mpa供暖面积 1500平方米尺寸1050*1510*900</w:t>
                  </w:r>
                </w:p>
              </w:tc>
              <w:tc>
                <w:tcPr>
                  <w:tcW w:w="944" w:type="dxa"/>
                  <w:vAlign w:val="center"/>
                </w:tcPr>
                <w:p w14:paraId="4768D3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1DD7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5EFB9D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599" w:type="dxa"/>
                  <w:vMerge w:val="continue"/>
                  <w:vAlign w:val="center"/>
                </w:tcPr>
                <w:p w14:paraId="728E6F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3845AA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空气压缩机</w:t>
                  </w:r>
                </w:p>
              </w:tc>
              <w:tc>
                <w:tcPr>
                  <w:tcW w:w="779" w:type="dxa"/>
                  <w:vAlign w:val="center"/>
                </w:tcPr>
                <w:p w14:paraId="622B7F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03C723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15kw永磁变频配1立方米储气罐全套</w:t>
                  </w:r>
                </w:p>
              </w:tc>
              <w:tc>
                <w:tcPr>
                  <w:tcW w:w="944" w:type="dxa"/>
                  <w:vAlign w:val="center"/>
                </w:tcPr>
                <w:p w14:paraId="402D50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345C1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741E07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599" w:type="dxa"/>
                  <w:vMerge w:val="continue"/>
                  <w:vAlign w:val="center"/>
                </w:tcPr>
                <w:p w14:paraId="5513CB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DAC57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电动堆高设备</w:t>
                  </w:r>
                </w:p>
              </w:tc>
              <w:tc>
                <w:tcPr>
                  <w:tcW w:w="779" w:type="dxa"/>
                  <w:vAlign w:val="center"/>
                </w:tcPr>
                <w:p w14:paraId="5CAB3B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0259D3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2吨  电动举升2米</w:t>
                  </w:r>
                </w:p>
              </w:tc>
              <w:tc>
                <w:tcPr>
                  <w:tcW w:w="944" w:type="dxa"/>
                  <w:vAlign w:val="center"/>
                </w:tcPr>
                <w:p w14:paraId="766859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ED5A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414" w:type="dxa"/>
                  <w:vAlign w:val="center"/>
                </w:tcPr>
                <w:p w14:paraId="78609F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99" w:type="dxa"/>
                  <w:vMerge w:val="continue"/>
                  <w:vAlign w:val="center"/>
                </w:tcPr>
                <w:p w14:paraId="5A3CB5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12E43E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纯净水设备</w:t>
                  </w:r>
                </w:p>
              </w:tc>
              <w:tc>
                <w:tcPr>
                  <w:tcW w:w="779" w:type="dxa"/>
                  <w:vAlign w:val="center"/>
                </w:tcPr>
                <w:p w14:paraId="26A361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652E3B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1"/>
                      <w:szCs w:val="21"/>
                      <w:highlight w:val="none"/>
                    </w:rPr>
                    <w:t>0.5吨每小时双级反渗透，配2吨纯净水罐和供水系统</w:t>
                  </w:r>
                </w:p>
              </w:tc>
              <w:tc>
                <w:tcPr>
                  <w:tcW w:w="944" w:type="dxa"/>
                  <w:vAlign w:val="center"/>
                </w:tcPr>
                <w:p w14:paraId="638CD3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0B64D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414" w:type="dxa"/>
                  <w:vAlign w:val="center"/>
                </w:tcPr>
                <w:p w14:paraId="29E154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599" w:type="dxa"/>
                  <w:vMerge w:val="continue"/>
                  <w:vAlign w:val="center"/>
                </w:tcPr>
                <w:p w14:paraId="5815D6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F16F5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原水处理设备</w:t>
                  </w:r>
                </w:p>
              </w:tc>
              <w:tc>
                <w:tcPr>
                  <w:tcW w:w="779" w:type="dxa"/>
                  <w:vAlign w:val="center"/>
                </w:tcPr>
                <w:p w14:paraId="63B73A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16FFE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储水量5吨/h</w:t>
                  </w:r>
                </w:p>
              </w:tc>
              <w:tc>
                <w:tcPr>
                  <w:tcW w:w="944" w:type="dxa"/>
                  <w:vAlign w:val="center"/>
                </w:tcPr>
                <w:p w14:paraId="78FB59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4A0C3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7E0CF3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599" w:type="dxa"/>
                  <w:vMerge w:val="continue"/>
                  <w:vAlign w:val="center"/>
                </w:tcPr>
                <w:p w14:paraId="002623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0A9D3F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臭氧发生器</w:t>
                  </w:r>
                </w:p>
              </w:tc>
              <w:tc>
                <w:tcPr>
                  <w:tcW w:w="779" w:type="dxa"/>
                  <w:vAlign w:val="center"/>
                </w:tcPr>
                <w:p w14:paraId="0939321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6ED662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120克臭氧，车间内浓度5ppm</w:t>
                  </w:r>
                </w:p>
              </w:tc>
              <w:tc>
                <w:tcPr>
                  <w:tcW w:w="944" w:type="dxa"/>
                  <w:vAlign w:val="center"/>
                </w:tcPr>
                <w:p w14:paraId="251F80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48047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414" w:type="dxa"/>
                  <w:vAlign w:val="center"/>
                </w:tcPr>
                <w:p w14:paraId="16DF2E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599" w:type="dxa"/>
                  <w:vMerge w:val="continue"/>
                  <w:vAlign w:val="center"/>
                </w:tcPr>
                <w:p w14:paraId="160894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C4A16D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成品托盘</w:t>
                  </w:r>
                </w:p>
              </w:tc>
              <w:tc>
                <w:tcPr>
                  <w:tcW w:w="779" w:type="dxa"/>
                  <w:vAlign w:val="center"/>
                </w:tcPr>
                <w:p w14:paraId="2BFFBF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300</w:t>
                  </w:r>
                </w:p>
              </w:tc>
              <w:tc>
                <w:tcPr>
                  <w:tcW w:w="3445" w:type="dxa"/>
                  <w:vAlign w:val="center"/>
                </w:tcPr>
                <w:p w14:paraId="64160C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304不锈钢带孔，500*600*10</w:t>
                  </w:r>
                </w:p>
              </w:tc>
              <w:tc>
                <w:tcPr>
                  <w:tcW w:w="944" w:type="dxa"/>
                  <w:vAlign w:val="center"/>
                </w:tcPr>
                <w:p w14:paraId="35FE74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FEF2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414" w:type="dxa"/>
                  <w:vAlign w:val="center"/>
                </w:tcPr>
                <w:p w14:paraId="5D74CB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599" w:type="dxa"/>
                  <w:vMerge w:val="continue"/>
                  <w:vAlign w:val="center"/>
                </w:tcPr>
                <w:p w14:paraId="577A20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3B2202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馅料转运推车</w:t>
                  </w:r>
                </w:p>
              </w:tc>
              <w:tc>
                <w:tcPr>
                  <w:tcW w:w="779" w:type="dxa"/>
                  <w:vAlign w:val="center"/>
                </w:tcPr>
                <w:p w14:paraId="559384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w:t>
                  </w:r>
                </w:p>
              </w:tc>
              <w:tc>
                <w:tcPr>
                  <w:tcW w:w="3445" w:type="dxa"/>
                  <w:vAlign w:val="center"/>
                </w:tcPr>
                <w:p w14:paraId="40A05F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200升加厚304不锈钢带表面防腐涂层带 提升尺寸：800*700*700</w:t>
                  </w:r>
                </w:p>
              </w:tc>
              <w:tc>
                <w:tcPr>
                  <w:tcW w:w="944" w:type="dxa"/>
                  <w:vAlign w:val="center"/>
                </w:tcPr>
                <w:p w14:paraId="7E719A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3EE24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14" w:type="dxa"/>
                  <w:vAlign w:val="center"/>
                </w:tcPr>
                <w:p w14:paraId="7D4001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c>
                <w:tcPr>
                  <w:tcW w:w="599" w:type="dxa"/>
                  <w:vMerge w:val="continue"/>
                  <w:vAlign w:val="center"/>
                </w:tcPr>
                <w:p w14:paraId="60C8C5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6EBEC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冷藏运输车4.2</w:t>
                  </w:r>
                </w:p>
              </w:tc>
              <w:tc>
                <w:tcPr>
                  <w:tcW w:w="779" w:type="dxa"/>
                  <w:vAlign w:val="center"/>
                </w:tcPr>
                <w:p w14:paraId="74930B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4B6E5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欧曼4.2米冷藏底盘  BJ5048XLC-FM3 -18摄氏度冷藏</w:t>
                  </w:r>
                </w:p>
              </w:tc>
              <w:tc>
                <w:tcPr>
                  <w:tcW w:w="944" w:type="dxa"/>
                  <w:vAlign w:val="center"/>
                </w:tcPr>
                <w:p w14:paraId="195BC2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BD86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414" w:type="dxa"/>
                  <w:vAlign w:val="center"/>
                </w:tcPr>
                <w:p w14:paraId="4E5A94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c>
                <w:tcPr>
                  <w:tcW w:w="599" w:type="dxa"/>
                  <w:vMerge w:val="continue"/>
                  <w:vAlign w:val="center"/>
                </w:tcPr>
                <w:p w14:paraId="1170D0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566276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冷藏运输车9.6</w:t>
                  </w:r>
                </w:p>
              </w:tc>
              <w:tc>
                <w:tcPr>
                  <w:tcW w:w="779" w:type="dxa"/>
                  <w:vAlign w:val="center"/>
                </w:tcPr>
                <w:p w14:paraId="7107C8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1149E3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欧曼9.6米冷藏底盘BJ5186XLC-4K-18 摄氏度冷藏</w:t>
                  </w:r>
                </w:p>
              </w:tc>
              <w:tc>
                <w:tcPr>
                  <w:tcW w:w="944" w:type="dxa"/>
                  <w:vAlign w:val="center"/>
                </w:tcPr>
                <w:p w14:paraId="3E8AA7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114E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414" w:type="dxa"/>
                  <w:vAlign w:val="center"/>
                </w:tcPr>
                <w:p w14:paraId="3BDA52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599" w:type="dxa"/>
                  <w:vMerge w:val="continue"/>
                  <w:vAlign w:val="center"/>
                </w:tcPr>
                <w:p w14:paraId="5C88B4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7D33B3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蔬菜筐</w:t>
                  </w:r>
                </w:p>
              </w:tc>
              <w:tc>
                <w:tcPr>
                  <w:tcW w:w="779" w:type="dxa"/>
                  <w:vAlign w:val="center"/>
                </w:tcPr>
                <w:p w14:paraId="75B081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w:t>
                  </w:r>
                </w:p>
              </w:tc>
              <w:tc>
                <w:tcPr>
                  <w:tcW w:w="3445" w:type="dxa"/>
                  <w:vAlign w:val="center"/>
                </w:tcPr>
                <w:p w14:paraId="71693B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食品级材质 尺寸88*61*52cm</w:t>
                  </w:r>
                </w:p>
              </w:tc>
              <w:tc>
                <w:tcPr>
                  <w:tcW w:w="944" w:type="dxa"/>
                  <w:vAlign w:val="center"/>
                </w:tcPr>
                <w:p w14:paraId="2EC5CB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26A3B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414" w:type="dxa"/>
                  <w:vAlign w:val="center"/>
                </w:tcPr>
                <w:p w14:paraId="75A074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599" w:type="dxa"/>
                  <w:vMerge w:val="continue"/>
                  <w:vAlign w:val="center"/>
                </w:tcPr>
                <w:p w14:paraId="5DB1B1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1D8174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操作台</w:t>
                  </w:r>
                </w:p>
              </w:tc>
              <w:tc>
                <w:tcPr>
                  <w:tcW w:w="779" w:type="dxa"/>
                  <w:vAlign w:val="center"/>
                </w:tcPr>
                <w:p w14:paraId="1979C7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3445" w:type="dxa"/>
                  <w:vAlign w:val="center"/>
                </w:tcPr>
                <w:p w14:paraId="7B429E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2500*1300*750  304不锈钢双层加厚 1.0</w:t>
                  </w:r>
                </w:p>
              </w:tc>
              <w:tc>
                <w:tcPr>
                  <w:tcW w:w="944" w:type="dxa"/>
                  <w:vAlign w:val="center"/>
                </w:tcPr>
                <w:p w14:paraId="41C409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8984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414" w:type="dxa"/>
                  <w:vAlign w:val="center"/>
                </w:tcPr>
                <w:p w14:paraId="727DEF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599" w:type="dxa"/>
                  <w:vMerge w:val="continue"/>
                  <w:vAlign w:val="center"/>
                </w:tcPr>
                <w:p w14:paraId="7CA700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46F2D9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检验化验室设备</w:t>
                  </w:r>
                </w:p>
              </w:tc>
              <w:tc>
                <w:tcPr>
                  <w:tcW w:w="779" w:type="dxa"/>
                  <w:vAlign w:val="center"/>
                </w:tcPr>
                <w:p w14:paraId="725A6A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1套</w:t>
                  </w:r>
                </w:p>
              </w:tc>
              <w:tc>
                <w:tcPr>
                  <w:tcW w:w="3445" w:type="dxa"/>
                  <w:vAlign w:val="center"/>
                </w:tcPr>
                <w:p w14:paraId="3CB9D2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食品实验室设备包括农残检测</w:t>
                  </w:r>
                </w:p>
              </w:tc>
              <w:tc>
                <w:tcPr>
                  <w:tcW w:w="944" w:type="dxa"/>
                  <w:vAlign w:val="center"/>
                </w:tcPr>
                <w:p w14:paraId="095E04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BC0AA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414" w:type="dxa"/>
                  <w:vAlign w:val="center"/>
                </w:tcPr>
                <w:p w14:paraId="1754A7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99" w:type="dxa"/>
                  <w:vMerge w:val="continue"/>
                  <w:vAlign w:val="center"/>
                </w:tcPr>
                <w:p w14:paraId="631CF5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20D6B6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地牛</w:t>
                  </w:r>
                </w:p>
              </w:tc>
              <w:tc>
                <w:tcPr>
                  <w:tcW w:w="779" w:type="dxa"/>
                  <w:vAlign w:val="center"/>
                </w:tcPr>
                <w:p w14:paraId="2D5A1D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3445" w:type="dxa"/>
                  <w:vAlign w:val="center"/>
                </w:tcPr>
                <w:p w14:paraId="7F8A25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EPT20-20ETH冷库专用</w:t>
                  </w:r>
                </w:p>
              </w:tc>
              <w:tc>
                <w:tcPr>
                  <w:tcW w:w="944" w:type="dxa"/>
                  <w:vAlign w:val="center"/>
                </w:tcPr>
                <w:p w14:paraId="2A65A6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2E2F3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414" w:type="dxa"/>
                  <w:vAlign w:val="center"/>
                </w:tcPr>
                <w:p w14:paraId="6FFFD3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599" w:type="dxa"/>
                  <w:vMerge w:val="continue"/>
                  <w:vAlign w:val="center"/>
                </w:tcPr>
                <w:p w14:paraId="63E8E2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1E9BEC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备用水箱供水泵</w:t>
                  </w:r>
                </w:p>
              </w:tc>
              <w:tc>
                <w:tcPr>
                  <w:tcW w:w="779" w:type="dxa"/>
                  <w:vAlign w:val="center"/>
                </w:tcPr>
                <w:p w14:paraId="0339FE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281FC8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15吨不锈钢水箱304</w:t>
                  </w:r>
                </w:p>
              </w:tc>
              <w:tc>
                <w:tcPr>
                  <w:tcW w:w="944" w:type="dxa"/>
                  <w:vAlign w:val="center"/>
                </w:tcPr>
                <w:p w14:paraId="16E193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1F4AF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jc w:val="center"/>
              </w:trPr>
              <w:tc>
                <w:tcPr>
                  <w:tcW w:w="414" w:type="dxa"/>
                  <w:vAlign w:val="center"/>
                </w:tcPr>
                <w:p w14:paraId="2835EB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599" w:type="dxa"/>
                  <w:vMerge w:val="continue"/>
                  <w:vAlign w:val="center"/>
                </w:tcPr>
                <w:p w14:paraId="2C58CA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367C0C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风淋机</w:t>
                  </w:r>
                </w:p>
              </w:tc>
              <w:tc>
                <w:tcPr>
                  <w:tcW w:w="779" w:type="dxa"/>
                  <w:vAlign w:val="center"/>
                </w:tcPr>
                <w:p w14:paraId="1935DD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3AD534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双人双吹感应全304不锈钢尺寸； 1400*1600*2100</w:t>
                  </w:r>
                </w:p>
              </w:tc>
              <w:tc>
                <w:tcPr>
                  <w:tcW w:w="944" w:type="dxa"/>
                  <w:vAlign w:val="center"/>
                </w:tcPr>
                <w:p w14:paraId="455BEB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50AC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jc w:val="center"/>
              </w:trPr>
              <w:tc>
                <w:tcPr>
                  <w:tcW w:w="414" w:type="dxa"/>
                  <w:vAlign w:val="center"/>
                </w:tcPr>
                <w:p w14:paraId="3D92BC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599" w:type="dxa"/>
                  <w:vMerge w:val="continue"/>
                  <w:vAlign w:val="center"/>
                </w:tcPr>
                <w:p w14:paraId="208282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0968F7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消毒池</w:t>
                  </w:r>
                </w:p>
              </w:tc>
              <w:tc>
                <w:tcPr>
                  <w:tcW w:w="779" w:type="dxa"/>
                  <w:vAlign w:val="center"/>
                </w:tcPr>
                <w:p w14:paraId="25C438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3445" w:type="dxa"/>
                  <w:vAlign w:val="center"/>
                </w:tcPr>
                <w:p w14:paraId="57AB82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自动感应全304不锈钢，尺寸： 4000*600*800</w:t>
                  </w:r>
                </w:p>
              </w:tc>
              <w:tc>
                <w:tcPr>
                  <w:tcW w:w="944" w:type="dxa"/>
                  <w:vAlign w:val="center"/>
                </w:tcPr>
                <w:p w14:paraId="11763A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D981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414" w:type="dxa"/>
                  <w:vAlign w:val="center"/>
                </w:tcPr>
                <w:p w14:paraId="2B6BAC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599" w:type="dxa"/>
                  <w:vMerge w:val="continue"/>
                  <w:vAlign w:val="center"/>
                </w:tcPr>
                <w:p w14:paraId="327C76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6A4953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电子称重台</w:t>
                  </w:r>
                </w:p>
              </w:tc>
              <w:tc>
                <w:tcPr>
                  <w:tcW w:w="779" w:type="dxa"/>
                  <w:vAlign w:val="center"/>
                </w:tcPr>
                <w:p w14:paraId="5DA79A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3445" w:type="dxa"/>
                  <w:vAlign w:val="center"/>
                </w:tcPr>
                <w:p w14:paraId="03980E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15kg精密度0.01克独立显示屏低温工 作</w:t>
                  </w:r>
                </w:p>
              </w:tc>
              <w:tc>
                <w:tcPr>
                  <w:tcW w:w="944" w:type="dxa"/>
                  <w:vAlign w:val="center"/>
                </w:tcPr>
                <w:p w14:paraId="1FCA43B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30B8E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414" w:type="dxa"/>
                  <w:vAlign w:val="center"/>
                </w:tcPr>
                <w:p w14:paraId="06194D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48</w:t>
                  </w:r>
                </w:p>
              </w:tc>
              <w:tc>
                <w:tcPr>
                  <w:tcW w:w="599" w:type="dxa"/>
                  <w:vMerge w:val="continue"/>
                  <w:vAlign w:val="center"/>
                </w:tcPr>
                <w:p w14:paraId="63B250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09F10A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油烟净化器</w:t>
                  </w:r>
                </w:p>
              </w:tc>
              <w:tc>
                <w:tcPr>
                  <w:tcW w:w="779" w:type="dxa"/>
                  <w:vAlign w:val="center"/>
                </w:tcPr>
                <w:p w14:paraId="33629F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5（套）</w:t>
                  </w:r>
                </w:p>
              </w:tc>
              <w:tc>
                <w:tcPr>
                  <w:tcW w:w="3445" w:type="dxa"/>
                  <w:vAlign w:val="center"/>
                </w:tcPr>
                <w:p w14:paraId="0F71F3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w:t>
                  </w:r>
                </w:p>
              </w:tc>
              <w:tc>
                <w:tcPr>
                  <w:tcW w:w="944" w:type="dxa"/>
                  <w:vAlign w:val="center"/>
                </w:tcPr>
                <w:p w14:paraId="07A9F1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p>
              </w:tc>
            </w:tr>
            <w:tr w14:paraId="1C7EB7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414" w:type="dxa"/>
                  <w:vAlign w:val="center"/>
                </w:tcPr>
                <w:p w14:paraId="3F74C7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599" w:type="dxa"/>
                  <w:vMerge w:val="continue"/>
                  <w:vAlign w:val="center"/>
                </w:tcPr>
                <w:p w14:paraId="467B79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08" w:type="dxa"/>
                  <w:vAlign w:val="center"/>
                </w:tcPr>
                <w:p w14:paraId="008267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污水处理站</w:t>
                  </w:r>
                </w:p>
              </w:tc>
              <w:tc>
                <w:tcPr>
                  <w:tcW w:w="779" w:type="dxa"/>
                  <w:vAlign w:val="center"/>
                </w:tcPr>
                <w:p w14:paraId="54AA3B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1（座）</w:t>
                  </w:r>
                </w:p>
              </w:tc>
              <w:tc>
                <w:tcPr>
                  <w:tcW w:w="3445" w:type="dxa"/>
                  <w:vAlign w:val="center"/>
                </w:tcPr>
                <w:p w14:paraId="44EDE2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w:t>
                  </w:r>
                </w:p>
              </w:tc>
              <w:tc>
                <w:tcPr>
                  <w:tcW w:w="944" w:type="dxa"/>
                  <w:vAlign w:val="center"/>
                </w:tcPr>
                <w:p w14:paraId="529E66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处理规模</w:t>
                  </w:r>
                  <w:r>
                    <w:rPr>
                      <w:rFonts w:hint="default" w:ascii="Times New Roman" w:hAnsi="Times New Roman" w:eastAsia="宋体" w:cs="Times New Roman"/>
                      <w:color w:val="FF0000"/>
                      <w:sz w:val="21"/>
                      <w:szCs w:val="21"/>
                      <w:highlight w:val="none"/>
                      <w:lang w:val="en-US" w:eastAsia="zh-CN"/>
                    </w:rPr>
                    <w:t>15</w:t>
                  </w:r>
                  <w:r>
                    <w:rPr>
                      <w:rFonts w:hint="default" w:ascii="Times New Roman" w:hAnsi="Times New Roman" w:eastAsia="宋体" w:cs="Times New Roman"/>
                      <w:color w:val="FF0000"/>
                      <w:sz w:val="21"/>
                      <w:szCs w:val="21"/>
                      <w:highlight w:val="none"/>
                      <w:lang w:eastAsia="zh-CN"/>
                    </w:rPr>
                    <w:t>m</w:t>
                  </w:r>
                  <w:r>
                    <w:rPr>
                      <w:rFonts w:hint="default" w:ascii="Times New Roman" w:hAnsi="Times New Roman" w:eastAsia="宋体" w:cs="Times New Roman"/>
                      <w:color w:val="FF0000"/>
                      <w:sz w:val="21"/>
                      <w:szCs w:val="21"/>
                      <w:highlight w:val="none"/>
                      <w:vertAlign w:val="superscript"/>
                      <w:lang w:eastAsia="zh-CN"/>
                    </w:rPr>
                    <w:t>3</w:t>
                  </w:r>
                  <w:r>
                    <w:rPr>
                      <w:rFonts w:hint="default" w:ascii="Times New Roman" w:hAnsi="Times New Roman" w:eastAsia="宋体" w:cs="Times New Roman"/>
                      <w:color w:val="FF0000"/>
                      <w:sz w:val="21"/>
                      <w:szCs w:val="21"/>
                      <w:highlight w:val="none"/>
                      <w:lang w:eastAsia="zh-CN"/>
                    </w:rPr>
                    <w:t>/d</w:t>
                  </w:r>
                </w:p>
              </w:tc>
            </w:tr>
          </w:tbl>
          <w:p w14:paraId="189BA4EC">
            <w:pPr>
              <w:keepNext w:val="0"/>
              <w:keepLines w:val="0"/>
              <w:widowControl/>
              <w:suppressLineNumbers w:val="0"/>
              <w:adjustRightInd w:val="0"/>
              <w:snapToGrid w:val="0"/>
              <w:spacing w:before="0" w:beforeAutospacing="0" w:after="0" w:afterAutospacing="0"/>
              <w:ind w:left="0" w:right="0" w:firstLine="482" w:firstLineChars="20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p>
          <w:p w14:paraId="73CC4CB8">
            <w:pPr>
              <w:keepNext w:val="0"/>
              <w:keepLines w:val="0"/>
              <w:widowControl/>
              <w:suppressLineNumbers w:val="0"/>
              <w:adjustRightInd w:val="0"/>
              <w:snapToGrid w:val="0"/>
              <w:spacing w:before="0" w:beforeAutospacing="0" w:after="0" w:afterAutospacing="0"/>
              <w:ind w:left="0" w:right="0" w:firstLine="482" w:firstLineChars="20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4、原辅材料情况</w:t>
            </w:r>
          </w:p>
          <w:p w14:paraId="4453F7BE">
            <w:pPr>
              <w:keepNext/>
              <w:keepLines w:val="0"/>
              <w:suppressLineNumbers w:val="0"/>
              <w:spacing w:before="0" w:beforeAutospacing="0" w:after="0" w:afterAutospacing="0"/>
              <w:ind w:left="0" w:right="0"/>
              <w:jc w:val="center"/>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表2-3 本项目原辅材料一览表</w:t>
            </w:r>
          </w:p>
          <w:tbl>
            <w:tblPr>
              <w:tblStyle w:val="1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1"/>
              <w:gridCol w:w="1530"/>
              <w:gridCol w:w="1575"/>
              <w:gridCol w:w="3882"/>
            </w:tblGrid>
            <w:tr w14:paraId="0FF52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510A3C0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序号</w:t>
                  </w:r>
                </w:p>
              </w:tc>
              <w:tc>
                <w:tcPr>
                  <w:tcW w:w="1530" w:type="dxa"/>
                  <w:vAlign w:val="center"/>
                </w:tcPr>
                <w:p w14:paraId="4D86E42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名称</w:t>
                  </w:r>
                </w:p>
              </w:tc>
              <w:tc>
                <w:tcPr>
                  <w:tcW w:w="1575" w:type="dxa"/>
                  <w:tcBorders>
                    <w:bottom w:val="single" w:color="auto" w:sz="4" w:space="0"/>
                  </w:tcBorders>
                  <w:vAlign w:val="center"/>
                </w:tcPr>
                <w:p w14:paraId="7A966F3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年用量</w:t>
                  </w:r>
                </w:p>
              </w:tc>
              <w:tc>
                <w:tcPr>
                  <w:tcW w:w="3882" w:type="dxa"/>
                  <w:tcBorders>
                    <w:bottom w:val="single" w:color="auto" w:sz="4" w:space="0"/>
                  </w:tcBorders>
                  <w:vAlign w:val="center"/>
                </w:tcPr>
                <w:p w14:paraId="77AA619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备注</w:t>
                  </w:r>
                </w:p>
              </w:tc>
            </w:tr>
            <w:tr w14:paraId="3FAC1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374D4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530" w:type="dxa"/>
                  <w:vAlign w:val="center"/>
                </w:tcPr>
                <w:p w14:paraId="489503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面粉</w:t>
                  </w:r>
                </w:p>
              </w:tc>
              <w:tc>
                <w:tcPr>
                  <w:tcW w:w="1575" w:type="dxa"/>
                  <w:vAlign w:val="center"/>
                </w:tcPr>
                <w:p w14:paraId="643387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300t</w:t>
                  </w:r>
                </w:p>
              </w:tc>
              <w:tc>
                <w:tcPr>
                  <w:tcW w:w="3882" w:type="dxa"/>
                  <w:vAlign w:val="center"/>
                </w:tcPr>
                <w:p w14:paraId="65E2EC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外购</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，存放于面粉库。</w:t>
                  </w:r>
                </w:p>
              </w:tc>
            </w:tr>
            <w:tr w14:paraId="19398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E315E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530" w:type="dxa"/>
                  <w:vAlign w:val="center"/>
                </w:tcPr>
                <w:p w14:paraId="28FF95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蔬菜</w:t>
                  </w:r>
                </w:p>
              </w:tc>
              <w:tc>
                <w:tcPr>
                  <w:tcW w:w="1575" w:type="dxa"/>
                  <w:vAlign w:val="center"/>
                </w:tcPr>
                <w:p w14:paraId="613FC4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210t</w:t>
                  </w:r>
                </w:p>
              </w:tc>
              <w:tc>
                <w:tcPr>
                  <w:tcW w:w="3882" w:type="dxa"/>
                  <w:vAlign w:val="center"/>
                </w:tcPr>
                <w:p w14:paraId="4587EF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外购</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，存放于菜原料库</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r>
            <w:tr w14:paraId="0417C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4DDFC9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1530" w:type="dxa"/>
                  <w:vAlign w:val="center"/>
                </w:tcPr>
                <w:p w14:paraId="249DAB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肉</w:t>
                  </w:r>
                </w:p>
              </w:tc>
              <w:tc>
                <w:tcPr>
                  <w:tcW w:w="1575" w:type="dxa"/>
                  <w:vAlign w:val="center"/>
                </w:tcPr>
                <w:p w14:paraId="1DE3A4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180t</w:t>
                  </w:r>
                </w:p>
              </w:tc>
              <w:tc>
                <w:tcPr>
                  <w:tcW w:w="3882" w:type="dxa"/>
                  <w:vAlign w:val="center"/>
                </w:tcPr>
                <w:p w14:paraId="0B9B3C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外购冷鲜肉，无需解冻，存放于保鲜库。</w:t>
                  </w:r>
                </w:p>
              </w:tc>
            </w:tr>
            <w:tr w14:paraId="1CF57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3C0D35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1530" w:type="dxa"/>
                  <w:vAlign w:val="center"/>
                </w:tcPr>
                <w:p w14:paraId="492C9B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鸡蛋</w:t>
                  </w:r>
                </w:p>
              </w:tc>
              <w:tc>
                <w:tcPr>
                  <w:tcW w:w="1575" w:type="dxa"/>
                  <w:vAlign w:val="center"/>
                </w:tcPr>
                <w:p w14:paraId="3EC2BA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72t</w:t>
                  </w:r>
                </w:p>
              </w:tc>
              <w:tc>
                <w:tcPr>
                  <w:tcW w:w="3882" w:type="dxa"/>
                  <w:vAlign w:val="center"/>
                </w:tcPr>
                <w:p w14:paraId="53333B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外购</w:t>
                  </w:r>
                </w:p>
              </w:tc>
            </w:tr>
            <w:tr w14:paraId="6E2B8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3B40C6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1530" w:type="dxa"/>
                  <w:vAlign w:val="center"/>
                </w:tcPr>
                <w:p w14:paraId="27D724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w:t>
                  </w:r>
                </w:p>
              </w:tc>
              <w:tc>
                <w:tcPr>
                  <w:tcW w:w="1575" w:type="dxa"/>
                  <w:vAlign w:val="center"/>
                </w:tcPr>
                <w:p w14:paraId="432F7C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2499.6m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c>
                <w:tcPr>
                  <w:tcW w:w="3882" w:type="dxa"/>
                  <w:vAlign w:val="center"/>
                </w:tcPr>
                <w:p w14:paraId="67CD6C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r>
            <w:tr w14:paraId="12645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20E5FA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1530" w:type="dxa"/>
                  <w:vAlign w:val="center"/>
                </w:tcPr>
                <w:p w14:paraId="3FA4C5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调料</w:t>
                  </w:r>
                </w:p>
              </w:tc>
              <w:tc>
                <w:tcPr>
                  <w:tcW w:w="1575" w:type="dxa"/>
                  <w:vAlign w:val="center"/>
                </w:tcPr>
                <w:p w14:paraId="2BF8FE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15t</w:t>
                  </w:r>
                </w:p>
              </w:tc>
              <w:tc>
                <w:tcPr>
                  <w:tcW w:w="3882" w:type="dxa"/>
                  <w:vAlign w:val="center"/>
                </w:tcPr>
                <w:p w14:paraId="312943C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外购</w:t>
                  </w:r>
                </w:p>
              </w:tc>
            </w:tr>
            <w:tr w14:paraId="1B472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5EEACE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1530" w:type="dxa"/>
                  <w:vAlign w:val="center"/>
                </w:tcPr>
                <w:p w14:paraId="42879B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包装袋</w:t>
                  </w:r>
                </w:p>
              </w:tc>
              <w:tc>
                <w:tcPr>
                  <w:tcW w:w="1575" w:type="dxa"/>
                  <w:vAlign w:val="center"/>
                </w:tcPr>
                <w:p w14:paraId="4D433F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180万个</w:t>
                  </w:r>
                </w:p>
              </w:tc>
              <w:tc>
                <w:tcPr>
                  <w:tcW w:w="3882" w:type="dxa"/>
                  <w:vAlign w:val="center"/>
                </w:tcPr>
                <w:p w14:paraId="046F0D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每袋产品</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500g</w:t>
                  </w:r>
                </w:p>
              </w:tc>
            </w:tr>
            <w:tr w14:paraId="5C92E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0688B16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1530" w:type="dxa"/>
                  <w:vAlign w:val="center"/>
                </w:tcPr>
                <w:p w14:paraId="1B24CA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包装箱</w:t>
                  </w:r>
                </w:p>
              </w:tc>
              <w:tc>
                <w:tcPr>
                  <w:tcW w:w="1575" w:type="dxa"/>
                  <w:vAlign w:val="center"/>
                </w:tcPr>
                <w:p w14:paraId="3D8EAC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9万个</w:t>
                  </w:r>
                </w:p>
              </w:tc>
              <w:tc>
                <w:tcPr>
                  <w:tcW w:w="3882" w:type="dxa"/>
                  <w:vAlign w:val="center"/>
                </w:tcPr>
                <w:p w14:paraId="2668D4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每箱装</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20袋产品</w:t>
                  </w:r>
                </w:p>
              </w:tc>
            </w:tr>
            <w:tr w14:paraId="5C070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2B94B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w:t>
                  </w:r>
                </w:p>
              </w:tc>
              <w:tc>
                <w:tcPr>
                  <w:tcW w:w="1530" w:type="dxa"/>
                  <w:vAlign w:val="center"/>
                </w:tcPr>
                <w:p w14:paraId="756F03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RO反渗透膜</w:t>
                  </w:r>
                </w:p>
              </w:tc>
              <w:tc>
                <w:tcPr>
                  <w:tcW w:w="1575" w:type="dxa"/>
                  <w:vAlign w:val="center"/>
                </w:tcPr>
                <w:p w14:paraId="59BD6B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0.02t</w:t>
                  </w:r>
                </w:p>
              </w:tc>
              <w:tc>
                <w:tcPr>
                  <w:tcW w:w="3882" w:type="dxa"/>
                  <w:vAlign w:val="center"/>
                </w:tcPr>
                <w:p w14:paraId="02FDA7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每半年更换一次</w:t>
                  </w:r>
                </w:p>
              </w:tc>
            </w:tr>
            <w:tr w14:paraId="79D38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A541F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p>
              </w:tc>
              <w:tc>
                <w:tcPr>
                  <w:tcW w:w="1530" w:type="dxa"/>
                  <w:vAlign w:val="center"/>
                </w:tcPr>
                <w:p w14:paraId="078DBC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制冷剂</w:t>
                  </w:r>
                </w:p>
              </w:tc>
              <w:tc>
                <w:tcPr>
                  <w:tcW w:w="1575" w:type="dxa"/>
                  <w:vAlign w:val="center"/>
                </w:tcPr>
                <w:p w14:paraId="049476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0.5t</w:t>
                  </w:r>
                </w:p>
              </w:tc>
              <w:tc>
                <w:tcPr>
                  <w:tcW w:w="3882" w:type="dxa"/>
                  <w:vAlign w:val="center"/>
                </w:tcPr>
                <w:p w14:paraId="7D9717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本项目制冷剂为R507，首次加入0.5t，每3年补充一次，每次约10kg。不在厂区存储。</w:t>
                  </w:r>
                </w:p>
              </w:tc>
            </w:tr>
            <w:tr w14:paraId="61A5D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DA797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w:t>
                  </w:r>
                </w:p>
              </w:tc>
              <w:tc>
                <w:tcPr>
                  <w:tcW w:w="1530" w:type="dxa"/>
                  <w:vAlign w:val="center"/>
                </w:tcPr>
                <w:p w14:paraId="2959A1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除臭剂</w:t>
                  </w:r>
                </w:p>
              </w:tc>
              <w:tc>
                <w:tcPr>
                  <w:tcW w:w="1575" w:type="dxa"/>
                  <w:vAlign w:val="center"/>
                </w:tcPr>
                <w:p w14:paraId="02F71B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w:t>
                  </w:r>
                </w:p>
              </w:tc>
              <w:tc>
                <w:tcPr>
                  <w:tcW w:w="3882" w:type="dxa"/>
                  <w:vAlign w:val="center"/>
                </w:tcPr>
                <w:p w14:paraId="3743F0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外购</w:t>
                  </w:r>
                </w:p>
              </w:tc>
            </w:tr>
            <w:tr w14:paraId="54B0A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35660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12</w:t>
                  </w:r>
                </w:p>
              </w:tc>
              <w:tc>
                <w:tcPr>
                  <w:tcW w:w="1530" w:type="dxa"/>
                  <w:vAlign w:val="center"/>
                </w:tcPr>
                <w:p w14:paraId="2AA7DD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PAM</w:t>
                  </w:r>
                </w:p>
              </w:tc>
              <w:tc>
                <w:tcPr>
                  <w:tcW w:w="1575" w:type="dxa"/>
                  <w:vAlign w:val="center"/>
                </w:tcPr>
                <w:p w14:paraId="0A7217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0.1t</w:t>
                  </w:r>
                </w:p>
              </w:tc>
              <w:tc>
                <w:tcPr>
                  <w:tcW w:w="3882" w:type="dxa"/>
                  <w:vAlign w:val="center"/>
                </w:tcPr>
                <w:p w14:paraId="7BA920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val="en-US" w:eastAsia="zh-CN"/>
                    </w:rPr>
                    <w:t>外购</w:t>
                  </w:r>
                </w:p>
              </w:tc>
            </w:tr>
            <w:tr w14:paraId="3A715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941" w:type="dxa"/>
                  <w:vAlign w:val="center"/>
                </w:tcPr>
                <w:p w14:paraId="676932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13</w:t>
                  </w:r>
                </w:p>
              </w:tc>
              <w:tc>
                <w:tcPr>
                  <w:tcW w:w="1530" w:type="dxa"/>
                  <w:vAlign w:val="center"/>
                </w:tcPr>
                <w:p w14:paraId="0F973F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PAC</w:t>
                  </w:r>
                </w:p>
              </w:tc>
              <w:tc>
                <w:tcPr>
                  <w:tcW w:w="1575" w:type="dxa"/>
                  <w:vAlign w:val="center"/>
                </w:tcPr>
                <w:p w14:paraId="230B96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2t</w:t>
                  </w:r>
                </w:p>
              </w:tc>
              <w:tc>
                <w:tcPr>
                  <w:tcW w:w="3882" w:type="dxa"/>
                  <w:vAlign w:val="center"/>
                </w:tcPr>
                <w:p w14:paraId="338811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val="en-US" w:eastAsia="zh-CN"/>
                    </w:rPr>
                    <w:t>外购</w:t>
                  </w:r>
                </w:p>
              </w:tc>
            </w:tr>
          </w:tbl>
          <w:p w14:paraId="4FC6106A">
            <w:pPr>
              <w:keepNext w:val="0"/>
              <w:keepLines w:val="0"/>
              <w:widowControl/>
              <w:suppressLineNumbers w:val="0"/>
              <w:adjustRightInd w:val="0"/>
              <w:snapToGrid w:val="0"/>
              <w:spacing w:before="0" w:beforeAutospacing="0" w:after="0" w:afterAutospacing="0"/>
              <w:ind w:left="0" w:right="0" w:firstLine="632" w:firstLineChars="300"/>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p>
          <w:p w14:paraId="48773F75">
            <w:pPr>
              <w:keepNext/>
              <w:keepLines w:val="0"/>
              <w:suppressLineNumbers w:val="0"/>
              <w:spacing w:before="0" w:beforeAutospacing="0" w:after="0" w:afterAutospacing="0"/>
              <w:ind w:left="0" w:right="0"/>
              <w:jc w:val="cente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表2-4 本项目检验使用化学试剂一览表</w:t>
            </w:r>
          </w:p>
          <w:tbl>
            <w:tblPr>
              <w:tblStyle w:val="14"/>
              <w:tblW w:w="791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740"/>
              <w:gridCol w:w="1328"/>
              <w:gridCol w:w="1612"/>
              <w:gridCol w:w="1235"/>
            </w:tblGrid>
            <w:tr w14:paraId="478D1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002" w:type="dxa"/>
                  <w:tcBorders>
                    <w:tl2br w:val="nil"/>
                    <w:tr2bl w:val="nil"/>
                  </w:tcBorders>
                  <w:vAlign w:val="center"/>
                </w:tcPr>
                <w:p w14:paraId="04B0E8F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序号</w:t>
                  </w:r>
                </w:p>
              </w:tc>
              <w:tc>
                <w:tcPr>
                  <w:tcW w:w="2740" w:type="dxa"/>
                  <w:tcBorders>
                    <w:tl2br w:val="nil"/>
                    <w:tr2bl w:val="nil"/>
                  </w:tcBorders>
                  <w:vAlign w:val="center"/>
                </w:tcPr>
                <w:p w14:paraId="52D7306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名称</w:t>
                  </w:r>
                </w:p>
              </w:tc>
              <w:tc>
                <w:tcPr>
                  <w:tcW w:w="1328" w:type="dxa"/>
                  <w:tcBorders>
                    <w:tl2br w:val="nil"/>
                    <w:tr2bl w:val="nil"/>
                  </w:tcBorders>
                  <w:vAlign w:val="center"/>
                </w:tcPr>
                <w:p w14:paraId="1E35EA8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年用量（t/a）</w:t>
                  </w:r>
                </w:p>
              </w:tc>
              <w:tc>
                <w:tcPr>
                  <w:tcW w:w="1612" w:type="dxa"/>
                  <w:tcBorders>
                    <w:tl2br w:val="nil"/>
                    <w:tr2bl w:val="nil"/>
                  </w:tcBorders>
                  <w:vAlign w:val="center"/>
                </w:tcPr>
                <w:p w14:paraId="659E237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规格</w:t>
                  </w:r>
                </w:p>
              </w:tc>
              <w:tc>
                <w:tcPr>
                  <w:tcW w:w="1235" w:type="dxa"/>
                  <w:tcBorders>
                    <w:tl2br w:val="nil"/>
                    <w:tr2bl w:val="nil"/>
                  </w:tcBorders>
                  <w:vAlign w:val="center"/>
                </w:tcPr>
                <w:p w14:paraId="6F21064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备注</w:t>
                  </w:r>
                </w:p>
              </w:tc>
            </w:tr>
            <w:tr w14:paraId="2D530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02" w:type="dxa"/>
                  <w:tcBorders>
                    <w:tl2br w:val="nil"/>
                    <w:tr2bl w:val="nil"/>
                  </w:tcBorders>
                  <w:vAlign w:val="center"/>
                </w:tcPr>
                <w:p w14:paraId="2E52B76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1</w:t>
                  </w:r>
                </w:p>
              </w:tc>
              <w:tc>
                <w:tcPr>
                  <w:tcW w:w="2740" w:type="dxa"/>
                  <w:tcBorders>
                    <w:tl2br w:val="nil"/>
                    <w:tr2bl w:val="nil"/>
                  </w:tcBorders>
                  <w:vAlign w:val="center"/>
                </w:tcPr>
                <w:p w14:paraId="720B2186">
                  <w:pPr>
                    <w:keepNext w:val="0"/>
                    <w:keepLines w:val="0"/>
                    <w:widowControl/>
                    <w:suppressLineNumbers w:val="0"/>
                    <w:jc w:val="center"/>
                    <w:textAlignment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i w:val="0"/>
                      <w:iCs w:val="0"/>
                      <w:color w:val="FF0000"/>
                      <w:kern w:val="0"/>
                      <w:sz w:val="22"/>
                      <w:szCs w:val="22"/>
                      <w:u w:val="none"/>
                      <w:lang w:val="en-US" w:eastAsia="zh-CN" w:bidi="ar"/>
                    </w:rPr>
                    <w:t>冰乙酸</w:t>
                  </w:r>
                </w:p>
              </w:tc>
              <w:tc>
                <w:tcPr>
                  <w:tcW w:w="1328" w:type="dxa"/>
                  <w:tcBorders>
                    <w:tl2br w:val="nil"/>
                    <w:tr2bl w:val="nil"/>
                  </w:tcBorders>
                  <w:vAlign w:val="center"/>
                </w:tcPr>
                <w:p w14:paraId="492BFE2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0.00168</w:t>
                  </w:r>
                </w:p>
              </w:tc>
              <w:tc>
                <w:tcPr>
                  <w:tcW w:w="1612" w:type="dxa"/>
                  <w:tcBorders>
                    <w:tl2br w:val="nil"/>
                    <w:tr2bl w:val="nil"/>
                  </w:tcBorders>
                  <w:vAlign w:val="center"/>
                </w:tcPr>
                <w:p w14:paraId="58F2E92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500mL/瓶</w:t>
                  </w:r>
                </w:p>
              </w:tc>
              <w:tc>
                <w:tcPr>
                  <w:tcW w:w="1235" w:type="dxa"/>
                  <w:tcBorders>
                    <w:tl2br w:val="nil"/>
                    <w:tr2bl w:val="nil"/>
                  </w:tcBorders>
                  <w:vAlign w:val="center"/>
                </w:tcPr>
                <w:p w14:paraId="0210953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r w14:paraId="64094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02" w:type="dxa"/>
                  <w:tcBorders>
                    <w:tl2br w:val="nil"/>
                    <w:tr2bl w:val="nil"/>
                  </w:tcBorders>
                  <w:vAlign w:val="center"/>
                </w:tcPr>
                <w:p w14:paraId="03BFDA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2</w:t>
                  </w:r>
                </w:p>
              </w:tc>
              <w:tc>
                <w:tcPr>
                  <w:tcW w:w="2740" w:type="dxa"/>
                  <w:tcBorders>
                    <w:tl2br w:val="nil"/>
                    <w:tr2bl w:val="nil"/>
                  </w:tcBorders>
                  <w:vAlign w:val="center"/>
                </w:tcPr>
                <w:p w14:paraId="0D461CB3">
                  <w:pPr>
                    <w:keepNext w:val="0"/>
                    <w:keepLines w:val="0"/>
                    <w:widowControl/>
                    <w:suppressLineNumbers w:val="0"/>
                    <w:jc w:val="center"/>
                    <w:textAlignment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i w:val="0"/>
                      <w:iCs w:val="0"/>
                      <w:color w:val="FF0000"/>
                      <w:kern w:val="0"/>
                      <w:sz w:val="22"/>
                      <w:szCs w:val="22"/>
                      <w:u w:val="none"/>
                      <w:lang w:val="en-US" w:eastAsia="zh-CN" w:bidi="ar"/>
                    </w:rPr>
                    <w:t>碘化钾饱和溶液</w:t>
                  </w:r>
                </w:p>
              </w:tc>
              <w:tc>
                <w:tcPr>
                  <w:tcW w:w="1328" w:type="dxa"/>
                  <w:tcBorders>
                    <w:tl2br w:val="nil"/>
                    <w:tr2bl w:val="nil"/>
                  </w:tcBorders>
                  <w:vAlign w:val="center"/>
                </w:tcPr>
                <w:p w14:paraId="379B26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0.00091</w:t>
                  </w:r>
                </w:p>
              </w:tc>
              <w:tc>
                <w:tcPr>
                  <w:tcW w:w="1612" w:type="dxa"/>
                  <w:tcBorders>
                    <w:tl2br w:val="nil"/>
                    <w:tr2bl w:val="nil"/>
                  </w:tcBorders>
                  <w:vAlign w:val="center"/>
                </w:tcPr>
                <w:p w14:paraId="7864FD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500mL/瓶</w:t>
                  </w:r>
                </w:p>
              </w:tc>
              <w:tc>
                <w:tcPr>
                  <w:tcW w:w="1235" w:type="dxa"/>
                  <w:tcBorders>
                    <w:tl2br w:val="nil"/>
                    <w:tr2bl w:val="nil"/>
                  </w:tcBorders>
                  <w:vAlign w:val="center"/>
                </w:tcPr>
                <w:p w14:paraId="39EB62D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r w14:paraId="74018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02" w:type="dxa"/>
                  <w:tcBorders>
                    <w:tl2br w:val="nil"/>
                    <w:tr2bl w:val="nil"/>
                  </w:tcBorders>
                  <w:vAlign w:val="center"/>
                </w:tcPr>
                <w:p w14:paraId="771F720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3</w:t>
                  </w:r>
                </w:p>
              </w:tc>
              <w:tc>
                <w:tcPr>
                  <w:tcW w:w="2740" w:type="dxa"/>
                  <w:tcBorders>
                    <w:tl2br w:val="nil"/>
                    <w:tr2bl w:val="nil"/>
                  </w:tcBorders>
                  <w:vAlign w:val="center"/>
                </w:tcPr>
                <w:p w14:paraId="4D58E9CA">
                  <w:pPr>
                    <w:keepNext w:val="0"/>
                    <w:keepLines w:val="0"/>
                    <w:widowControl/>
                    <w:suppressLineNumbers w:val="0"/>
                    <w:jc w:val="center"/>
                    <w:textAlignment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i w:val="0"/>
                      <w:iCs w:val="0"/>
                      <w:color w:val="FF0000"/>
                      <w:kern w:val="0"/>
                      <w:sz w:val="22"/>
                      <w:szCs w:val="22"/>
                      <w:u w:val="none"/>
                      <w:lang w:val="en-US" w:eastAsia="zh-CN" w:bidi="ar"/>
                    </w:rPr>
                    <w:t>淀粉指示剂</w:t>
                  </w:r>
                </w:p>
              </w:tc>
              <w:tc>
                <w:tcPr>
                  <w:tcW w:w="1328" w:type="dxa"/>
                  <w:tcBorders>
                    <w:tl2br w:val="nil"/>
                    <w:tr2bl w:val="nil"/>
                  </w:tcBorders>
                  <w:vAlign w:val="center"/>
                </w:tcPr>
                <w:p w14:paraId="5497A34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0.00012</w:t>
                  </w:r>
                </w:p>
              </w:tc>
              <w:tc>
                <w:tcPr>
                  <w:tcW w:w="1612" w:type="dxa"/>
                  <w:tcBorders>
                    <w:tl2br w:val="nil"/>
                    <w:tr2bl w:val="nil"/>
                  </w:tcBorders>
                  <w:vAlign w:val="center"/>
                </w:tcPr>
                <w:p w14:paraId="27AC998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25g/瓶</w:t>
                  </w:r>
                </w:p>
              </w:tc>
              <w:tc>
                <w:tcPr>
                  <w:tcW w:w="1235" w:type="dxa"/>
                  <w:tcBorders>
                    <w:tl2br w:val="nil"/>
                    <w:tr2bl w:val="nil"/>
                  </w:tcBorders>
                  <w:vAlign w:val="center"/>
                </w:tcPr>
                <w:p w14:paraId="05EFA3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r w14:paraId="30195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002" w:type="dxa"/>
                  <w:tcBorders>
                    <w:tl2br w:val="nil"/>
                    <w:tr2bl w:val="nil"/>
                  </w:tcBorders>
                  <w:vAlign w:val="center"/>
                </w:tcPr>
                <w:p w14:paraId="7016486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4</w:t>
                  </w:r>
                </w:p>
              </w:tc>
              <w:tc>
                <w:tcPr>
                  <w:tcW w:w="2740" w:type="dxa"/>
                  <w:tcBorders>
                    <w:tl2br w:val="nil"/>
                    <w:tr2bl w:val="nil"/>
                  </w:tcBorders>
                  <w:vAlign w:val="center"/>
                </w:tcPr>
                <w:p w14:paraId="2E168E8C">
                  <w:pPr>
                    <w:keepNext w:val="0"/>
                    <w:keepLines w:val="0"/>
                    <w:widowControl/>
                    <w:suppressLineNumbers w:val="0"/>
                    <w:jc w:val="center"/>
                    <w:textAlignment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i w:val="0"/>
                      <w:iCs w:val="0"/>
                      <w:color w:val="FF0000"/>
                      <w:kern w:val="0"/>
                      <w:sz w:val="22"/>
                      <w:szCs w:val="22"/>
                      <w:u w:val="none"/>
                      <w:lang w:val="en-US" w:eastAsia="zh-CN" w:bidi="ar"/>
                    </w:rPr>
                    <w:t>石油醚</w:t>
                  </w:r>
                </w:p>
              </w:tc>
              <w:tc>
                <w:tcPr>
                  <w:tcW w:w="1328" w:type="dxa"/>
                  <w:tcBorders>
                    <w:tl2br w:val="nil"/>
                    <w:tr2bl w:val="nil"/>
                  </w:tcBorders>
                  <w:vAlign w:val="center"/>
                </w:tcPr>
                <w:p w14:paraId="667E10B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0.00012</w:t>
                  </w:r>
                </w:p>
              </w:tc>
              <w:tc>
                <w:tcPr>
                  <w:tcW w:w="1612" w:type="dxa"/>
                  <w:tcBorders>
                    <w:tl2br w:val="nil"/>
                    <w:tr2bl w:val="nil"/>
                  </w:tcBorders>
                  <w:vAlign w:val="center"/>
                </w:tcPr>
                <w:p w14:paraId="45A1C61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50mL/瓶</w:t>
                  </w:r>
                </w:p>
              </w:tc>
              <w:tc>
                <w:tcPr>
                  <w:tcW w:w="1235" w:type="dxa"/>
                  <w:tcBorders>
                    <w:tl2br w:val="nil"/>
                    <w:tr2bl w:val="nil"/>
                  </w:tcBorders>
                  <w:vAlign w:val="center"/>
                </w:tcPr>
                <w:p w14:paraId="11D8B0F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r w14:paraId="194B0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02" w:type="dxa"/>
                  <w:tcBorders>
                    <w:tl2br w:val="nil"/>
                    <w:tr2bl w:val="nil"/>
                  </w:tcBorders>
                  <w:vAlign w:val="center"/>
                </w:tcPr>
                <w:p w14:paraId="1CEECA6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w:t>
                  </w:r>
                </w:p>
              </w:tc>
              <w:tc>
                <w:tcPr>
                  <w:tcW w:w="2740" w:type="dxa"/>
                  <w:tcBorders>
                    <w:tl2br w:val="nil"/>
                    <w:tr2bl w:val="nil"/>
                  </w:tcBorders>
                  <w:vAlign w:val="center"/>
                </w:tcPr>
                <w:p w14:paraId="3C1ECC00">
                  <w:pPr>
                    <w:keepNext w:val="0"/>
                    <w:keepLines w:val="0"/>
                    <w:widowControl/>
                    <w:suppressLineNumbers w:val="0"/>
                    <w:jc w:val="center"/>
                    <w:textAlignment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i w:val="0"/>
                      <w:iCs w:val="0"/>
                      <w:color w:val="FF0000"/>
                      <w:kern w:val="0"/>
                      <w:sz w:val="22"/>
                      <w:szCs w:val="22"/>
                      <w:u w:val="none"/>
                      <w:lang w:val="en-US" w:eastAsia="zh-CN" w:bidi="ar"/>
                    </w:rPr>
                    <w:t>硫代硫酸钠标准溶液</w:t>
                  </w:r>
                </w:p>
              </w:tc>
              <w:tc>
                <w:tcPr>
                  <w:tcW w:w="1328" w:type="dxa"/>
                  <w:tcBorders>
                    <w:tl2br w:val="nil"/>
                    <w:tr2bl w:val="nil"/>
                  </w:tcBorders>
                  <w:vAlign w:val="center"/>
                </w:tcPr>
                <w:p w14:paraId="7B01B51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0.00116</w:t>
                  </w:r>
                </w:p>
              </w:tc>
              <w:tc>
                <w:tcPr>
                  <w:tcW w:w="1612" w:type="dxa"/>
                  <w:tcBorders>
                    <w:tl2br w:val="nil"/>
                    <w:tr2bl w:val="nil"/>
                  </w:tcBorders>
                  <w:vAlign w:val="center"/>
                </w:tcPr>
                <w:p w14:paraId="239B5AE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500mL/瓶</w:t>
                  </w:r>
                </w:p>
              </w:tc>
              <w:tc>
                <w:tcPr>
                  <w:tcW w:w="1235" w:type="dxa"/>
                  <w:tcBorders>
                    <w:tl2br w:val="nil"/>
                    <w:tr2bl w:val="nil"/>
                  </w:tcBorders>
                  <w:vAlign w:val="center"/>
                </w:tcPr>
                <w:p w14:paraId="22BB2E1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r w14:paraId="25FC1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002" w:type="dxa"/>
                  <w:tcBorders>
                    <w:tl2br w:val="nil"/>
                    <w:tr2bl w:val="nil"/>
                  </w:tcBorders>
                  <w:vAlign w:val="center"/>
                </w:tcPr>
                <w:p w14:paraId="561D4E5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6</w:t>
                  </w:r>
                </w:p>
              </w:tc>
              <w:tc>
                <w:tcPr>
                  <w:tcW w:w="2740" w:type="dxa"/>
                  <w:tcBorders>
                    <w:tl2br w:val="nil"/>
                    <w:tr2bl w:val="nil"/>
                  </w:tcBorders>
                  <w:vAlign w:val="center"/>
                </w:tcPr>
                <w:p w14:paraId="3C1DCCF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default" w:ascii="Times New Roman" w:hAnsi="Times New Roman" w:eastAsia="宋体" w:cs="Times New Roman"/>
                      <w:i w:val="0"/>
                      <w:iCs w:val="0"/>
                      <w:color w:val="FF0000"/>
                      <w:kern w:val="0"/>
                      <w:sz w:val="22"/>
                      <w:szCs w:val="22"/>
                      <w:u w:val="none"/>
                      <w:lang w:val="en-US" w:eastAsia="zh-CN" w:bidi="ar"/>
                    </w:rPr>
                    <w:t>乙醇</w:t>
                  </w:r>
                </w:p>
              </w:tc>
              <w:tc>
                <w:tcPr>
                  <w:tcW w:w="1328" w:type="dxa"/>
                  <w:tcBorders>
                    <w:tl2br w:val="nil"/>
                    <w:tr2bl w:val="nil"/>
                  </w:tcBorders>
                  <w:vAlign w:val="center"/>
                </w:tcPr>
                <w:p w14:paraId="50FD623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0.0008</w:t>
                  </w:r>
                </w:p>
              </w:tc>
              <w:tc>
                <w:tcPr>
                  <w:tcW w:w="1612" w:type="dxa"/>
                  <w:tcBorders>
                    <w:tl2br w:val="nil"/>
                    <w:tr2bl w:val="nil"/>
                  </w:tcBorders>
                  <w:vAlign w:val="center"/>
                </w:tcPr>
                <w:p w14:paraId="707B664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500mL/瓶</w:t>
                  </w:r>
                </w:p>
              </w:tc>
              <w:tc>
                <w:tcPr>
                  <w:tcW w:w="1235" w:type="dxa"/>
                  <w:tcBorders>
                    <w:tl2br w:val="nil"/>
                    <w:tr2bl w:val="nil"/>
                  </w:tcBorders>
                  <w:vAlign w:val="center"/>
                </w:tcPr>
                <w:p w14:paraId="7FAE9DD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外购</w:t>
                  </w:r>
                </w:p>
              </w:tc>
            </w:tr>
          </w:tbl>
          <w:p w14:paraId="50B3B768">
            <w:pPr>
              <w:rPr>
                <w:rFonts w:hint="default" w:ascii="Times New Roman" w:hAnsi="Times New Roman" w:eastAsia="宋体" w:cs="Times New Roman"/>
                <w:lang w:val="en-US" w:eastAsia="zh-CN"/>
              </w:rPr>
            </w:pPr>
          </w:p>
          <w:p w14:paraId="3BCB656B">
            <w:pPr>
              <w:keepNext w:val="0"/>
              <w:keepLines w:val="0"/>
              <w:widowControl/>
              <w:suppressLineNumbers w:val="0"/>
              <w:adjustRightInd w:val="0"/>
              <w:snapToGrid w:val="0"/>
              <w:spacing w:before="0" w:beforeAutospacing="0" w:after="0" w:afterAutospacing="0"/>
              <w:ind w:left="0" w:right="0" w:firstLine="723" w:firstLineChars="300"/>
              <w:jc w:val="cente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表2-5本项目原辅材料及化学试剂理化性质一览表</w:t>
            </w:r>
          </w:p>
          <w:tbl>
            <w:tblPr>
              <w:tblStyle w:val="14"/>
              <w:tblW w:w="794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720"/>
              <w:gridCol w:w="6520"/>
            </w:tblGrid>
            <w:tr w14:paraId="122A8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3F6AFF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序号</w:t>
                  </w:r>
                </w:p>
              </w:tc>
              <w:tc>
                <w:tcPr>
                  <w:tcW w:w="720" w:type="dxa"/>
                  <w:tcBorders>
                    <w:tl2br w:val="nil"/>
                    <w:tr2bl w:val="nil"/>
                  </w:tcBorders>
                  <w:vAlign w:val="center"/>
                </w:tcPr>
                <w:p w14:paraId="7968AB7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名称</w:t>
                  </w:r>
                </w:p>
              </w:tc>
              <w:tc>
                <w:tcPr>
                  <w:tcW w:w="6520" w:type="dxa"/>
                  <w:tcBorders>
                    <w:tl2br w:val="nil"/>
                    <w:tr2bl w:val="nil"/>
                  </w:tcBorders>
                  <w:vAlign w:val="center"/>
                </w:tcPr>
                <w:p w14:paraId="178169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理化性质</w:t>
                  </w:r>
                </w:p>
              </w:tc>
            </w:tr>
            <w:tr w14:paraId="55A86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729DEF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w:t>
                  </w:r>
                </w:p>
              </w:tc>
              <w:tc>
                <w:tcPr>
                  <w:tcW w:w="720" w:type="dxa"/>
                  <w:tcBorders>
                    <w:tl2br w:val="nil"/>
                    <w:tr2bl w:val="nil"/>
                  </w:tcBorders>
                  <w:vAlign w:val="center"/>
                </w:tcPr>
                <w:p w14:paraId="6259F28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制冷剂（R507）</w:t>
                  </w:r>
                </w:p>
              </w:tc>
              <w:tc>
                <w:tcPr>
                  <w:tcW w:w="6520" w:type="dxa"/>
                  <w:tcBorders>
                    <w:tl2br w:val="nil"/>
                    <w:tr2bl w:val="nil"/>
                  </w:tcBorders>
                  <w:vAlign w:val="center"/>
                </w:tcPr>
                <w:p w14:paraId="571A0906">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五氟乙烷和三氟乙烷混合而成，是一种不破坏臭氧层的制冷剂，分子量为98.9，不燃，沸点为-46.7℃，气相变液相最低温度为70.9℃，临界压力为3792.1kpa，临界密度为490.77kg/m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，沸点下蒸发潜能196.95kJ/kg。</w:t>
                  </w:r>
                </w:p>
                <w:p w14:paraId="164674E6">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R507对动物的急性毒性低。当空气中的含氧量降至12-14%时，会出现窒息、协调性差，脉搏跳动加快,呼吸急促等症状。更严重时，会发生心律不齐。</w:t>
                  </w:r>
                </w:p>
                <w:p w14:paraId="48EEB95D">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R507是R502制冷剂的长期替代品HFC类物质，ODP值为零，不含任何破坏臭氧层的物质，不在《中国受控消耗臭氧层物质清单》内</w:t>
                  </w:r>
                </w:p>
              </w:tc>
            </w:tr>
            <w:tr w14:paraId="54FA5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6DC870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2</w:t>
                  </w:r>
                </w:p>
              </w:tc>
              <w:tc>
                <w:tcPr>
                  <w:tcW w:w="720" w:type="dxa"/>
                  <w:tcBorders>
                    <w:tl2br w:val="nil"/>
                    <w:tr2bl w:val="nil"/>
                  </w:tcBorders>
                  <w:vAlign w:val="center"/>
                </w:tcPr>
                <w:p w14:paraId="45C795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乙醇</w:t>
                  </w:r>
                </w:p>
              </w:tc>
              <w:tc>
                <w:tcPr>
                  <w:tcW w:w="6520" w:type="dxa"/>
                  <w:tcBorders>
                    <w:tl2br w:val="nil"/>
                    <w:tr2bl w:val="nil"/>
                  </w:tcBorders>
                  <w:vAlign w:val="center"/>
                </w:tcPr>
                <w:p w14:paraId="00C11DEE">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无色透明液体，有酒香味，相对密度(水以1计)：0.786，闪点：13℃，熔点-114℃，沸点78.29℃。饱和蒸气压：约2.5kPa(20℃)，GHS危险性类别：易燃液体；与浓硫酸、过氧化氢等强氧化剂接触，会发生燃烧爆炸。与浓过氧化氢接触会发生猛烈爆炸。极易与液氯、次氯酸反应，生成的次氯酸乙酯低温易分解，受热或光照条件下会发生爆炸。与酰氯和酰溴发生剧烈反应，生成酯。碱催化条件下，与异氰酸酯的反应应该在惰性溶剂中进行，否则会发生爆炸。与锂、钠、钾等碱金</w:t>
                  </w:r>
                </w:p>
                <w:p w14:paraId="602FE3C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属反应，放出易燃易爆的氢气。</w:t>
                  </w:r>
                </w:p>
              </w:tc>
            </w:tr>
            <w:tr w14:paraId="664F6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21EB35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3</w:t>
                  </w:r>
                </w:p>
              </w:tc>
              <w:tc>
                <w:tcPr>
                  <w:tcW w:w="720" w:type="dxa"/>
                  <w:tcBorders>
                    <w:tl2br w:val="nil"/>
                    <w:tr2bl w:val="nil"/>
                  </w:tcBorders>
                  <w:vAlign w:val="center"/>
                </w:tcPr>
                <w:p w14:paraId="11D5A4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石油醚</w:t>
                  </w:r>
                </w:p>
              </w:tc>
              <w:tc>
                <w:tcPr>
                  <w:tcW w:w="6520" w:type="dxa"/>
                  <w:tcBorders>
                    <w:tl2br w:val="nil"/>
                    <w:tr2bl w:val="nil"/>
                  </w:tcBorders>
                  <w:vAlign w:val="center"/>
                </w:tcPr>
                <w:p w14:paraId="33019843">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石油醚，又称石油精，是一种轻质石油产品，是低相对分子质量的烃(主要是戊烷及己烷)的混合物，为无色透明液体，有煤油气味。相对密度(水以1计)：0.714，熔点-116.2℃，沸点34.5℃。LD50：1215mg/kg(大鼠经口)。</w:t>
                  </w:r>
                </w:p>
              </w:tc>
            </w:tr>
            <w:tr w14:paraId="0798C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07E2D7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4</w:t>
                  </w:r>
                </w:p>
              </w:tc>
              <w:tc>
                <w:tcPr>
                  <w:tcW w:w="720" w:type="dxa"/>
                  <w:tcBorders>
                    <w:tl2br w:val="nil"/>
                    <w:tr2bl w:val="nil"/>
                  </w:tcBorders>
                  <w:vAlign w:val="center"/>
                </w:tcPr>
                <w:p w14:paraId="23FBD6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淀粉指示剂</w:t>
                  </w:r>
                </w:p>
              </w:tc>
              <w:tc>
                <w:tcPr>
                  <w:tcW w:w="6520" w:type="dxa"/>
                  <w:tcBorders>
                    <w:tl2br w:val="nil"/>
                    <w:tr2bl w:val="nil"/>
                  </w:tcBorders>
                  <w:vAlign w:val="center"/>
                </w:tcPr>
                <w:p w14:paraId="5F49A71B">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淀粉指示剂，是将可溶性淀粉溶解，加入沸水中形成的一种液体，是</w:t>
                  </w:r>
                </w:p>
                <w:p w14:paraId="60F00D18">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滴定中碘量法使用的专属指示剂。</w:t>
                  </w:r>
                </w:p>
              </w:tc>
            </w:tr>
            <w:tr w14:paraId="6D338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5A1BA2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5</w:t>
                  </w:r>
                </w:p>
              </w:tc>
              <w:tc>
                <w:tcPr>
                  <w:tcW w:w="720" w:type="dxa"/>
                  <w:tcBorders>
                    <w:tl2br w:val="nil"/>
                    <w:tr2bl w:val="nil"/>
                  </w:tcBorders>
                  <w:vAlign w:val="center"/>
                </w:tcPr>
                <w:p w14:paraId="72875B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饱和碘化钾溶液</w:t>
                  </w:r>
                </w:p>
              </w:tc>
              <w:tc>
                <w:tcPr>
                  <w:tcW w:w="6520" w:type="dxa"/>
                  <w:tcBorders>
                    <w:tl2br w:val="nil"/>
                    <w:tr2bl w:val="nil"/>
                  </w:tcBorders>
                  <w:vAlign w:val="center"/>
                </w:tcPr>
                <w:p w14:paraId="7C6B4CB8">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由碘化钾配置而成，碘化钾为白色立方结晶或粉末。在潮湿空气中微</w:t>
                  </w:r>
                </w:p>
                <w:p w14:paraId="727D237B">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有吸湿性，久置析出游离碘而变成黄色，并能形成微量碘酸盐。光及</w:t>
                  </w:r>
                </w:p>
                <w:p w14:paraId="72FF43A7">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潮湿能加速分解。lg溶于0.7mL水、0.5mL沸水、22mL乙醇、8mL沸乙醇、51mL无水乙醇、8mL甲醇、7.5mL丙酮、2mL甘油、约2.5mL乙二醇。其水溶液呈中性或微碱性，能溶解碘。其水溶液也会氧化而渐变黄色，可加少量碱防止。相对密度3.12。熔点680C。沸点1330C。</w:t>
                  </w:r>
                </w:p>
                <w:p w14:paraId="00822B32">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近似致死量(大鼠，静脉)285mg/kg。广泛用于容量分析碘量法中配制滴定液。</w:t>
                  </w:r>
                </w:p>
              </w:tc>
            </w:tr>
            <w:tr w14:paraId="7714A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10783C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6</w:t>
                  </w:r>
                </w:p>
              </w:tc>
              <w:tc>
                <w:tcPr>
                  <w:tcW w:w="720" w:type="dxa"/>
                  <w:tcBorders>
                    <w:tl2br w:val="nil"/>
                    <w:tr2bl w:val="nil"/>
                  </w:tcBorders>
                  <w:vAlign w:val="center"/>
                </w:tcPr>
                <w:p w14:paraId="03A18B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硫代硫酸钠溶液</w:t>
                  </w:r>
                </w:p>
              </w:tc>
              <w:tc>
                <w:tcPr>
                  <w:tcW w:w="6520" w:type="dxa"/>
                  <w:tcBorders>
                    <w:tl2br w:val="nil"/>
                    <w:tr2bl w:val="nil"/>
                  </w:tcBorders>
                  <w:vAlign w:val="center"/>
                </w:tcPr>
                <w:p w14:paraId="42F22A76">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由硫代硫酸钠配置而成，又名次亚硫酸钠、大苏打、海波。它是无色</w:t>
                  </w:r>
                </w:p>
                <w:p w14:paraId="02E0C00F">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透明的单斜晶体，密度1.667 g/cm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熔点48摄氏度。硫代硫酸钠可用于鞣制皮革、由矿石中提取银：可用以除去自来水中的氯气，在水产养殖上被广泛的应用；临床用于治疗皮肤搔痒症、性荨麻疹、药疹、氰化物、铊中毒和砷中毒等，以静脉注射的方式治疗。</w:t>
                  </w:r>
                </w:p>
              </w:tc>
            </w:tr>
            <w:tr w14:paraId="72294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7D9E60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7</w:t>
                  </w:r>
                </w:p>
              </w:tc>
              <w:tc>
                <w:tcPr>
                  <w:tcW w:w="720" w:type="dxa"/>
                  <w:tcBorders>
                    <w:tl2br w:val="nil"/>
                    <w:tr2bl w:val="nil"/>
                  </w:tcBorders>
                  <w:vAlign w:val="center"/>
                </w:tcPr>
                <w:p w14:paraId="54B94B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冰乙酸</w:t>
                  </w:r>
                </w:p>
              </w:tc>
              <w:tc>
                <w:tcPr>
                  <w:tcW w:w="6520" w:type="dxa"/>
                  <w:tcBorders>
                    <w:tl2br w:val="nil"/>
                    <w:tr2bl w:val="nil"/>
                  </w:tcBorders>
                  <w:vAlign w:val="center"/>
                </w:tcPr>
                <w:p w14:paraId="4336D38D">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冰乙酸(纯净物)，即无水乙酸，乙酸是重要的有机酸之一，有机化合物。其在低温时凝固成冰状，俗称冰醋酸。凝固时体积膨胀可能导致容器破裂。闪点 39C，爆炸极限4.0%~16.0%，空气中最大允许浓度不超过25mg/m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。纯的乙酸在低于熔点时会冻结成冰状晶体，所以无水乙酸又称为冰醋酸。</w:t>
                  </w:r>
                </w:p>
              </w:tc>
            </w:tr>
            <w:tr w14:paraId="3BB61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67EF9C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8</w:t>
                  </w:r>
                </w:p>
              </w:tc>
              <w:tc>
                <w:tcPr>
                  <w:tcW w:w="720" w:type="dxa"/>
                  <w:tcBorders>
                    <w:tl2br w:val="nil"/>
                    <w:tr2bl w:val="nil"/>
                  </w:tcBorders>
                  <w:vAlign w:val="center"/>
                </w:tcPr>
                <w:p w14:paraId="17BB90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PAM</w:t>
                  </w:r>
                </w:p>
              </w:tc>
              <w:tc>
                <w:tcPr>
                  <w:tcW w:w="6520" w:type="dxa"/>
                  <w:tcBorders>
                    <w:tl2br w:val="nil"/>
                    <w:tr2bl w:val="nil"/>
                  </w:tcBorders>
                  <w:vAlign w:val="center"/>
                </w:tcPr>
                <w:p w14:paraId="13D00042">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聚丙烯酰胺，英文名称为Poly(acrylamide)，CAS号为9003-05-8，分子式为(C</w:t>
                  </w:r>
                  <w:r>
                    <w:rPr>
                      <w:rFonts w:hint="default" w:ascii="Times New Roman" w:hAnsi="Times New Roman" w:eastAsia="宋体" w:cs="Times New Roman"/>
                      <w:color w:val="FF0000"/>
                      <w:sz w:val="21"/>
                      <w:szCs w:val="21"/>
                      <w:highlight w:val="none"/>
                      <w:vertAlign w:val="subscript"/>
                      <w:lang w:val="en-US" w:eastAsia="zh-CN"/>
                    </w:rPr>
                    <w:t>3</w:t>
                  </w:r>
                  <w:r>
                    <w:rPr>
                      <w:rFonts w:hint="default" w:ascii="Times New Roman" w:hAnsi="Times New Roman" w:eastAsia="宋体" w:cs="Times New Roman"/>
                      <w:color w:val="FF0000"/>
                      <w:sz w:val="21"/>
                      <w:szCs w:val="21"/>
                      <w:highlight w:val="none"/>
                      <w:lang w:val="en-US" w:eastAsia="zh-CN"/>
                    </w:rPr>
                    <w:t>H</w:t>
                  </w:r>
                  <w:r>
                    <w:rPr>
                      <w:rFonts w:hint="default" w:ascii="Times New Roman" w:hAnsi="Times New Roman" w:eastAsia="宋体" w:cs="Times New Roman"/>
                      <w:color w:val="FF0000"/>
                      <w:sz w:val="21"/>
                      <w:szCs w:val="21"/>
                      <w:highlight w:val="none"/>
                      <w:vertAlign w:val="subscript"/>
                      <w:lang w:val="en-US" w:eastAsia="zh-CN"/>
                    </w:rPr>
                    <w:t>5</w:t>
                  </w:r>
                  <w:r>
                    <w:rPr>
                      <w:rFonts w:hint="default" w:ascii="Times New Roman" w:hAnsi="Times New Roman" w:eastAsia="宋体" w:cs="Times New Roman"/>
                      <w:color w:val="FF0000"/>
                      <w:sz w:val="21"/>
                      <w:szCs w:val="21"/>
                      <w:highlight w:val="none"/>
                      <w:lang w:val="en-US" w:eastAsia="zh-CN"/>
                    </w:rPr>
                    <w:t>NO)n，聚丙烯酰胺是一种线状的有机高分子聚合物，同时也是一种高分子水处理絮凝剂产品，专门可以吸附水中的悬浮颗粒，在颗粒之间起链接架桥作用，使细颗粒形成比较大的絮团，并且加快了沉淀的速度。这一过程称之为絮凝，因其中良好的絮凝效果PAM作为水处理的絮凝剂并且被广泛用于污水处理。</w:t>
                  </w:r>
                </w:p>
              </w:tc>
            </w:tr>
            <w:tr w14:paraId="78B58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tcBorders>
                    <w:tl2br w:val="nil"/>
                    <w:tr2bl w:val="nil"/>
                  </w:tcBorders>
                  <w:vAlign w:val="center"/>
                </w:tcPr>
                <w:p w14:paraId="1FED24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9</w:t>
                  </w:r>
                </w:p>
              </w:tc>
              <w:tc>
                <w:tcPr>
                  <w:tcW w:w="720" w:type="dxa"/>
                  <w:tcBorders>
                    <w:tl2br w:val="nil"/>
                    <w:tr2bl w:val="nil"/>
                  </w:tcBorders>
                  <w:vAlign w:val="center"/>
                </w:tcPr>
                <w:p w14:paraId="44F7EA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PAC</w:t>
                  </w:r>
                </w:p>
              </w:tc>
              <w:tc>
                <w:tcPr>
                  <w:tcW w:w="6520" w:type="dxa"/>
                  <w:tcBorders>
                    <w:tl2br w:val="nil"/>
                    <w:tr2bl w:val="nil"/>
                  </w:tcBorders>
                  <w:vAlign w:val="center"/>
                </w:tcPr>
                <w:p w14:paraId="4A1BE604">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聚合氯化铝，简称聚铝，英文缩写为PAC，无机高分子水处理药剂。无色或黄色固体。其溶液为无色或黄褐色透明液体。主要用于生活饮用水和工业污水废水、城镇生活污水的净化处理，如除铁、除氟、除镉、除放射性污染、除漂浮油、除磷等，也用于工业废水处理，如印染废水等。</w:t>
                  </w:r>
                </w:p>
              </w:tc>
            </w:tr>
          </w:tbl>
          <w:p w14:paraId="154E21D1">
            <w:pPr>
              <w:keepNext w:val="0"/>
              <w:keepLines w:val="0"/>
              <w:widowControl/>
              <w:suppressLineNumbers w:val="0"/>
              <w:adjustRightInd w:val="0"/>
              <w:snapToGrid w:val="0"/>
              <w:spacing w:before="0" w:beforeAutospacing="0" w:after="0" w:afterAutospacing="0"/>
              <w:ind w:right="0"/>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p>
          <w:p w14:paraId="0BF43862">
            <w:pPr>
              <w:keepNext w:val="0"/>
              <w:keepLines w:val="0"/>
              <w:widowControl/>
              <w:suppressLineNumbers w:val="0"/>
              <w:adjustRightInd w:val="0"/>
              <w:snapToGrid w:val="0"/>
              <w:spacing w:before="0" w:beforeAutospacing="0" w:after="0" w:afterAutospacing="0"/>
              <w:ind w:left="0" w:right="0"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产品情况</w:t>
            </w:r>
          </w:p>
          <w:p w14:paraId="26D58803">
            <w:pPr>
              <w:keepNext/>
              <w:keepLines w:val="0"/>
              <w:suppressLineNumbers w:val="0"/>
              <w:spacing w:before="0" w:beforeAutospacing="0" w:after="0" w:afterAutospacing="0"/>
              <w:ind w:left="0" w:right="0"/>
              <w:jc w:val="center"/>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表2-</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本项目产品方案一览表</w:t>
            </w:r>
          </w:p>
          <w:tbl>
            <w:tblPr>
              <w:tblStyle w:val="13"/>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360"/>
              <w:gridCol w:w="1791"/>
              <w:gridCol w:w="1934"/>
              <w:gridCol w:w="1935"/>
            </w:tblGrid>
            <w:tr w14:paraId="534EA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25" w:type="dxa"/>
                  <w:tcBorders>
                    <w:tl2br w:val="nil"/>
                    <w:tr2bl w:val="nil"/>
                  </w:tcBorders>
                  <w:noWrap/>
                  <w:vAlign w:val="center"/>
                </w:tcPr>
                <w:p w14:paraId="3D6FD7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1360" w:type="dxa"/>
                  <w:tcBorders>
                    <w:tl2br w:val="nil"/>
                    <w:tr2bl w:val="nil"/>
                  </w:tcBorders>
                  <w:noWrap/>
                  <w:vAlign w:val="center"/>
                </w:tcPr>
                <w:p w14:paraId="2F2409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名称</w:t>
                  </w:r>
                </w:p>
              </w:tc>
              <w:tc>
                <w:tcPr>
                  <w:tcW w:w="1791" w:type="dxa"/>
                  <w:tcBorders>
                    <w:tl2br w:val="nil"/>
                    <w:tr2bl w:val="nil"/>
                  </w:tcBorders>
                  <w:noWrap/>
                  <w:vAlign w:val="center"/>
                </w:tcPr>
                <w:p w14:paraId="3E2E76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规格</w:t>
                  </w:r>
                </w:p>
              </w:tc>
              <w:tc>
                <w:tcPr>
                  <w:tcW w:w="1934" w:type="dxa"/>
                  <w:tcBorders>
                    <w:tl2br w:val="nil"/>
                    <w:tr2bl w:val="nil"/>
                  </w:tcBorders>
                  <w:noWrap/>
                  <w:vAlign w:val="center"/>
                </w:tcPr>
                <w:p w14:paraId="3E4DD7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年产量（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1935" w:type="dxa"/>
                  <w:tcBorders>
                    <w:tl2br w:val="nil"/>
                    <w:tr2bl w:val="nil"/>
                  </w:tcBorders>
                  <w:noWrap/>
                  <w:vAlign w:val="center"/>
                </w:tcPr>
                <w:p w14:paraId="27EBCA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备注</w:t>
                  </w:r>
                </w:p>
              </w:tc>
            </w:tr>
            <w:tr w14:paraId="76763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25" w:type="dxa"/>
                  <w:tcBorders>
                    <w:tl2br w:val="nil"/>
                    <w:tr2bl w:val="nil"/>
                  </w:tcBorders>
                  <w:noWrap/>
                  <w:vAlign w:val="center"/>
                </w:tcPr>
                <w:p w14:paraId="460CB6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1360" w:type="dxa"/>
                  <w:tcBorders>
                    <w:tl2br w:val="nil"/>
                    <w:tr2bl w:val="nil"/>
                  </w:tcBorders>
                  <w:noWrap/>
                  <w:vAlign w:val="center"/>
                </w:tcPr>
                <w:p w14:paraId="03EC3AA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速冻饺子</w:t>
                  </w:r>
                </w:p>
              </w:tc>
              <w:tc>
                <w:tcPr>
                  <w:tcW w:w="1791" w:type="dxa"/>
                  <w:tcBorders>
                    <w:tl2br w:val="nil"/>
                    <w:tr2bl w:val="nil"/>
                  </w:tcBorders>
                  <w:noWrap/>
                  <w:vAlign w:val="center"/>
                </w:tcPr>
                <w:p w14:paraId="641C51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每袋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500g</w:t>
                  </w:r>
                </w:p>
              </w:tc>
              <w:tc>
                <w:tcPr>
                  <w:tcW w:w="1934" w:type="dxa"/>
                  <w:tcBorders>
                    <w:tl2br w:val="nil"/>
                    <w:tr2bl w:val="nil"/>
                  </w:tcBorders>
                  <w:noWrap/>
                  <w:vAlign w:val="center"/>
                </w:tcPr>
                <w:p w14:paraId="1D7340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675</w:t>
                  </w:r>
                </w:p>
              </w:tc>
              <w:tc>
                <w:tcPr>
                  <w:tcW w:w="1935" w:type="dxa"/>
                  <w:vMerge w:val="restart"/>
                  <w:tcBorders>
                    <w:tl2br w:val="nil"/>
                    <w:tr2bl w:val="nil"/>
                  </w:tcBorders>
                  <w:noWrap/>
                  <w:vAlign w:val="center"/>
                </w:tcPr>
                <w:p w14:paraId="3C2DD2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产品执行《食品安全国家标准速冻米面制品》（GB19295-2021）标准。</w:t>
                  </w:r>
                </w:p>
              </w:tc>
            </w:tr>
            <w:tr w14:paraId="1DF1A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25" w:type="dxa"/>
                  <w:tcBorders>
                    <w:tl2br w:val="nil"/>
                    <w:tr2bl w:val="nil"/>
                  </w:tcBorders>
                  <w:noWrap/>
                  <w:vAlign w:val="center"/>
                </w:tcPr>
                <w:p w14:paraId="316A31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360" w:type="dxa"/>
                  <w:tcBorders>
                    <w:tl2br w:val="nil"/>
                    <w:tr2bl w:val="nil"/>
                  </w:tcBorders>
                  <w:noWrap/>
                  <w:vAlign w:val="center"/>
                </w:tcPr>
                <w:p w14:paraId="21C9F6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速冻馄饨</w:t>
                  </w:r>
                </w:p>
              </w:tc>
              <w:tc>
                <w:tcPr>
                  <w:tcW w:w="1791" w:type="dxa"/>
                  <w:tcBorders>
                    <w:tl2br w:val="nil"/>
                    <w:tr2bl w:val="nil"/>
                  </w:tcBorders>
                  <w:noWrap/>
                  <w:vAlign w:val="center"/>
                </w:tcPr>
                <w:p w14:paraId="14CC80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每袋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500g</w:t>
                  </w:r>
                </w:p>
              </w:tc>
              <w:tc>
                <w:tcPr>
                  <w:tcW w:w="1934" w:type="dxa"/>
                  <w:tcBorders>
                    <w:tl2br w:val="nil"/>
                    <w:tr2bl w:val="nil"/>
                  </w:tcBorders>
                  <w:noWrap/>
                  <w:vAlign w:val="center"/>
                </w:tcPr>
                <w:p w14:paraId="51009A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225</w:t>
                  </w:r>
                </w:p>
              </w:tc>
              <w:tc>
                <w:tcPr>
                  <w:tcW w:w="1935" w:type="dxa"/>
                  <w:vMerge w:val="continue"/>
                  <w:tcBorders>
                    <w:tl2br w:val="nil"/>
                    <w:tr2bl w:val="nil"/>
                  </w:tcBorders>
                  <w:noWrap/>
                  <w:vAlign w:val="center"/>
                </w:tcPr>
                <w:p w14:paraId="034B20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bl>
          <w:p w14:paraId="4805C69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根据《食品安全国家标准速冻米面制品》（GB19295-2021），本项目速冻制品生产过程中制定的产品质量见表 2-6。</w:t>
            </w:r>
          </w:p>
          <w:p w14:paraId="064F7353">
            <w:pPr>
              <w:keepNext/>
              <w:keepLines w:val="0"/>
              <w:suppressLineNumbers w:val="0"/>
              <w:spacing w:before="0" w:beforeAutospacing="0" w:after="0" w:afterAutospacing="0"/>
              <w:ind w:left="0" w:right="0"/>
              <w:jc w:val="cente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2-7 《食品安全国家标准速冻米面制品》（GB19295-2021）标准</w:t>
            </w:r>
          </w:p>
          <w:tbl>
            <w:tblPr>
              <w:tblStyle w:val="14"/>
              <w:tblW w:w="794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9"/>
              <w:gridCol w:w="2250"/>
              <w:gridCol w:w="1174"/>
              <w:gridCol w:w="1174"/>
              <w:gridCol w:w="1174"/>
              <w:gridCol w:w="1174"/>
            </w:tblGrid>
            <w:tr w14:paraId="5CC22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99" w:type="dxa"/>
                  <w:tcBorders>
                    <w:tl2br w:val="nil"/>
                    <w:tr2bl w:val="nil"/>
                  </w:tcBorders>
                  <w:vAlign w:val="center"/>
                </w:tcPr>
                <w:p w14:paraId="37CCAF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类别</w:t>
                  </w:r>
                </w:p>
              </w:tc>
              <w:tc>
                <w:tcPr>
                  <w:tcW w:w="2250" w:type="dxa"/>
                  <w:tcBorders>
                    <w:tl2br w:val="nil"/>
                    <w:tr2bl w:val="nil"/>
                  </w:tcBorders>
                  <w:vAlign w:val="center"/>
                </w:tcPr>
                <w:p w14:paraId="08CED5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p>
              </w:tc>
              <w:tc>
                <w:tcPr>
                  <w:tcW w:w="4696" w:type="dxa"/>
                  <w:gridSpan w:val="4"/>
                  <w:tcBorders>
                    <w:tl2br w:val="nil"/>
                    <w:tr2bl w:val="nil"/>
                  </w:tcBorders>
                  <w:vAlign w:val="center"/>
                </w:tcPr>
                <w:p w14:paraId="15121A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指标</w:t>
                  </w:r>
                </w:p>
              </w:tc>
            </w:tr>
            <w:tr w14:paraId="6227D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restart"/>
                  <w:tcBorders>
                    <w:tl2br w:val="nil"/>
                    <w:tr2bl w:val="nil"/>
                  </w:tcBorders>
                  <w:vAlign w:val="center"/>
                </w:tcPr>
                <w:p w14:paraId="746E4D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感官指标</w:t>
                  </w:r>
                </w:p>
              </w:tc>
              <w:tc>
                <w:tcPr>
                  <w:tcW w:w="2250" w:type="dxa"/>
                  <w:tcBorders>
                    <w:tl2br w:val="nil"/>
                    <w:tr2bl w:val="nil"/>
                  </w:tcBorders>
                  <w:vAlign w:val="center"/>
                </w:tcPr>
                <w:p w14:paraId="52C2CE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色泽</w:t>
                  </w:r>
                </w:p>
              </w:tc>
              <w:tc>
                <w:tcPr>
                  <w:tcW w:w="4696" w:type="dxa"/>
                  <w:gridSpan w:val="4"/>
                  <w:tcBorders>
                    <w:tl2br w:val="nil"/>
                    <w:tr2bl w:val="nil"/>
                  </w:tcBorders>
                  <w:vAlign w:val="center"/>
                </w:tcPr>
                <w:p w14:paraId="2A6F13E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具有该产品应有的色泽</w:t>
                  </w:r>
                </w:p>
              </w:tc>
            </w:tr>
            <w:tr w14:paraId="4FB97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continue"/>
                  <w:tcBorders>
                    <w:tl2br w:val="nil"/>
                    <w:tr2bl w:val="nil"/>
                  </w:tcBorders>
                  <w:vAlign w:val="center"/>
                </w:tcPr>
                <w:p w14:paraId="69198F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50" w:type="dxa"/>
                  <w:tcBorders>
                    <w:tl2br w:val="nil"/>
                    <w:tr2bl w:val="nil"/>
                  </w:tcBorders>
                  <w:vAlign w:val="center"/>
                </w:tcPr>
                <w:p w14:paraId="711EF7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滋味、气味</w:t>
                  </w:r>
                </w:p>
              </w:tc>
              <w:tc>
                <w:tcPr>
                  <w:tcW w:w="4696" w:type="dxa"/>
                  <w:gridSpan w:val="4"/>
                  <w:tcBorders>
                    <w:tl2br w:val="nil"/>
                    <w:tr2bl w:val="nil"/>
                  </w:tcBorders>
                  <w:vAlign w:val="center"/>
                </w:tcPr>
                <w:p w14:paraId="703077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具有该产品应有的滋味、气味，无异味</w:t>
                  </w:r>
                </w:p>
              </w:tc>
            </w:tr>
            <w:tr w14:paraId="340FE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continue"/>
                  <w:tcBorders>
                    <w:tl2br w:val="nil"/>
                    <w:tr2bl w:val="nil"/>
                  </w:tcBorders>
                  <w:vAlign w:val="center"/>
                </w:tcPr>
                <w:p w14:paraId="3B7DF0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50" w:type="dxa"/>
                  <w:tcBorders>
                    <w:tl2br w:val="nil"/>
                    <w:tr2bl w:val="nil"/>
                  </w:tcBorders>
                  <w:vAlign w:val="center"/>
                </w:tcPr>
                <w:p w14:paraId="6FF44A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状态</w:t>
                  </w:r>
                </w:p>
              </w:tc>
              <w:tc>
                <w:tcPr>
                  <w:tcW w:w="4696" w:type="dxa"/>
                  <w:gridSpan w:val="4"/>
                  <w:tcBorders>
                    <w:tl2br w:val="nil"/>
                    <w:tr2bl w:val="nil"/>
                  </w:tcBorders>
                  <w:vAlign w:val="center"/>
                </w:tcPr>
                <w:p w14:paraId="4249B7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具有该产品应有的形态，不变形，不破损，表面无结霜。外表及内部均为肉眼可见异物</w:t>
                  </w:r>
                </w:p>
              </w:tc>
            </w:tr>
            <w:tr w14:paraId="7915E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tcBorders>
                    <w:tl2br w:val="nil"/>
                    <w:tr2bl w:val="nil"/>
                  </w:tcBorders>
                  <w:vAlign w:val="center"/>
                </w:tcPr>
                <w:p w14:paraId="7F7145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理化指标</w:t>
                  </w:r>
                </w:p>
              </w:tc>
              <w:tc>
                <w:tcPr>
                  <w:tcW w:w="2250" w:type="dxa"/>
                  <w:tcBorders>
                    <w:tl2br w:val="nil"/>
                    <w:tr2bl w:val="nil"/>
                  </w:tcBorders>
                  <w:vAlign w:val="center"/>
                </w:tcPr>
                <w:p w14:paraId="05313E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过氧化值（以脂肪计）/（g/100g）</w:t>
                  </w:r>
                </w:p>
              </w:tc>
              <w:tc>
                <w:tcPr>
                  <w:tcW w:w="4696" w:type="dxa"/>
                  <w:gridSpan w:val="4"/>
                  <w:tcBorders>
                    <w:tl2br w:val="nil"/>
                    <w:tr2bl w:val="nil"/>
                  </w:tcBorders>
                  <w:vAlign w:val="center"/>
                </w:tcPr>
                <w:p w14:paraId="538562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≤0.25</w:t>
                  </w:r>
                </w:p>
              </w:tc>
            </w:tr>
            <w:tr w14:paraId="1F4CA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999" w:type="dxa"/>
                  <w:vMerge w:val="restart"/>
                  <w:tcBorders>
                    <w:tl2br w:val="nil"/>
                    <w:tr2bl w:val="nil"/>
                  </w:tcBorders>
                  <w:vAlign w:val="center"/>
                </w:tcPr>
                <w:p w14:paraId="6BB044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微生物限值</w:t>
                  </w:r>
                </w:p>
              </w:tc>
              <w:tc>
                <w:tcPr>
                  <w:tcW w:w="2250" w:type="dxa"/>
                  <w:vMerge w:val="restart"/>
                  <w:tcBorders>
                    <w:tl2br w:val="nil"/>
                    <w:tr2bl w:val="nil"/>
                  </w:tcBorders>
                  <w:vAlign w:val="center"/>
                </w:tcPr>
                <w:p w14:paraId="65DD8F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p>
              </w:tc>
              <w:tc>
                <w:tcPr>
                  <w:tcW w:w="4696" w:type="dxa"/>
                  <w:gridSpan w:val="4"/>
                  <w:tcBorders>
                    <w:tl2br w:val="nil"/>
                    <w:tr2bl w:val="nil"/>
                  </w:tcBorders>
                  <w:vAlign w:val="center"/>
                </w:tcPr>
                <w:p w14:paraId="67DB32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采样方案及限量</w:t>
                  </w:r>
                </w:p>
              </w:tc>
            </w:tr>
            <w:tr w14:paraId="3F5D2F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continue"/>
                  <w:tcBorders>
                    <w:tl2br w:val="nil"/>
                    <w:tr2bl w:val="nil"/>
                  </w:tcBorders>
                  <w:vAlign w:val="center"/>
                </w:tcPr>
                <w:p w14:paraId="56FCF5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50" w:type="dxa"/>
                  <w:vMerge w:val="continue"/>
                  <w:tcBorders>
                    <w:tl2br w:val="nil"/>
                    <w:tr2bl w:val="nil"/>
                  </w:tcBorders>
                  <w:vAlign w:val="center"/>
                </w:tcPr>
                <w:p w14:paraId="6D6E95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174" w:type="dxa"/>
                  <w:tcBorders>
                    <w:tl2br w:val="nil"/>
                    <w:tr2bl w:val="nil"/>
                  </w:tcBorders>
                  <w:vAlign w:val="center"/>
                </w:tcPr>
                <w:p w14:paraId="028564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w:t>
                  </w:r>
                </w:p>
              </w:tc>
              <w:tc>
                <w:tcPr>
                  <w:tcW w:w="1174" w:type="dxa"/>
                  <w:tcBorders>
                    <w:tl2br w:val="nil"/>
                    <w:tr2bl w:val="nil"/>
                  </w:tcBorders>
                  <w:vAlign w:val="center"/>
                </w:tcPr>
                <w:p w14:paraId="054A09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w:t>
                  </w:r>
                </w:p>
              </w:tc>
              <w:tc>
                <w:tcPr>
                  <w:tcW w:w="1174" w:type="dxa"/>
                  <w:tcBorders>
                    <w:tl2br w:val="nil"/>
                    <w:tr2bl w:val="nil"/>
                  </w:tcBorders>
                  <w:vAlign w:val="center"/>
                </w:tcPr>
                <w:p w14:paraId="3EE6F1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p>
              </w:tc>
              <w:tc>
                <w:tcPr>
                  <w:tcW w:w="1174" w:type="dxa"/>
                  <w:tcBorders>
                    <w:tl2br w:val="nil"/>
                    <w:tr2bl w:val="nil"/>
                  </w:tcBorders>
                  <w:vAlign w:val="center"/>
                </w:tcPr>
                <w:p w14:paraId="06D1AD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p>
              </w:tc>
            </w:tr>
            <w:tr w14:paraId="425A1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continue"/>
                  <w:tcBorders>
                    <w:tl2br w:val="nil"/>
                    <w:tr2bl w:val="nil"/>
                  </w:tcBorders>
                  <w:vAlign w:val="center"/>
                </w:tcPr>
                <w:p w14:paraId="5C61CF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50" w:type="dxa"/>
                  <w:tcBorders>
                    <w:tl2br w:val="nil"/>
                    <w:tr2bl w:val="nil"/>
                  </w:tcBorders>
                  <w:vAlign w:val="center"/>
                </w:tcPr>
                <w:p w14:paraId="17E691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菌落总数（CFU/g）</w:t>
                  </w:r>
                </w:p>
              </w:tc>
              <w:tc>
                <w:tcPr>
                  <w:tcW w:w="1174" w:type="dxa"/>
                  <w:tcBorders>
                    <w:tl2br w:val="nil"/>
                    <w:tr2bl w:val="nil"/>
                  </w:tcBorders>
                  <w:vAlign w:val="center"/>
                </w:tcPr>
                <w:p w14:paraId="67263C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1174" w:type="dxa"/>
                  <w:tcBorders>
                    <w:tl2br w:val="nil"/>
                    <w:tr2bl w:val="nil"/>
                  </w:tcBorders>
                  <w:vAlign w:val="center"/>
                </w:tcPr>
                <w:p w14:paraId="474B06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1174" w:type="dxa"/>
                  <w:tcBorders>
                    <w:tl2br w:val="nil"/>
                    <w:tr2bl w:val="nil"/>
                  </w:tcBorders>
                  <w:vAlign w:val="center"/>
                </w:tcPr>
                <w:p w14:paraId="56FC17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4</w:t>
                  </w:r>
                </w:p>
              </w:tc>
              <w:tc>
                <w:tcPr>
                  <w:tcW w:w="1174" w:type="dxa"/>
                  <w:tcBorders>
                    <w:tl2br w:val="nil"/>
                    <w:tr2bl w:val="nil"/>
                  </w:tcBorders>
                  <w:vAlign w:val="center"/>
                </w:tcPr>
                <w:p w14:paraId="1122A0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5</w:t>
                  </w:r>
                </w:p>
              </w:tc>
            </w:tr>
            <w:tr w14:paraId="582DB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dxa"/>
                  <w:vMerge w:val="continue"/>
                  <w:tcBorders>
                    <w:tl2br w:val="nil"/>
                    <w:tr2bl w:val="nil"/>
                  </w:tcBorders>
                  <w:vAlign w:val="center"/>
                </w:tcPr>
                <w:p w14:paraId="62B5E2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50" w:type="dxa"/>
                  <w:tcBorders>
                    <w:tl2br w:val="nil"/>
                    <w:tr2bl w:val="nil"/>
                  </w:tcBorders>
                  <w:vAlign w:val="center"/>
                </w:tcPr>
                <w:p w14:paraId="2D7530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大肠杆菌（CFU/g）</w:t>
                  </w:r>
                </w:p>
              </w:tc>
              <w:tc>
                <w:tcPr>
                  <w:tcW w:w="1174" w:type="dxa"/>
                  <w:tcBorders>
                    <w:tl2br w:val="nil"/>
                    <w:tr2bl w:val="nil"/>
                  </w:tcBorders>
                  <w:vAlign w:val="center"/>
                </w:tcPr>
                <w:p w14:paraId="6421AC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1174" w:type="dxa"/>
                  <w:tcBorders>
                    <w:tl2br w:val="nil"/>
                    <w:tr2bl w:val="nil"/>
                  </w:tcBorders>
                  <w:vAlign w:val="center"/>
                </w:tcPr>
                <w:p w14:paraId="06D766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174" w:type="dxa"/>
                  <w:tcBorders>
                    <w:tl2br w:val="nil"/>
                    <w:tr2bl w:val="nil"/>
                  </w:tcBorders>
                  <w:vAlign w:val="center"/>
                </w:tcPr>
                <w:p w14:paraId="7AA3C0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p>
              </w:tc>
              <w:tc>
                <w:tcPr>
                  <w:tcW w:w="1174" w:type="dxa"/>
                  <w:tcBorders>
                    <w:tl2br w:val="nil"/>
                    <w:tr2bl w:val="nil"/>
                  </w:tcBorders>
                  <w:vAlign w:val="center"/>
                </w:tcPr>
                <w:p w14:paraId="539F52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p>
              </w:tc>
            </w:tr>
          </w:tbl>
          <w:p w14:paraId="305A52A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kern w:val="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本项目物料平衡见下表。</w:t>
            </w:r>
          </w:p>
          <w:p w14:paraId="495ABCDB">
            <w:pPr>
              <w:jc w:val="center"/>
              <w:rPr>
                <w:rFonts w:hint="default" w:ascii="Times New Roman" w:hAnsi="Times New Roman" w:eastAsia="宋体" w:cs="Times New Roman"/>
                <w:b/>
                <w:color w:val="FF0000"/>
                <w:sz w:val="24"/>
                <w:szCs w:val="24"/>
              </w:rPr>
            </w:pPr>
            <w:r>
              <w:rPr>
                <w:rFonts w:hint="default" w:ascii="Times New Roman" w:hAnsi="Times New Roman" w:eastAsia="宋体" w:cs="Times New Roman"/>
                <w:b/>
                <w:color w:val="FF0000"/>
                <w:sz w:val="24"/>
                <w:szCs w:val="24"/>
              </w:rPr>
              <w:t>表2-</w:t>
            </w:r>
            <w:r>
              <w:rPr>
                <w:rFonts w:hint="default" w:ascii="Times New Roman" w:hAnsi="Times New Roman" w:eastAsia="宋体" w:cs="Times New Roman"/>
                <w:b/>
                <w:color w:val="FF0000"/>
                <w:sz w:val="24"/>
                <w:szCs w:val="24"/>
                <w:lang w:val="en-US" w:eastAsia="zh-CN"/>
              </w:rPr>
              <w:t>8</w:t>
            </w:r>
            <w:r>
              <w:rPr>
                <w:rFonts w:hint="default" w:ascii="Times New Roman" w:hAnsi="Times New Roman" w:eastAsia="宋体" w:cs="Times New Roman"/>
                <w:b/>
                <w:color w:val="FF0000"/>
                <w:sz w:val="24"/>
                <w:szCs w:val="24"/>
              </w:rPr>
              <w:t>物料平衡表</w:t>
            </w:r>
          </w:p>
          <w:tbl>
            <w:tblPr>
              <w:tblStyle w:val="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15"/>
              <w:gridCol w:w="2447"/>
              <w:gridCol w:w="1823"/>
            </w:tblGrid>
            <w:tr w14:paraId="3D86B4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9" w:type="pct"/>
                  <w:tcBorders>
                    <w:top w:val="single" w:color="auto" w:sz="12" w:space="0"/>
                    <w:left w:val="nil"/>
                    <w:bottom w:val="single" w:color="auto" w:sz="4" w:space="0"/>
                    <w:right w:val="single" w:color="auto" w:sz="4" w:space="0"/>
                    <w:tl2br w:val="nil"/>
                    <w:tr2bl w:val="nil"/>
                  </w:tcBorders>
                  <w:noWrap w:val="0"/>
                  <w:vAlign w:val="center"/>
                </w:tcPr>
                <w:p w14:paraId="328B27F7">
                  <w:pPr>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投入</w:t>
                  </w:r>
                </w:p>
              </w:tc>
              <w:tc>
                <w:tcPr>
                  <w:tcW w:w="1142"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193F1AB7">
                  <w:pPr>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年投入量（t）</w:t>
                  </w:r>
                </w:p>
              </w:tc>
              <w:tc>
                <w:tcPr>
                  <w:tcW w:w="1540"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1C4F9A21">
                  <w:pPr>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产出</w:t>
                  </w:r>
                </w:p>
              </w:tc>
              <w:tc>
                <w:tcPr>
                  <w:tcW w:w="1147" w:type="pct"/>
                  <w:tcBorders>
                    <w:top w:val="single" w:color="auto" w:sz="12" w:space="0"/>
                    <w:left w:val="single" w:color="auto" w:sz="4" w:space="0"/>
                    <w:bottom w:val="single" w:color="auto" w:sz="4" w:space="0"/>
                    <w:right w:val="nil"/>
                    <w:tl2br w:val="nil"/>
                    <w:tr2bl w:val="nil"/>
                  </w:tcBorders>
                  <w:noWrap w:val="0"/>
                  <w:vAlign w:val="center"/>
                </w:tcPr>
                <w:p w14:paraId="1E4673B4">
                  <w:pPr>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年产出量（t）</w:t>
                  </w:r>
                </w:p>
              </w:tc>
            </w:tr>
            <w:tr w14:paraId="46922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2B32E65C">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面粉</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CC1D451">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300</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275DEEB">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产品</w:t>
                  </w: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0ACF5334">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900</w:t>
                  </w:r>
                </w:p>
              </w:tc>
            </w:tr>
            <w:tr w14:paraId="5116B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533B7C23">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蔬菜</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E7EEB2">
                  <w:pPr>
                    <w:widowControl/>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0"/>
                      <w:sz w:val="21"/>
                      <w:szCs w:val="21"/>
                      <w:lang w:val="en-US" w:eastAsia="zh-CN" w:bidi="ar"/>
                    </w:rPr>
                    <w:t>210</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3134B14">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面粉粉尘</w:t>
                  </w: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6EA98EC5">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0.0255</w:t>
                  </w:r>
                </w:p>
              </w:tc>
            </w:tr>
            <w:tr w14:paraId="1C448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3A5204C0">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肉</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D2C11F">
                  <w:pPr>
                    <w:widowControl/>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0"/>
                      <w:sz w:val="21"/>
                      <w:szCs w:val="21"/>
                      <w:lang w:val="en-US" w:eastAsia="zh-CN" w:bidi="ar"/>
                    </w:rPr>
                    <w:t>180</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04117A">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废弃原材料及不合格产品</w:t>
                  </w: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7AEDEC8A">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3.5545</w:t>
                  </w:r>
                </w:p>
              </w:tc>
            </w:tr>
            <w:tr w14:paraId="456C3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559DDF7C">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鸡蛋</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926BD2">
                  <w:pPr>
                    <w:widowControl/>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72</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9BD793F">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鸡蛋壳</w:t>
                  </w: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3DD81B33">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7.92</w:t>
                  </w:r>
                </w:p>
              </w:tc>
            </w:tr>
            <w:tr w14:paraId="5DD645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2860D11D">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和面用水</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04FA406">
                  <w:pPr>
                    <w:widowControl/>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135</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4F7CAA">
                  <w:pPr>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废油脂</w:t>
                  </w: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7E064539">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0.5</w:t>
                  </w:r>
                </w:p>
              </w:tc>
            </w:tr>
            <w:tr w14:paraId="60B33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pct"/>
                  <w:tcBorders>
                    <w:top w:val="single" w:color="auto" w:sz="4" w:space="0"/>
                    <w:left w:val="nil"/>
                    <w:bottom w:val="single" w:color="auto" w:sz="4" w:space="0"/>
                    <w:right w:val="single" w:color="auto" w:sz="4" w:space="0"/>
                    <w:tl2br w:val="nil"/>
                    <w:tr2bl w:val="nil"/>
                  </w:tcBorders>
                  <w:noWrap w:val="0"/>
                  <w:vAlign w:val="center"/>
                </w:tcPr>
                <w:p w14:paraId="41FCD907">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调料</w:t>
                  </w:r>
                </w:p>
              </w:tc>
              <w:tc>
                <w:tcPr>
                  <w:tcW w:w="11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C6E130">
                  <w:pPr>
                    <w:widowControl/>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15</w:t>
                  </w:r>
                </w:p>
              </w:tc>
              <w:tc>
                <w:tcPr>
                  <w:tcW w:w="15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F3E624">
                  <w:pPr>
                    <w:jc w:val="center"/>
                    <w:rPr>
                      <w:rFonts w:hint="default" w:ascii="Times New Roman" w:hAnsi="Times New Roman" w:eastAsia="宋体" w:cs="Times New Roman"/>
                      <w:color w:val="FF0000"/>
                      <w:sz w:val="21"/>
                      <w:szCs w:val="21"/>
                    </w:rPr>
                  </w:pPr>
                </w:p>
              </w:tc>
              <w:tc>
                <w:tcPr>
                  <w:tcW w:w="1147" w:type="pct"/>
                  <w:tcBorders>
                    <w:top w:val="single" w:color="auto" w:sz="4" w:space="0"/>
                    <w:left w:val="single" w:color="auto" w:sz="4" w:space="0"/>
                    <w:bottom w:val="single" w:color="auto" w:sz="4" w:space="0"/>
                    <w:right w:val="nil"/>
                    <w:tl2br w:val="nil"/>
                    <w:tr2bl w:val="nil"/>
                  </w:tcBorders>
                  <w:noWrap w:val="0"/>
                  <w:vAlign w:val="center"/>
                </w:tcPr>
                <w:p w14:paraId="4DC269F0">
                  <w:pPr>
                    <w:jc w:val="center"/>
                    <w:rPr>
                      <w:rFonts w:hint="default" w:ascii="Times New Roman" w:hAnsi="Times New Roman" w:eastAsia="宋体" w:cs="Times New Roman"/>
                      <w:color w:val="FF0000"/>
                      <w:sz w:val="21"/>
                      <w:szCs w:val="21"/>
                    </w:rPr>
                  </w:pPr>
                </w:p>
              </w:tc>
            </w:tr>
            <w:tr w14:paraId="33B42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169" w:type="pct"/>
                  <w:tcBorders>
                    <w:top w:val="single" w:color="auto" w:sz="4" w:space="0"/>
                    <w:left w:val="nil"/>
                    <w:bottom w:val="single" w:color="auto" w:sz="12" w:space="0"/>
                    <w:right w:val="single" w:color="auto" w:sz="4" w:space="0"/>
                    <w:tl2br w:val="nil"/>
                    <w:tr2bl w:val="nil"/>
                  </w:tcBorders>
                  <w:noWrap w:val="0"/>
                  <w:vAlign w:val="center"/>
                </w:tcPr>
                <w:p w14:paraId="38DAE373">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合计</w:t>
                  </w:r>
                </w:p>
              </w:tc>
              <w:tc>
                <w:tcPr>
                  <w:tcW w:w="1142"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04690B11">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912</w:t>
                  </w:r>
                </w:p>
              </w:tc>
              <w:tc>
                <w:tcPr>
                  <w:tcW w:w="1540"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032FC734">
                  <w:pPr>
                    <w:jc w:val="center"/>
                    <w:rPr>
                      <w:rFonts w:hint="default" w:ascii="Times New Roman" w:hAnsi="Times New Roman" w:eastAsia="宋体" w:cs="Times New Roman"/>
                      <w:color w:val="FF0000"/>
                      <w:sz w:val="21"/>
                      <w:szCs w:val="21"/>
                    </w:rPr>
                  </w:pPr>
                </w:p>
              </w:tc>
              <w:tc>
                <w:tcPr>
                  <w:tcW w:w="1147" w:type="pct"/>
                  <w:tcBorders>
                    <w:top w:val="single" w:color="auto" w:sz="4" w:space="0"/>
                    <w:left w:val="single" w:color="auto" w:sz="4" w:space="0"/>
                    <w:bottom w:val="single" w:color="auto" w:sz="12" w:space="0"/>
                    <w:right w:val="nil"/>
                    <w:tl2br w:val="nil"/>
                    <w:tr2bl w:val="nil"/>
                  </w:tcBorders>
                  <w:noWrap w:val="0"/>
                  <w:vAlign w:val="center"/>
                </w:tcPr>
                <w:p w14:paraId="22F7277F">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912</w:t>
                  </w:r>
                </w:p>
              </w:tc>
            </w:tr>
          </w:tbl>
          <w:p w14:paraId="00F65030">
            <w:pPr>
              <w:rPr>
                <w:rFonts w:hint="default" w:ascii="Times New Roman" w:hAnsi="Times New Roman" w:eastAsia="宋体" w:cs="Times New Roman"/>
                <w:lang w:val="en-US" w:eastAsia="zh-CN"/>
              </w:rPr>
            </w:pPr>
          </w:p>
          <w:p w14:paraId="00291EA5">
            <w:pPr>
              <w:keepNext w:val="0"/>
              <w:keepLines w:val="0"/>
              <w:widowControl/>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6、</w:t>
            </w:r>
            <w:r>
              <w:rPr>
                <w:rFonts w:hint="default" w:ascii="Times New Roman" w:hAnsi="Times New Roman" w:eastAsia="宋体" w:cs="Times New Roman"/>
                <w:b/>
                <w:color w:val="000000" w:themeColor="text1"/>
                <w:sz w:val="24"/>
                <w:szCs w:val="24"/>
                <w:highlight w:val="none"/>
                <w14:textFill>
                  <w14:solidFill>
                    <w14:schemeClr w14:val="tx1"/>
                  </w14:solidFill>
                </w14:textFill>
              </w:rPr>
              <w:t>公用工程</w:t>
            </w:r>
          </w:p>
          <w:p w14:paraId="6E661A5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给水</w:t>
            </w:r>
          </w:p>
          <w:p w14:paraId="7E65318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①生活用水</w:t>
            </w:r>
          </w:p>
          <w:p w14:paraId="6A29235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项目劳动定员15人，</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根据《用水定额》（黑龙江省地方标准DB23/T727-2021）中表H.2居民生活用水定额，按每人每天用水量80L，年工作日</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300</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d</w:t>
            </w: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用水量为</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1.2t</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/d</w:t>
            </w: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360t</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/a。</w:t>
            </w:r>
          </w:p>
          <w:p w14:paraId="74128EF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kern w:val="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②生产用水</w:t>
            </w:r>
          </w:p>
          <w:p w14:paraId="51F72FC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A.和面用水：根据建设单位提供数据，和面用水为软水，和面用水投入量为每1kg面粉加入0.45kg水，水量约为135t/a（0.45t/d）。和面用水全部进入产品。</w:t>
            </w:r>
          </w:p>
          <w:p w14:paraId="3634FEC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B.肉类清洗用水：根据建设单位提供数据，本项目肉类原料在加工前需进行清洗，每1吨肉约使用0.5t水。本项目肉类原料年用量为180t/a，则肉类清洗用水90t/a，0.3t/d。</w:t>
            </w:r>
          </w:p>
          <w:p w14:paraId="3ECC87D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C.蔬菜清洗用水：根据建设单位提供数据，蔬菜加工前需进行清洗，洗菜用水量约为3.5m</w:t>
            </w:r>
            <w:r>
              <w:rPr>
                <w:rFonts w:hint="default" w:ascii="Times New Roman" w:hAnsi="Times New Roman" w:eastAsia="宋体" w:cs="Times New Roman"/>
                <w:b w:val="0"/>
                <w:bCs w:val="0"/>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/t原料，本项目蔬菜原料210吨，则蔬菜清洗用水为735t/a（2.45t/d）。</w:t>
            </w:r>
          </w:p>
          <w:p w14:paraId="3086F8C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D.设备清洗用水：本项目在投产后需在每天结束生产后对生产容器、生产设备进行清洗，本项目设备清洗水量约为</w:t>
            </w:r>
            <w:r>
              <w:rPr>
                <w:rFonts w:hint="default" w:ascii="Times New Roman" w:hAnsi="Times New Roman" w:eastAsia="宋体" w:cs="Times New Roman"/>
                <w:b w:val="0"/>
                <w:bCs w:val="0"/>
                <w:color w:val="FF0000"/>
                <w:kern w:val="0"/>
                <w:sz w:val="24"/>
                <w:szCs w:val="24"/>
                <w:highlight w:val="none"/>
                <w:lang w:val="en-US" w:eastAsia="zh-CN"/>
              </w:rPr>
              <w:t>3t/d，900t/a</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7A3225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E.地面清洗用水：本项目投产后需在每天结束生产后对生产车间地面进行清洗消毒，需进行的清洗面积为600m</w:t>
            </w:r>
            <w:r>
              <w:rPr>
                <w:rFonts w:hint="default" w:ascii="Times New Roman" w:hAnsi="Times New Roman" w:eastAsia="宋体" w:cs="Times New Roman"/>
                <w:b w:val="0"/>
                <w:bCs w:val="0"/>
                <w:color w:val="000000" w:themeColor="text1"/>
                <w:kern w:val="0"/>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，包括洗菜间、切菜间、热加工间、拌馅间、肉、蛋白加工间、成型区。根据《建筑给排水设计规范》(GB50015-2003修订)，用水量按2L/m</w:t>
            </w:r>
            <w:r>
              <w:rPr>
                <w:rFonts w:hint="default" w:ascii="Times New Roman" w:hAnsi="Times New Roman" w:eastAsia="宋体" w:cs="Times New Roman"/>
                <w:b w:val="0"/>
                <w:bCs w:val="0"/>
                <w:color w:val="000000" w:themeColor="text1"/>
                <w:kern w:val="0"/>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计，则地面清洗用水量为1.2t/d，360t/a。</w:t>
            </w:r>
          </w:p>
          <w:p w14:paraId="4CD2354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kern w:val="0"/>
                <w:sz w:val="24"/>
                <w:szCs w:val="24"/>
                <w:highlight w:val="yellow"/>
                <w:lang w:val="en-US" w:eastAsia="zh-CN"/>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F.检验室用水：</w:t>
            </w:r>
            <w:r>
              <w:rPr>
                <w:rFonts w:hint="default" w:ascii="Times New Roman" w:hAnsi="Times New Roman" w:eastAsia="宋体" w:cs="Times New Roman"/>
                <w:b w:val="0"/>
                <w:bCs w:val="0"/>
                <w:color w:val="FF0000"/>
                <w:kern w:val="0"/>
                <w:sz w:val="24"/>
                <w:szCs w:val="24"/>
                <w:highlight w:val="none"/>
                <w:lang w:val="en-US" w:eastAsia="zh-CN"/>
              </w:rPr>
              <w:t>检验配液及清洗均使用纯水，配液纯水用水量约为0.005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/d(1.5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/a)，根据经验数据，其中配液检验用水量约0.005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/d(1.5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/a)，前三次器皿清洗用水用水量约0.005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/d(1.5</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/a)，三次以后器皿清洗用水量约0.01</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/d(3</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/a)，综上所述，本项目检验室用水量约为纯水0.02</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/d，6</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w:t>
            </w:r>
          </w:p>
          <w:p w14:paraId="5AF875F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kern w:val="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G.纯水制备：本项目和面、检验等用水过程均采用纯水，保证使用的水中不含杂质，保证食品安全。本项目采用RO反渗透工艺进行纯水制备，制备效率为85%。本项目需使用纯水共计0.47t/d，141t/a。则本项目纯水制备过程所用新鲜水水量为0.553t/d，165.9t/a。</w:t>
            </w:r>
          </w:p>
          <w:p w14:paraId="51A65A0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综上，本项目新鲜水用水总量为</w:t>
            </w:r>
            <w:r>
              <w:rPr>
                <w:rFonts w:hint="default" w:ascii="Times New Roman" w:hAnsi="Times New Roman" w:eastAsia="宋体" w:cs="Times New Roman"/>
                <w:b w:val="0"/>
                <w:bCs w:val="0"/>
                <w:color w:val="FF0000"/>
                <w:kern w:val="0"/>
                <w:sz w:val="24"/>
                <w:szCs w:val="24"/>
                <w:highlight w:val="none"/>
                <w:lang w:val="en-US" w:eastAsia="zh-CN"/>
              </w:rPr>
              <w:t>8.703t/d</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FF0000"/>
                <w:kern w:val="0"/>
                <w:sz w:val="24"/>
                <w:szCs w:val="24"/>
                <w:highlight w:val="none"/>
                <w:lang w:val="en-US" w:eastAsia="zh-CN"/>
              </w:rPr>
              <w:t>2620.9t/a</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5FB3F13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排水</w:t>
            </w:r>
          </w:p>
          <w:p w14:paraId="7D385E8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①生活污水</w:t>
            </w:r>
          </w:p>
          <w:p w14:paraId="1296C0E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本项目生活污水排水量按照用水量的80%计算，污水排水量为0.96t/d，288t/a。</w:t>
            </w:r>
          </w:p>
          <w:p w14:paraId="3BDA45B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kern w:val="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②生产废水</w:t>
            </w:r>
          </w:p>
          <w:p w14:paraId="5B7C0C9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A.肉类清洗废水：肉类清洗废水按用水量90%计，废水量为0.27t/d，81t/a。</w:t>
            </w:r>
          </w:p>
          <w:p w14:paraId="63FE2A6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B.蔬菜清洗废水：蔬菜清洗废水按用水量90%计，废水量为2.205t/d，661.5t/a。</w:t>
            </w:r>
          </w:p>
          <w:p w14:paraId="65F1E46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C.设备清洗废水：设备清洗废水按用水量90%计，废水量为</w:t>
            </w:r>
            <w:r>
              <w:rPr>
                <w:rFonts w:hint="default" w:ascii="Times New Roman" w:hAnsi="Times New Roman" w:eastAsia="宋体" w:cs="Times New Roman"/>
                <w:b w:val="0"/>
                <w:bCs w:val="0"/>
                <w:color w:val="FF0000"/>
                <w:kern w:val="0"/>
                <w:sz w:val="24"/>
                <w:szCs w:val="24"/>
                <w:highlight w:val="none"/>
                <w:lang w:val="en-US" w:eastAsia="zh-CN"/>
              </w:rPr>
              <w:t>2.7t/d，810t/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a。</w:t>
            </w:r>
          </w:p>
          <w:p w14:paraId="3A819CB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D.地面清洗废水：地面清洗废水按用水量90%计，废水量为1.08t/d，324t/a。</w:t>
            </w:r>
          </w:p>
          <w:p w14:paraId="630D81D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yellow"/>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E.检验室清洗废水</w:t>
            </w:r>
            <w:r>
              <w:rPr>
                <w:rFonts w:hint="default" w:ascii="Times New Roman" w:hAnsi="Times New Roman" w:eastAsia="宋体" w:cs="Times New Roman"/>
                <w:b w:val="0"/>
                <w:bCs w:val="0"/>
                <w:color w:val="FF0000"/>
                <w:kern w:val="0"/>
                <w:sz w:val="24"/>
                <w:szCs w:val="24"/>
                <w:highlight w:val="none"/>
                <w:lang w:val="en-US" w:eastAsia="zh-CN"/>
              </w:rPr>
              <w:t>：本项目已配制的检测完成或久置失效后的试液和检验器皿前3次清洗废水应当做检验废液(共计0.01</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/d，3</w:t>
            </w:r>
            <w:r>
              <w:rPr>
                <w:rFonts w:hint="eastAsia" w:ascii="Times New Roman" w:hAnsi="Times New Roman" w:eastAsia="宋体" w:cs="Times New Roman"/>
                <w:b w:val="0"/>
                <w:bCs w:val="0"/>
                <w:color w:val="FF0000"/>
                <w:kern w:val="0"/>
                <w:sz w:val="24"/>
                <w:szCs w:val="24"/>
                <w:highlight w:val="none"/>
                <w:lang w:val="en-US" w:eastAsia="zh-CN"/>
              </w:rPr>
              <w:t>t</w:t>
            </w:r>
            <w:r>
              <w:rPr>
                <w:rFonts w:hint="default" w:ascii="Times New Roman" w:hAnsi="Times New Roman" w:eastAsia="宋体" w:cs="Times New Roman"/>
                <w:b w:val="0"/>
                <w:bCs w:val="0"/>
                <w:color w:val="FF0000"/>
                <w:kern w:val="0"/>
                <w:sz w:val="24"/>
                <w:szCs w:val="24"/>
                <w:highlight w:val="none"/>
                <w:lang w:val="en-US" w:eastAsia="zh-CN"/>
              </w:rPr>
              <w:t>/a)，收集至</w:t>
            </w:r>
            <w:r>
              <w:rPr>
                <w:rFonts w:hint="eastAsia" w:ascii="Times New Roman" w:hAnsi="Times New Roman" w:eastAsia="宋体" w:cs="Times New Roman"/>
                <w:b w:val="0"/>
                <w:bCs w:val="0"/>
                <w:color w:val="FF0000"/>
                <w:kern w:val="0"/>
                <w:sz w:val="24"/>
                <w:szCs w:val="24"/>
                <w:highlight w:val="none"/>
                <w:lang w:val="en-US" w:eastAsia="zh-CN"/>
              </w:rPr>
              <w:t>危废暂存间</w:t>
            </w:r>
            <w:r>
              <w:rPr>
                <w:rFonts w:hint="default" w:ascii="Times New Roman" w:hAnsi="Times New Roman" w:eastAsia="宋体" w:cs="Times New Roman"/>
                <w:b w:val="0"/>
                <w:bCs w:val="0"/>
                <w:color w:val="FF0000"/>
                <w:kern w:val="0"/>
                <w:sz w:val="24"/>
                <w:szCs w:val="24"/>
                <w:highlight w:val="none"/>
                <w:lang w:val="en-US" w:eastAsia="zh-CN"/>
              </w:rPr>
              <w:t>，定期交由有资质的单位处置，不外排。检验器皿清洗第3次以后的废水，废水产生量按用水量的0.9计，则检验室清洗废水量约0.009t/d，2.7t/a。清洗废水收集后进入厂区污水处理站，处理达标后排入污水管网。</w:t>
            </w:r>
          </w:p>
          <w:p w14:paraId="3168B17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F.纯水制备废水：本项目纯水制备效率为85%，产生15%的制备废水，新鲜水用水量为</w:t>
            </w:r>
            <w:r>
              <w:rPr>
                <w:rFonts w:hint="default" w:ascii="Times New Roman" w:hAnsi="Times New Roman" w:eastAsia="宋体" w:cs="Times New Roman"/>
                <w:b w:val="0"/>
                <w:bCs w:val="0"/>
                <w:color w:val="FF0000"/>
                <w:kern w:val="0"/>
                <w:sz w:val="24"/>
                <w:szCs w:val="24"/>
                <w:highlight w:val="none"/>
                <w:lang w:val="en-US" w:eastAsia="zh-CN"/>
              </w:rPr>
              <w:t>0.553t/d，165.9t/a</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。生产过程纯水制备废水产生量为</w:t>
            </w:r>
            <w:r>
              <w:rPr>
                <w:rFonts w:hint="default" w:ascii="Times New Roman" w:hAnsi="Times New Roman" w:eastAsia="宋体" w:cs="Times New Roman"/>
                <w:b w:val="0"/>
                <w:bCs w:val="0"/>
                <w:color w:val="FF0000"/>
                <w:kern w:val="0"/>
                <w:sz w:val="24"/>
                <w:szCs w:val="24"/>
                <w:highlight w:val="none"/>
                <w:lang w:val="en-US" w:eastAsia="zh-CN"/>
              </w:rPr>
              <w:t>0.083t/d，24.9t/a。</w:t>
            </w:r>
          </w:p>
          <w:p w14:paraId="557D997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综上，本项目废水产生总量为</w:t>
            </w:r>
            <w:r>
              <w:rPr>
                <w:rFonts w:hint="default" w:ascii="Times New Roman" w:hAnsi="Times New Roman" w:eastAsia="宋体" w:cs="Times New Roman"/>
                <w:b w:val="0"/>
                <w:bCs w:val="0"/>
                <w:color w:val="FF0000"/>
                <w:kern w:val="0"/>
                <w:sz w:val="24"/>
                <w:szCs w:val="24"/>
                <w:highlight w:val="none"/>
                <w:lang w:val="en-US" w:eastAsia="zh-CN"/>
              </w:rPr>
              <w:t>7.307t/d，2192.1t/a</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本项目全厂水量平衡图详见图2-1。</w:t>
            </w:r>
          </w:p>
          <w:p w14:paraId="28ADC8D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FF0000"/>
                <w:kern w:val="0"/>
                <w:sz w:val="24"/>
                <w:szCs w:val="24"/>
                <w:highlight w:val="none"/>
              </w:rPr>
            </w:pPr>
            <w:r>
              <w:rPr>
                <w:rFonts w:hint="default" w:ascii="Times New Roman" w:hAnsi="Times New Roman" w:eastAsia="宋体" w:cs="Times New Roman"/>
                <w:b/>
                <w:color w:val="FF0000"/>
                <w:sz w:val="24"/>
                <w:szCs w:val="24"/>
                <w:highlight w:val="none"/>
              </w:rPr>
              <w:drawing>
                <wp:anchor distT="0" distB="0" distL="114300" distR="114300" simplePos="0" relativeHeight="251686912" behindDoc="0" locked="0" layoutInCell="1" allowOverlap="1">
                  <wp:simplePos x="0" y="0"/>
                  <wp:positionH relativeFrom="column">
                    <wp:posOffset>0</wp:posOffset>
                  </wp:positionH>
                  <wp:positionV relativeFrom="paragraph">
                    <wp:posOffset>0</wp:posOffset>
                  </wp:positionV>
                  <wp:extent cx="5044440" cy="2922905"/>
                  <wp:effectExtent l="0" t="0" r="3810" b="10795"/>
                  <wp:wrapSquare wrapText="bothSides"/>
                  <wp:docPr id="42" name="图片 42" descr="7a0df4bdde7a6e3912c17ec38a37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7a0df4bdde7a6e3912c17ec38a37e62"/>
                          <pic:cNvPicPr>
                            <a:picLocks noChangeAspect="1"/>
                          </pic:cNvPicPr>
                        </pic:nvPicPr>
                        <pic:blipFill>
                          <a:blip r:embed="rId13"/>
                          <a:stretch>
                            <a:fillRect/>
                          </a:stretch>
                        </pic:blipFill>
                        <pic:spPr>
                          <a:xfrm>
                            <a:off x="0" y="0"/>
                            <a:ext cx="5044440" cy="2922905"/>
                          </a:xfrm>
                          <a:prstGeom prst="rect">
                            <a:avLst/>
                          </a:prstGeom>
                        </pic:spPr>
                      </pic:pic>
                    </a:graphicData>
                  </a:graphic>
                </wp:anchor>
              </w:drawing>
            </w:r>
            <w:r>
              <w:rPr>
                <w:rFonts w:hint="default" w:ascii="Times New Roman" w:hAnsi="Times New Roman" w:eastAsia="宋体" w:cs="Times New Roman"/>
                <w:b/>
                <w:color w:val="FF0000"/>
                <w:sz w:val="24"/>
                <w:szCs w:val="24"/>
                <w:highlight w:val="none"/>
              </w:rPr>
              <w:t>图2-1 水量平衡图（</w:t>
            </w:r>
            <w:r>
              <w:rPr>
                <w:rFonts w:hint="eastAsia" w:ascii="Times New Roman" w:hAnsi="Times New Roman" w:eastAsia="宋体" w:cs="Times New Roman"/>
                <w:b/>
                <w:color w:val="FF0000"/>
                <w:sz w:val="24"/>
                <w:szCs w:val="24"/>
                <w:highlight w:val="none"/>
                <w:lang w:val="en-US" w:eastAsia="zh-CN"/>
              </w:rPr>
              <w:t>t</w:t>
            </w:r>
            <w:r>
              <w:rPr>
                <w:rFonts w:hint="default" w:ascii="Times New Roman" w:hAnsi="Times New Roman" w:eastAsia="宋体" w:cs="Times New Roman"/>
                <w:b/>
                <w:color w:val="FF0000"/>
                <w:sz w:val="24"/>
                <w:szCs w:val="24"/>
                <w:highlight w:val="none"/>
              </w:rPr>
              <w:t>/d）</w:t>
            </w:r>
          </w:p>
          <w:p w14:paraId="4BB6F0F4">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（3）供电</w:t>
            </w:r>
          </w:p>
          <w:p w14:paraId="56DC1F65">
            <w:pPr>
              <w:keepNext w:val="0"/>
              <w:keepLines w:val="0"/>
              <w:suppressLineNumbers w:val="0"/>
              <w:tabs>
                <w:tab w:val="left" w:pos="510"/>
              </w:tabs>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本项目用电由国家电网提供。</w:t>
            </w:r>
          </w:p>
          <w:p w14:paraId="6AF9184E">
            <w:pPr>
              <w:keepNext w:val="0"/>
              <w:keepLines w:val="0"/>
              <w:suppressLineNumbers w:val="0"/>
              <w:tabs>
                <w:tab w:val="left" w:pos="510"/>
              </w:tabs>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（4）供热</w:t>
            </w:r>
          </w:p>
          <w:p w14:paraId="6FE6A8F3">
            <w:pPr>
              <w:keepNext w:val="0"/>
              <w:keepLines w:val="0"/>
              <w:suppressLineNumbers w:val="0"/>
              <w:tabs>
                <w:tab w:val="left" w:pos="510"/>
              </w:tabs>
              <w:spacing w:before="0" w:beforeAutospacing="0" w:after="0" w:afterAutospacing="0" w:line="360" w:lineRule="auto"/>
              <w:ind w:left="0" w:right="0" w:firstLine="480"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本项目冬季供暖采用电锅炉。</w:t>
            </w:r>
          </w:p>
          <w:p w14:paraId="5E636620">
            <w:pPr>
              <w:keepNext w:val="0"/>
              <w:keepLines w:val="0"/>
              <w:widowControl/>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7、项目总平面布置</w:t>
            </w:r>
          </w:p>
          <w:p w14:paraId="6878B74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位于黑龙江省双鸭山市岭东区青山路933号，利用现有厂房建设本项目，内部主要划分为菜原料库、洗菜间、切菜、清洗间，热加工间、拌馅间、辅料库、肉、蛋白加工间、包材、纸箱库、冷藏库、面粉库、和面间、成型区、内包装间、外包装间等。本项目工艺流程顺畅，总体功能分区合理。具体平面布置见附图4。</w:t>
            </w:r>
          </w:p>
          <w:p w14:paraId="05900646">
            <w:pPr>
              <w:keepNext w:val="0"/>
              <w:keepLines w:val="0"/>
              <w:widowControl/>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FF0000"/>
                <w:kern w:val="0"/>
                <w:sz w:val="24"/>
                <w:szCs w:val="24"/>
                <w:highlight w:val="none"/>
                <w:lang w:val="en-US" w:eastAsia="zh-CN"/>
              </w:rPr>
            </w:pPr>
            <w:r>
              <w:rPr>
                <w:rFonts w:hint="default" w:ascii="Times New Roman" w:hAnsi="Times New Roman" w:eastAsia="宋体" w:cs="Times New Roman"/>
                <w:b/>
                <w:bCs/>
                <w:color w:val="FF0000"/>
                <w:kern w:val="0"/>
                <w:sz w:val="24"/>
                <w:szCs w:val="24"/>
                <w:highlight w:val="none"/>
                <w:lang w:val="en-US" w:eastAsia="zh-CN"/>
              </w:rPr>
              <w:t>8、生产车间环境要求</w:t>
            </w:r>
          </w:p>
          <w:p w14:paraId="640418F9">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根据本项目的生产内容，结合《食品企业通用卫生规范》(GB14881-2013)，生产车间要严格遵守如下规定：</w:t>
            </w:r>
          </w:p>
          <w:p w14:paraId="5F81D51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①车间应根据产品特点、生产工艺、生产特性以及生产过程对清洁程度的要求合理划分作业区，并采取有效分离或分隔，划分为清洁作业区和一般作业区，检验室与生产区域分隔。</w:t>
            </w:r>
          </w:p>
          <w:p w14:paraId="716C08E6">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②车间顶棚应易于清洁、消毒，在结构上不利于冷凝水垂直滴下，防止虫害和霉菌孳生。蒸汽、水、电等配件管路应避免设置于暴露食品的上方；食品加工用水与其他不与食品接触的用水(如废水等)应以完全分离的管路输送，避免交叉污染。</w:t>
            </w:r>
          </w:p>
          <w:p w14:paraId="756D0E74">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③车间内应配备防止渗漏、易于清洁的存放废弃物的专用设施;车间内存放废弃物的设施和容器应标识清晰。应制定废弃物存放和清除制度，废弃物应定期清除，易腐败的废弃物应尽快清除。</w:t>
            </w:r>
          </w:p>
          <w:p w14:paraId="0C9B759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④生产车间入口处应设置更衣室，更衣室应保证工作服与个人服装及其他物品分开放置。在清洁作业区入口设置洗手、干手和消毒设施；与消毒设施配套的水龙头其开关应为非手动式。</w:t>
            </w:r>
          </w:p>
          <w:p w14:paraId="2D5A81A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⑤原料、半成品、成品、包装材料等应依据性质的不同分设贮存场所、或分区域码放，并有明确标识，防止交叉污染。与原料、半成品、成品接触的设备与用具，应使用无毒、无味、抗腐蚀、不易脱落的材料制作，并应易于清洁和保养。</w:t>
            </w:r>
          </w:p>
          <w:p w14:paraId="5EF8C0A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⑥制定食品加工人员和食品生产卫生管理制度以及相应的考核标准，明确岗位职责，实行岗位责任制。</w:t>
            </w:r>
          </w:p>
          <w:p w14:paraId="04D4AA1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GB" w:eastAsia="zh-CN"/>
              </w:rPr>
            </w:pPr>
            <w:r>
              <w:rPr>
                <w:rFonts w:hint="default" w:ascii="Times New Roman" w:hAnsi="Times New Roman" w:eastAsia="宋体" w:cs="Times New Roman"/>
                <w:color w:val="FF0000"/>
                <w:sz w:val="24"/>
                <w:szCs w:val="24"/>
                <w:highlight w:val="none"/>
                <w:lang w:val="en-GB" w:eastAsia="zh-CN"/>
              </w:rPr>
              <w:t>⑦建立并执行食品加工人员健康管理制度。食品加工人员每年应进行健康检查，取得健康证明；上岗前应接受卫生培训。食品加工人员如患有痢疾、伤寒、甲型病毒性肝炎、戊型病毒性肝炎等消化道传染病，以及患有活动性肺结核、化脓性或者渗出性皮肤病等有碍食品安全的疾病，或有明显皮肤损伤未愈合的，应当调整到其他不影响食品安全的工作岗位。</w:t>
            </w:r>
          </w:p>
          <w:p w14:paraId="67768F1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GB" w:eastAsia="zh-CN"/>
              </w:rPr>
            </w:pPr>
            <w:r>
              <w:rPr>
                <w:rFonts w:hint="default" w:ascii="Times New Roman" w:hAnsi="Times New Roman" w:eastAsia="宋体" w:cs="Times New Roman"/>
                <w:color w:val="FF0000"/>
                <w:sz w:val="24"/>
                <w:szCs w:val="24"/>
                <w:highlight w:val="none"/>
                <w:lang w:val="en-GB" w:eastAsia="zh-CN"/>
              </w:rPr>
              <w:t>进入食品生产场所前应整理个人卫生，防止污染食品。进入作业区域应规范穿着洁净的工作服，并按要求洗手、消毒;头发应藏于工作帽内或使用发网约束。进入作业区域不应配戴饰物、手表，不应化妆、染指甲、喷洒香水；不得携带或存放与食品生产无关的个人用品。使用卫生间、接触可能污染食品的物品、或从事与食品生产无关的其他活动后，再次从事接触食品、食品工器具、食品设备等与食品生产相关的活动前应洗手消毒。</w:t>
            </w:r>
          </w:p>
          <w:p w14:paraId="26191821">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FF0000"/>
                <w:sz w:val="24"/>
                <w:szCs w:val="24"/>
                <w:highlight w:val="none"/>
                <w:lang w:val="en-GB" w:eastAsia="zh-CN"/>
              </w:rPr>
              <w:t>⑧生产车间及仓库应采取有效措施(如纱帘、纱网、防鼠板、防蝇灯、风幕等)，防止鼠类昆虫等侵入。若发现有虫鼠害痕迹时，应追查来源，消除隐患。车间应定期进行除虫灭害工作。采用物理、化学或生物制剂进行处理时，不应影响食品安全和食品应有的品质、不应污染食品接触表面、设备、工器具及包装材料。除虫灭害工作应有相应的记录。使用各类杀虫剂或其他药剂前，应做好预防措施避免对人身、食品、设备工具造成污染；不慎污染时，应及时将被污染的设备、工具彻底清洁，消除污染。</w:t>
            </w:r>
          </w:p>
        </w:tc>
      </w:tr>
      <w:tr w14:paraId="62DE6C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0" w:hRule="atLeast"/>
          <w:jc w:val="center"/>
        </w:trPr>
        <w:tc>
          <w:tcPr>
            <w:tcW w:w="823" w:type="dxa"/>
            <w:vAlign w:val="center"/>
          </w:tcPr>
          <w:p w14:paraId="2858E9D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工艺流程和产排污环节</w:t>
            </w:r>
          </w:p>
        </w:tc>
        <w:tc>
          <w:tcPr>
            <w:tcW w:w="8161" w:type="dxa"/>
          </w:tcPr>
          <w:p w14:paraId="3671821F">
            <w:pPr>
              <w:keepNext w:val="0"/>
              <w:keepLines w:val="0"/>
              <w:widowControl/>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1、施工期</w:t>
            </w:r>
          </w:p>
          <w:p w14:paraId="3E831E6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本项目在已建成的厂房内进行结构改造；将各类生产设备、机械等安装到指定位置，并进行调试和校准，确保设备能够正常运行。将各类生产设备、机械等安装到指定位置，并进行调试和校准，确保设备能够正常运行。</w:t>
            </w:r>
          </w:p>
          <w:p w14:paraId="01005BF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产污环节分析：</w:t>
            </w:r>
          </w:p>
          <w:p w14:paraId="12136AB9">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（1）内部结构改造、设备安装产生的噪声；</w:t>
            </w:r>
          </w:p>
          <w:p w14:paraId="10D9D65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（2）施工人员产生的生活污水和生活垃圾；</w:t>
            </w:r>
          </w:p>
          <w:p w14:paraId="3B531034">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（3）内部结构改造过程中产生的废气及建筑垃圾。</w:t>
            </w:r>
          </w:p>
          <w:p w14:paraId="5F4239D7">
            <w:pPr>
              <w:keepNext w:val="0"/>
              <w:keepLines w:val="0"/>
              <w:widowControl/>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2、运营期</w:t>
            </w:r>
          </w:p>
          <w:p w14:paraId="7B060C68">
            <w:pPr>
              <w:keepNext w:val="0"/>
              <w:keepLines w:val="0"/>
              <w:suppressLineNumbers w:val="0"/>
              <w:adjustRightInd w:val="0"/>
              <w:snapToGrid w:val="0"/>
              <w:spacing w:before="0" w:beforeAutospacing="0" w:after="0" w:afterAutospacing="0" w:line="360" w:lineRule="auto"/>
              <w:ind w:left="0" w:right="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本项目营运期工艺流程及主要产污环节：</w:t>
            </w:r>
          </w:p>
          <w:tbl>
            <w:tblPr>
              <w:tblStyle w:val="14"/>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45"/>
            </w:tblGrid>
            <w:tr w14:paraId="23856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945" w:type="dxa"/>
                  <w:vAlign w:val="top"/>
                </w:tcPr>
                <w:p w14:paraId="7E8A5D1B">
                  <w:pPr>
                    <w:keepNext w:val="0"/>
                    <w:keepLines w:val="0"/>
                    <w:widowControl/>
                    <w:suppressLineNumbers w:val="0"/>
                    <w:adjustRightInd w:val="0"/>
                    <w:snapToGrid w:val="0"/>
                    <w:spacing w:before="0" w:beforeAutospacing="0" w:after="0" w:afterAutospacing="0" w:line="360" w:lineRule="auto"/>
                    <w:ind w:right="0"/>
                    <w:rPr>
                      <w:rFonts w:hint="default" w:ascii="Times New Roman" w:hAnsi="Times New Roman" w:eastAsia="宋体" w:cs="Times New Roman"/>
                      <w:color w:val="000000" w:themeColor="text1"/>
                      <w:sz w:val="24"/>
                      <w:szCs w:val="24"/>
                      <w:highlight w:val="none"/>
                      <w:vertAlign w:val="baseli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vertAlign w:val="baseline"/>
                      <w:lang w:val="zh-CN" w:eastAsia="zh-CN"/>
                      <w14:textFill>
                        <w14:solidFill>
                          <w14:schemeClr w14:val="tx1"/>
                        </w14:solidFill>
                      </w14:textFill>
                    </w:rP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4907280" cy="4595495"/>
                        <wp:effectExtent l="0" t="0" r="7620" b="14605"/>
                        <wp:wrapSquare wrapText="bothSides"/>
                        <wp:docPr id="37" name="图片 37" descr="ac757fb69d48bacad52b93d0224e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c757fb69d48bacad52b93d0224ee78"/>
                                <pic:cNvPicPr>
                                  <a:picLocks noChangeAspect="1"/>
                                </pic:cNvPicPr>
                              </pic:nvPicPr>
                              <pic:blipFill>
                                <a:blip r:embed="rId14"/>
                                <a:stretch>
                                  <a:fillRect/>
                                </a:stretch>
                              </pic:blipFill>
                              <pic:spPr>
                                <a:xfrm>
                                  <a:off x="0" y="0"/>
                                  <a:ext cx="4907280" cy="4595495"/>
                                </a:xfrm>
                                <a:prstGeom prst="rect">
                                  <a:avLst/>
                                </a:prstGeom>
                              </pic:spPr>
                            </pic:pic>
                          </a:graphicData>
                        </a:graphic>
                      </wp:anchor>
                    </w:drawing>
                  </w:r>
                </w:p>
              </w:tc>
            </w:tr>
          </w:tbl>
          <w:p w14:paraId="32280684">
            <w:pPr>
              <w:keepNext w:val="0"/>
              <w:keepLines w:val="0"/>
              <w:widowControl/>
              <w:suppressLineNumbers w:val="0"/>
              <w:adjustRightInd w:val="0"/>
              <w:snapToGrid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eastAsia="zh-CN"/>
                <w14:textFill>
                  <w14:solidFill>
                    <w14:schemeClr w14:val="tx1"/>
                  </w14:solidFill>
                </w14:textFill>
              </w:rPr>
              <w:t>图2-</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lang w:val="zh-CN" w:eastAsia="zh-CN"/>
                <w14:textFill>
                  <w14:solidFill>
                    <w14:schemeClr w14:val="tx1"/>
                  </w14:solidFill>
                </w14:textFill>
              </w:rPr>
              <w:t>运营期工艺流程及产排污节点图</w:t>
            </w:r>
          </w:p>
          <w:p w14:paraId="69364F90">
            <w:pPr>
              <w:keepNext w:val="0"/>
              <w:keepLines w:val="0"/>
              <w:widowControl/>
              <w:suppressLineNumbers w:val="0"/>
              <w:adjustRightInd w:val="0"/>
              <w:snapToGrid w:val="0"/>
              <w:spacing w:before="0" w:beforeAutospacing="0" w:after="0" w:afterAutospacing="0" w:line="360" w:lineRule="auto"/>
              <w:ind w:left="0" w:right="0" w:firstLine="482" w:firstLineChars="200"/>
              <w:jc w:val="both"/>
              <w:rPr>
                <w:rFonts w:hint="default" w:ascii="Times New Roman" w:hAnsi="Times New Roman" w:eastAsia="宋体" w:cs="Times New Roman"/>
                <w:b/>
                <w:bCs/>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eastAsia="zh-CN"/>
                <w14:textFill>
                  <w14:solidFill>
                    <w14:schemeClr w14:val="tx1"/>
                  </w14:solidFill>
                </w14:textFill>
              </w:rPr>
              <w:t>工艺流程：</w:t>
            </w:r>
          </w:p>
          <w:p w14:paraId="54725282">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（1）面皮制作</w:t>
            </w:r>
          </w:p>
          <w:p w14:paraId="48D9B2D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将面粉从面粉库拆除包装，再通过传递通道进入和面间，面粉经称量、配比后投入到真空和面机(自动加水、面)，本项目使用真空和面机(自动加水、面)，将面粉与纯水按照一定比例加入和面机，在机器的均匀搅拌下将面揉成合适的状态。完成和面后的面团使用压面机进行压面，需达到机器设定的压面次数，压成统一大小的面皮。此工序会产生包装物、粉尘、噪声。</w:t>
            </w:r>
          </w:p>
          <w:p w14:paraId="56FCD389">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（2）蔬菜处理</w:t>
            </w:r>
          </w:p>
          <w:p w14:paraId="4E49706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蔬菜人工择菜，经过清洗槽清洗干净并甩干预处理后经切菜机、切丁机加工后备用；此工段产生清洗废水、废弃原材料以及设备噪声。</w:t>
            </w:r>
          </w:p>
          <w:p w14:paraId="37734B7D">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（3）肉类处理</w:t>
            </w:r>
          </w:p>
          <w:p w14:paraId="4845F3A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外购冷鲜肉清洗后放入绞肉机搅碎，或者放入斩拌机内斩成肉馅或肉泥状备用。此工段产生设备噪声、废弃原材料。</w:t>
            </w:r>
          </w:p>
          <w:p w14:paraId="2C4D2F2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）炒蛋生产线</w:t>
            </w:r>
          </w:p>
          <w:p w14:paraId="6028EFA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制作馅料需要炒制鸡蛋。此工序会产生鸡蛋壳、油烟、噪声。</w:t>
            </w:r>
          </w:p>
          <w:p w14:paraId="2DB0A44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）配料</w:t>
            </w:r>
          </w:p>
          <w:p w14:paraId="7D21815E">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将前道工序制作好的肉馅、蔬菜馅、炒制好的鸡蛋、调味品等经过电子天平的称重配置成不同的馅料备用，制作馅料的工序在制馅间中完成。此工序会产生调味品废弃包装。</w:t>
            </w:r>
          </w:p>
          <w:p w14:paraId="00FCA673">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）成型</w:t>
            </w:r>
          </w:p>
          <w:p w14:paraId="6B149E5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馅料和面皮经过输送机运输至水饺机或馄饨机中，制作成形状饱满、大小合适的水饺、馄饨。此工序会产生噪声。</w:t>
            </w:r>
          </w:p>
          <w:p w14:paraId="2B37824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）速冻</w:t>
            </w:r>
          </w:p>
          <w:p w14:paraId="4182AD1C">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成型后的饺子经速冻装置速冻。</w:t>
            </w:r>
          </w:p>
          <w:p w14:paraId="7535D834">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）包装、检验计量</w:t>
            </w:r>
          </w:p>
          <w:p w14:paraId="20DD21BE">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速冻后的产品经进行包装、检验计量。质量检测主要为感官、净含量、水分、馅含量、金属探测、微生物指标。此工序产生废弃包装物、不合格产品、检验室检验废液、</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p>
          <w:p w14:paraId="7980543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）成品入库</w:t>
            </w:r>
          </w:p>
          <w:p w14:paraId="7BF77DBE">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经包装、检验计量后的成品进入冷库储藏待售，冷藏库温度低于-18℃</w:t>
            </w:r>
          </w:p>
          <w:p w14:paraId="4F82CC3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（二）主要污染工序</w:t>
            </w:r>
          </w:p>
          <w:p w14:paraId="482F864F">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根据本项目的工程概况和工艺特点，其主要污染源及污染因子识别见下表。</w:t>
            </w:r>
          </w:p>
          <w:p w14:paraId="1C376BB2">
            <w:pPr>
              <w:spacing w:beforeLines="0" w:afterLines="0" w:line="240" w:lineRule="auto"/>
              <w:ind w:firstLine="0" w:firstLineChars="0"/>
              <w:jc w:val="center"/>
              <w:rPr>
                <w:rFonts w:hint="default" w:ascii="Times New Roman" w:hAnsi="Times New Roman" w:eastAsia="宋体" w:cs="Times New Roman"/>
                <w:b/>
                <w:color w:val="000000" w:themeColor="text1"/>
                <w:sz w:val="24"/>
                <w:szCs w:val="24"/>
                <w:lang w:eastAsia="zh-TW"/>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表2-</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9</w:t>
            </w:r>
            <w:r>
              <w:rPr>
                <w:rFonts w:hint="default" w:ascii="Times New Roman" w:hAnsi="Times New Roman" w:eastAsia="宋体" w:cs="Times New Roman"/>
                <w:b/>
                <w:color w:val="000000" w:themeColor="text1"/>
                <w:sz w:val="24"/>
                <w:szCs w:val="24"/>
                <w14:textFill>
                  <w14:solidFill>
                    <w14:schemeClr w14:val="tx1"/>
                  </w14:solidFill>
                </w14:textFill>
              </w:rPr>
              <w:t>主要污染源及污染因子识别</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6"/>
              <w:gridCol w:w="717"/>
              <w:gridCol w:w="1296"/>
              <w:gridCol w:w="1593"/>
              <w:gridCol w:w="3863"/>
            </w:tblGrid>
            <w:tr w14:paraId="4E7F3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7" w:hRule="atLeast"/>
                <w:jc w:val="center"/>
              </w:trPr>
              <w:tc>
                <w:tcPr>
                  <w:tcW w:w="750" w:type="pct"/>
                  <w:gridSpan w:val="2"/>
                  <w:tcBorders>
                    <w:top w:val="single" w:color="auto" w:sz="12" w:space="0"/>
                    <w:left w:val="nil"/>
                    <w:bottom w:val="single" w:color="auto" w:sz="4" w:space="0"/>
                    <w:right w:val="single" w:color="auto" w:sz="4" w:space="0"/>
                    <w:tl2br w:val="nil"/>
                    <w:tr2bl w:val="nil"/>
                  </w:tcBorders>
                  <w:noWrap/>
                  <w:vAlign w:val="center"/>
                </w:tcPr>
                <w:p w14:paraId="777D20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类型</w:t>
                  </w:r>
                </w:p>
              </w:tc>
              <w:tc>
                <w:tcPr>
                  <w:tcW w:w="815" w:type="pct"/>
                  <w:tcBorders>
                    <w:top w:val="single" w:color="auto" w:sz="12" w:space="0"/>
                    <w:left w:val="single" w:color="auto" w:sz="4" w:space="0"/>
                    <w:bottom w:val="single" w:color="auto" w:sz="4" w:space="0"/>
                    <w:right w:val="single" w:color="auto" w:sz="4" w:space="0"/>
                    <w:tl2br w:val="nil"/>
                    <w:tr2bl w:val="nil"/>
                  </w:tcBorders>
                  <w:noWrap/>
                  <w:vAlign w:val="center"/>
                </w:tcPr>
                <w:p w14:paraId="69847F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污染工序</w:t>
                  </w:r>
                </w:p>
              </w:tc>
              <w:tc>
                <w:tcPr>
                  <w:tcW w:w="1002" w:type="pct"/>
                  <w:tcBorders>
                    <w:top w:val="single" w:color="auto" w:sz="12" w:space="0"/>
                    <w:left w:val="single" w:color="auto" w:sz="4" w:space="0"/>
                    <w:bottom w:val="single" w:color="auto" w:sz="4" w:space="0"/>
                    <w:right w:val="single" w:color="auto" w:sz="4" w:space="0"/>
                    <w:tl2br w:val="nil"/>
                    <w:tr2bl w:val="nil"/>
                  </w:tcBorders>
                  <w:noWrap/>
                  <w:vAlign w:val="center"/>
                </w:tcPr>
                <w:p w14:paraId="198087E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主要污染物</w:t>
                  </w:r>
                </w:p>
              </w:tc>
              <w:tc>
                <w:tcPr>
                  <w:tcW w:w="2431" w:type="pct"/>
                  <w:tcBorders>
                    <w:top w:val="single" w:color="auto" w:sz="12" w:space="0"/>
                    <w:left w:val="single" w:color="auto" w:sz="4" w:space="0"/>
                    <w:bottom w:val="single" w:color="auto" w:sz="4" w:space="0"/>
                    <w:right w:val="nil"/>
                    <w:tl2br w:val="nil"/>
                    <w:tr2bl w:val="nil"/>
                  </w:tcBorders>
                  <w:noWrap/>
                  <w:vAlign w:val="center"/>
                </w:tcPr>
                <w:p w14:paraId="545DE2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治理措施</w:t>
                  </w:r>
                </w:p>
              </w:tc>
            </w:tr>
            <w:tr w14:paraId="7817B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299" w:type="pct"/>
                  <w:vMerge w:val="restart"/>
                  <w:tcBorders>
                    <w:top w:val="single" w:color="auto" w:sz="4" w:space="0"/>
                    <w:left w:val="nil"/>
                    <w:right w:val="single" w:color="auto" w:sz="4" w:space="0"/>
                    <w:tl2br w:val="nil"/>
                    <w:tr2bl w:val="nil"/>
                  </w:tcBorders>
                  <w:noWrap/>
                  <w:vAlign w:val="center"/>
                </w:tcPr>
                <w:p w14:paraId="325F33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运营期</w:t>
                  </w:r>
                </w:p>
              </w:tc>
              <w:tc>
                <w:tcPr>
                  <w:tcW w:w="451" w:type="pct"/>
                  <w:vMerge w:val="restart"/>
                  <w:tcBorders>
                    <w:top w:val="single" w:color="auto" w:sz="4" w:space="0"/>
                    <w:left w:val="single" w:color="auto" w:sz="4" w:space="0"/>
                    <w:right w:val="single" w:color="auto" w:sz="4" w:space="0"/>
                    <w:tl2br w:val="nil"/>
                    <w:tr2bl w:val="nil"/>
                  </w:tcBorders>
                  <w:noWrap/>
                  <w:vAlign w:val="center"/>
                </w:tcPr>
                <w:p w14:paraId="008BEC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废气</w:t>
                  </w:r>
                </w:p>
              </w:tc>
              <w:tc>
                <w:tcPr>
                  <w:tcW w:w="815" w:type="pct"/>
                  <w:tcBorders>
                    <w:top w:val="single" w:color="auto" w:sz="4" w:space="0"/>
                    <w:left w:val="single" w:color="auto" w:sz="4" w:space="0"/>
                    <w:right w:val="single" w:color="auto" w:sz="4" w:space="0"/>
                    <w:tl2br w:val="nil"/>
                    <w:tr2bl w:val="nil"/>
                  </w:tcBorders>
                  <w:noWrap/>
                  <w:vAlign w:val="center"/>
                </w:tcPr>
                <w:p w14:paraId="0D6BA2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拆袋、和面、</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投料</w:t>
                  </w:r>
                </w:p>
              </w:tc>
              <w:tc>
                <w:tcPr>
                  <w:tcW w:w="1002" w:type="pct"/>
                  <w:tcBorders>
                    <w:top w:val="single" w:color="auto" w:sz="4" w:space="0"/>
                    <w:left w:val="single" w:color="auto" w:sz="4" w:space="0"/>
                    <w:right w:val="single" w:color="auto" w:sz="4" w:space="0"/>
                    <w:tl2br w:val="nil"/>
                    <w:tr2bl w:val="nil"/>
                  </w:tcBorders>
                  <w:noWrap/>
                  <w:vAlign w:val="center"/>
                </w:tcPr>
                <w:p w14:paraId="73B2BF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粉尘</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56647F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和面车间密闭，采用真空和面机和面，人员搬运物料时注意轻拿轻放，投料时降低面粉投料高度，减小投料速度，沉降在车间内部的粉尘，每天进行清扫</w:t>
                  </w:r>
                </w:p>
              </w:tc>
            </w:tr>
            <w:tr w14:paraId="58762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299" w:type="pct"/>
                  <w:vMerge w:val="continue"/>
                  <w:tcBorders>
                    <w:left w:val="nil"/>
                    <w:right w:val="single" w:color="auto" w:sz="4" w:space="0"/>
                    <w:tl2br w:val="nil"/>
                    <w:tr2bl w:val="nil"/>
                  </w:tcBorders>
                  <w:noWrap/>
                  <w:vAlign w:val="center"/>
                </w:tcPr>
                <w:p w14:paraId="7AA48C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4520E5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right w:val="single" w:color="auto" w:sz="4" w:space="0"/>
                    <w:tl2br w:val="nil"/>
                    <w:tr2bl w:val="nil"/>
                  </w:tcBorders>
                  <w:noWrap/>
                  <w:vAlign w:val="center"/>
                </w:tcPr>
                <w:p w14:paraId="084C1969">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污水处理站</w:t>
                  </w:r>
                </w:p>
              </w:tc>
              <w:tc>
                <w:tcPr>
                  <w:tcW w:w="1002" w:type="pct"/>
                  <w:tcBorders>
                    <w:top w:val="single" w:color="auto" w:sz="4" w:space="0"/>
                    <w:left w:val="single" w:color="auto" w:sz="4" w:space="0"/>
                    <w:right w:val="single" w:color="auto" w:sz="4" w:space="0"/>
                    <w:tl2br w:val="nil"/>
                    <w:tr2bl w:val="nil"/>
                  </w:tcBorders>
                  <w:noWrap/>
                  <w:vAlign w:val="center"/>
                </w:tcPr>
                <w:p w14:paraId="65982E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臭气、硫化氢、氨</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34B9F6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恶臭气体产生的池体均加盖处理，并定期喷洒除臭剂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FF0000"/>
                      <w:sz w:val="21"/>
                      <w:szCs w:val="21"/>
                      <w:highlight w:val="none"/>
                      <w:lang w:val="en-US" w:eastAsia="zh-CN"/>
                    </w:rPr>
                    <w:t>加强周边绿化。</w:t>
                  </w:r>
                </w:p>
              </w:tc>
            </w:tr>
            <w:tr w14:paraId="1F136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299" w:type="pct"/>
                  <w:vMerge w:val="continue"/>
                  <w:tcBorders>
                    <w:left w:val="nil"/>
                    <w:right w:val="single" w:color="auto" w:sz="4" w:space="0"/>
                    <w:tl2br w:val="nil"/>
                    <w:tr2bl w:val="nil"/>
                  </w:tcBorders>
                  <w:noWrap/>
                  <w:vAlign w:val="center"/>
                </w:tcPr>
                <w:p w14:paraId="158012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5DC073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right w:val="single" w:color="auto" w:sz="4" w:space="0"/>
                    <w:tl2br w:val="nil"/>
                    <w:tr2bl w:val="nil"/>
                  </w:tcBorders>
                  <w:noWrap/>
                  <w:vAlign w:val="center"/>
                </w:tcPr>
                <w:p w14:paraId="2204C3B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检验室检验</w:t>
                  </w:r>
                </w:p>
              </w:tc>
              <w:tc>
                <w:tcPr>
                  <w:tcW w:w="1002" w:type="pct"/>
                  <w:tcBorders>
                    <w:top w:val="single" w:color="auto" w:sz="4" w:space="0"/>
                    <w:left w:val="single" w:color="auto" w:sz="4" w:space="0"/>
                    <w:right w:val="single" w:color="auto" w:sz="4" w:space="0"/>
                    <w:tl2br w:val="nil"/>
                    <w:tr2bl w:val="nil"/>
                  </w:tcBorders>
                  <w:noWrap/>
                  <w:vAlign w:val="center"/>
                </w:tcPr>
                <w:p w14:paraId="2F2A99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有机废气</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63ECA21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en-US"/>
                    </w:rPr>
                    <w:t>检验过程在通风橱内进行，废气经检验室换风系统排出</w:t>
                  </w:r>
                  <w:r>
                    <w:rPr>
                      <w:rFonts w:hint="eastAsia" w:ascii="Times New Roman" w:hAnsi="Times New Roman" w:eastAsia="宋体" w:cs="Times New Roman"/>
                      <w:color w:val="FF0000"/>
                      <w:sz w:val="21"/>
                      <w:szCs w:val="21"/>
                      <w:highlight w:val="none"/>
                      <w:lang w:val="en-US" w:eastAsia="zh-CN"/>
                    </w:rPr>
                    <w:t>。</w:t>
                  </w:r>
                </w:p>
              </w:tc>
            </w:tr>
            <w:tr w14:paraId="48A98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1" w:hRule="atLeast"/>
                <w:jc w:val="center"/>
              </w:trPr>
              <w:tc>
                <w:tcPr>
                  <w:tcW w:w="299" w:type="pct"/>
                  <w:vMerge w:val="continue"/>
                  <w:tcBorders>
                    <w:left w:val="nil"/>
                    <w:right w:val="single" w:color="auto" w:sz="4" w:space="0"/>
                    <w:tl2br w:val="nil"/>
                    <w:tr2bl w:val="nil"/>
                  </w:tcBorders>
                  <w:noWrap/>
                  <w:vAlign w:val="center"/>
                </w:tcPr>
                <w:p w14:paraId="2D657E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bottom w:val="single" w:color="auto" w:sz="4" w:space="0"/>
                    <w:right w:val="single" w:color="auto" w:sz="4" w:space="0"/>
                    <w:tl2br w:val="nil"/>
                    <w:tr2bl w:val="nil"/>
                  </w:tcBorders>
                  <w:noWrap/>
                  <w:vAlign w:val="center"/>
                </w:tcPr>
                <w:p w14:paraId="654BE8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right w:val="single" w:color="auto" w:sz="4" w:space="0"/>
                    <w:tl2br w:val="nil"/>
                    <w:tr2bl w:val="nil"/>
                  </w:tcBorders>
                  <w:noWrap/>
                  <w:vAlign w:val="center"/>
                </w:tcPr>
                <w:p w14:paraId="08E917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炒蛋</w:t>
                  </w:r>
                </w:p>
              </w:tc>
              <w:tc>
                <w:tcPr>
                  <w:tcW w:w="1002" w:type="pct"/>
                  <w:tcBorders>
                    <w:top w:val="single" w:color="auto" w:sz="4" w:space="0"/>
                    <w:left w:val="single" w:color="auto" w:sz="4" w:space="0"/>
                    <w:right w:val="single" w:color="auto" w:sz="4" w:space="0"/>
                    <w:tl2br w:val="nil"/>
                    <w:tr2bl w:val="nil"/>
                  </w:tcBorders>
                  <w:noWrap/>
                  <w:vAlign w:val="center"/>
                </w:tcPr>
                <w:p w14:paraId="5EAFD4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油烟</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63B418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油烟废气经收集后引入油烟净化器处理达标后经生产车间顶部排放</w:t>
                  </w:r>
                </w:p>
              </w:tc>
            </w:tr>
            <w:tr w14:paraId="556B1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3" w:hRule="atLeast"/>
                <w:jc w:val="center"/>
              </w:trPr>
              <w:tc>
                <w:tcPr>
                  <w:tcW w:w="299" w:type="pct"/>
                  <w:vMerge w:val="continue"/>
                  <w:tcBorders>
                    <w:left w:val="nil"/>
                    <w:right w:val="single" w:color="auto" w:sz="4" w:space="0"/>
                    <w:tl2br w:val="nil"/>
                    <w:tr2bl w:val="nil"/>
                  </w:tcBorders>
                  <w:noWrap/>
                  <w:vAlign w:val="center"/>
                </w:tcPr>
                <w:p w14:paraId="6060C8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restart"/>
                  <w:tcBorders>
                    <w:top w:val="single" w:color="auto" w:sz="4" w:space="0"/>
                    <w:left w:val="single" w:color="auto" w:sz="4" w:space="0"/>
                    <w:right w:val="single" w:color="auto" w:sz="4" w:space="0"/>
                    <w:tl2br w:val="nil"/>
                    <w:tr2bl w:val="nil"/>
                  </w:tcBorders>
                  <w:noWrap/>
                  <w:vAlign w:val="center"/>
                </w:tcPr>
                <w:p w14:paraId="551972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废水</w:t>
                  </w: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2AF1CE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生活污水</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0D9513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pH、COD、BOD</w:t>
                  </w:r>
                  <w:r>
                    <w:rPr>
                      <w:rFonts w:hint="default" w:ascii="Times New Roman" w:hAnsi="Times New Roman" w:eastAsia="宋体" w:cs="Times New Roman"/>
                      <w:color w:val="000000" w:themeColor="text1"/>
                      <w:sz w:val="21"/>
                      <w:szCs w:val="21"/>
                      <w:highlight w:val="none"/>
                      <w:vertAlign w:val="subscript"/>
                      <w:lang w:val="en-US" w:eastAsia="en-US"/>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、SS、氨氮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FF"/>
                      <w:sz w:val="21"/>
                      <w:szCs w:val="21"/>
                      <w:highlight w:val="none"/>
                      <w:lang w:val="en-US" w:eastAsia="zh-CN"/>
                    </w:rPr>
                    <w:t>LAS</w:t>
                  </w:r>
                </w:p>
              </w:tc>
              <w:tc>
                <w:tcPr>
                  <w:tcW w:w="2431" w:type="pct"/>
                  <w:vMerge w:val="restart"/>
                  <w:tcBorders>
                    <w:top w:val="single" w:color="auto" w:sz="4" w:space="0"/>
                    <w:left w:val="single" w:color="auto" w:sz="4" w:space="0"/>
                    <w:right w:val="nil"/>
                    <w:tl2br w:val="nil"/>
                    <w:tr2bl w:val="nil"/>
                  </w:tcBorders>
                  <w:noWrap/>
                  <w:vAlign w:val="center"/>
                </w:tcPr>
                <w:p w14:paraId="1CD048F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经化粪池处理后的生活污水与生产废水一起进入厂区污水处理站（机械格栅+隔油调节池+气浮机+一体化污水处理设施（缺氧池+好氧池+沉淀池）），处理后的综合废水经污水管网进入双鸭山龙江环保水务有限责任公司(双鸭山市污水处理厂)，处理达标后排入安邦河。</w:t>
                  </w:r>
                </w:p>
              </w:tc>
            </w:tr>
            <w:tr w14:paraId="23232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3" w:hRule="atLeast"/>
                <w:jc w:val="center"/>
              </w:trPr>
              <w:tc>
                <w:tcPr>
                  <w:tcW w:w="299" w:type="pct"/>
                  <w:vMerge w:val="continue"/>
                  <w:tcBorders>
                    <w:left w:val="nil"/>
                    <w:right w:val="single" w:color="auto" w:sz="4" w:space="0"/>
                    <w:tl2br w:val="nil"/>
                    <w:tr2bl w:val="nil"/>
                  </w:tcBorders>
                  <w:noWrap/>
                  <w:vAlign w:val="center"/>
                </w:tcPr>
                <w:p w14:paraId="238785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bottom w:val="single" w:color="auto" w:sz="4" w:space="0"/>
                    <w:right w:val="single" w:color="auto" w:sz="4" w:space="0"/>
                    <w:tl2br w:val="nil"/>
                    <w:tr2bl w:val="nil"/>
                  </w:tcBorders>
                  <w:noWrap/>
                  <w:vAlign w:val="center"/>
                </w:tcPr>
                <w:p w14:paraId="697766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202A24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生产废水</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03BE8D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pH、COD、BOD</w:t>
                  </w:r>
                  <w:r>
                    <w:rPr>
                      <w:rFonts w:hint="default" w:ascii="Times New Roman" w:hAnsi="Times New Roman" w:eastAsia="宋体" w:cs="Times New Roman"/>
                      <w:color w:val="000000" w:themeColor="text1"/>
                      <w:sz w:val="21"/>
                      <w:szCs w:val="21"/>
                      <w:highlight w:val="none"/>
                      <w:vertAlign w:val="subscript"/>
                      <w:lang w:val="en-US" w:eastAsia="en-US"/>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、SS、动植物油、氨氮、总氮、 总磷</w:t>
                  </w:r>
                </w:p>
              </w:tc>
              <w:tc>
                <w:tcPr>
                  <w:tcW w:w="2431" w:type="pct"/>
                  <w:vMerge w:val="continue"/>
                  <w:tcBorders>
                    <w:left w:val="single" w:color="auto" w:sz="4" w:space="0"/>
                    <w:bottom w:val="single" w:color="auto" w:sz="4" w:space="0"/>
                    <w:right w:val="nil"/>
                    <w:tl2br w:val="nil"/>
                    <w:tr2bl w:val="nil"/>
                  </w:tcBorders>
                  <w:noWrap/>
                  <w:vAlign w:val="center"/>
                </w:tcPr>
                <w:p w14:paraId="27AE67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r>
            <w:tr w14:paraId="2A718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299" w:type="pct"/>
                  <w:vMerge w:val="continue"/>
                  <w:tcBorders>
                    <w:left w:val="nil"/>
                    <w:right w:val="single" w:color="auto" w:sz="4" w:space="0"/>
                    <w:tl2br w:val="nil"/>
                    <w:tr2bl w:val="nil"/>
                  </w:tcBorders>
                  <w:noWrap/>
                  <w:vAlign w:val="center"/>
                </w:tcPr>
                <w:p w14:paraId="62B66D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1" w:type="pct"/>
                  <w:tcBorders>
                    <w:top w:val="single" w:color="auto" w:sz="4" w:space="0"/>
                    <w:left w:val="single" w:color="auto" w:sz="4" w:space="0"/>
                    <w:bottom w:val="single" w:color="auto" w:sz="4" w:space="0"/>
                    <w:right w:val="single" w:color="auto" w:sz="4" w:space="0"/>
                    <w:tl2br w:val="nil"/>
                    <w:tr2bl w:val="nil"/>
                  </w:tcBorders>
                  <w:noWrap/>
                  <w:vAlign w:val="center"/>
                </w:tcPr>
                <w:p w14:paraId="79EA77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噪声</w:t>
                  </w: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7464B53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设备运行</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73DDCA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Leq</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142E9B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采用低噪声设备、减振、距离衰减</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、厂房隔声</w:t>
                  </w:r>
                  <w:r>
                    <w:rPr>
                      <w:rFonts w:hint="default" w:ascii="Times New Roman" w:hAnsi="Times New Roman" w:eastAsia="宋体" w:cs="Times New Roman"/>
                      <w:color w:val="000000" w:themeColor="text1"/>
                      <w:sz w:val="21"/>
                      <w:szCs w:val="21"/>
                      <w:highlight w:val="none"/>
                      <w14:textFill>
                        <w14:solidFill>
                          <w14:schemeClr w14:val="tx1"/>
                        </w14:solidFill>
                      </w14:textFill>
                    </w:rPr>
                    <w:t>等措施。</w:t>
                  </w:r>
                </w:p>
              </w:tc>
            </w:tr>
            <w:tr w14:paraId="08726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8" w:hRule="atLeast"/>
                <w:jc w:val="center"/>
              </w:trPr>
              <w:tc>
                <w:tcPr>
                  <w:tcW w:w="299" w:type="pct"/>
                  <w:vMerge w:val="continue"/>
                  <w:tcBorders>
                    <w:left w:val="nil"/>
                    <w:right w:val="single" w:color="auto" w:sz="4" w:space="0"/>
                    <w:tl2br w:val="nil"/>
                    <w:tr2bl w:val="nil"/>
                  </w:tcBorders>
                  <w:noWrap/>
                  <w:vAlign w:val="center"/>
                </w:tcPr>
                <w:p w14:paraId="761305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1" w:type="pct"/>
                  <w:vMerge w:val="restart"/>
                  <w:tcBorders>
                    <w:top w:val="single" w:color="auto" w:sz="4" w:space="0"/>
                    <w:left w:val="single" w:color="auto" w:sz="4" w:space="0"/>
                    <w:right w:val="single" w:color="auto" w:sz="4" w:space="0"/>
                    <w:tl2br w:val="nil"/>
                    <w:tr2bl w:val="nil"/>
                  </w:tcBorders>
                  <w:noWrap/>
                  <w:vAlign w:val="center"/>
                </w:tcPr>
                <w:p w14:paraId="142273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一般</w:t>
                  </w: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固体废物</w:t>
                  </w: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7A8239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职工生活</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3A5C57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生活垃圾</w:t>
                  </w:r>
                </w:p>
              </w:tc>
              <w:tc>
                <w:tcPr>
                  <w:tcW w:w="2431" w:type="pct"/>
                  <w:tcBorders>
                    <w:top w:val="single" w:color="auto" w:sz="4" w:space="0"/>
                    <w:left w:val="single" w:color="auto" w:sz="4" w:space="0"/>
                    <w:right w:val="nil"/>
                    <w:tl2br w:val="nil"/>
                    <w:tr2bl w:val="nil"/>
                  </w:tcBorders>
                  <w:noWrap/>
                  <w:vAlign w:val="center"/>
                </w:tcPr>
                <w:p w14:paraId="636351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集中收集后，交由环卫部门统一处理</w:t>
                  </w:r>
                </w:p>
              </w:tc>
            </w:tr>
            <w:tr w14:paraId="74E3A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59" w:hRule="atLeast"/>
                <w:jc w:val="center"/>
              </w:trPr>
              <w:tc>
                <w:tcPr>
                  <w:tcW w:w="299" w:type="pct"/>
                  <w:vMerge w:val="continue"/>
                  <w:tcBorders>
                    <w:left w:val="nil"/>
                    <w:right w:val="single" w:color="auto" w:sz="4" w:space="0"/>
                    <w:tl2br w:val="nil"/>
                    <w:tr2bl w:val="nil"/>
                  </w:tcBorders>
                  <w:noWrap/>
                  <w:vAlign w:val="center"/>
                </w:tcPr>
                <w:p w14:paraId="29D265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12B8FF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vMerge w:val="restart"/>
                  <w:tcBorders>
                    <w:top w:val="single" w:color="auto" w:sz="4" w:space="0"/>
                    <w:left w:val="single" w:color="auto" w:sz="4" w:space="0"/>
                    <w:right w:val="single" w:color="auto" w:sz="4" w:space="0"/>
                    <w:tl2br w:val="nil"/>
                    <w:tr2bl w:val="nil"/>
                  </w:tcBorders>
                  <w:noWrap/>
                  <w:vAlign w:val="center"/>
                </w:tcPr>
                <w:p w14:paraId="3A5D4A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76E08B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车间沉降面粉粉尘</w:t>
                  </w:r>
                </w:p>
              </w:tc>
              <w:tc>
                <w:tcPr>
                  <w:tcW w:w="2431" w:type="pct"/>
                  <w:tcBorders>
                    <w:left w:val="single" w:color="auto" w:sz="4" w:space="0"/>
                    <w:bottom w:val="single" w:color="auto" w:sz="4" w:space="0"/>
                    <w:right w:val="nil"/>
                    <w:tl2br w:val="nil"/>
                    <w:tr2bl w:val="nil"/>
                  </w:tcBorders>
                  <w:noWrap/>
                  <w:vAlign w:val="center"/>
                </w:tcPr>
                <w:p w14:paraId="6CA08F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eastAsia="zh-CN"/>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p>
              </w:tc>
            </w:tr>
            <w:tr w14:paraId="2F0AB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4E5AC3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204B08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vMerge w:val="continue"/>
                  <w:tcBorders>
                    <w:left w:val="single" w:color="auto" w:sz="4" w:space="0"/>
                    <w:right w:val="single" w:color="auto" w:sz="4" w:space="0"/>
                    <w:tl2br w:val="nil"/>
                    <w:tr2bl w:val="nil"/>
                  </w:tcBorders>
                  <w:noWrap/>
                  <w:vAlign w:val="center"/>
                </w:tcPr>
                <w:p w14:paraId="796054D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2F10AA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废弃包装物</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13F9D6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集中收集后，由废品收购站收购</w:t>
                  </w:r>
                </w:p>
              </w:tc>
            </w:tr>
            <w:tr w14:paraId="3BDDF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671664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24B6E8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vMerge w:val="continue"/>
                  <w:tcBorders>
                    <w:left w:val="single" w:color="auto" w:sz="4" w:space="0"/>
                    <w:right w:val="single" w:color="auto" w:sz="4" w:space="0"/>
                    <w:tl2br w:val="nil"/>
                    <w:tr2bl w:val="nil"/>
                  </w:tcBorders>
                  <w:noWrap/>
                  <w:vAlign w:val="center"/>
                </w:tcPr>
                <w:p w14:paraId="5192D7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78E68C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鸡蛋壳</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4AC8AF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集中收集后，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交由环卫部门统一进行外运处理</w:t>
                  </w:r>
                </w:p>
              </w:tc>
            </w:tr>
            <w:tr w14:paraId="6D96F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3E8F9B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26A18C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vMerge w:val="continue"/>
                  <w:tcBorders>
                    <w:left w:val="single" w:color="auto" w:sz="4" w:space="0"/>
                    <w:right w:val="single" w:color="auto" w:sz="4" w:space="0"/>
                    <w:tl2br w:val="nil"/>
                    <w:tr2bl w:val="nil"/>
                  </w:tcBorders>
                  <w:noWrap/>
                  <w:vAlign w:val="center"/>
                </w:tcPr>
                <w:p w14:paraId="612FDD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74D7218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废弃原材料及不合格产品</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790409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FF0000"/>
                      <w:sz w:val="21"/>
                      <w:szCs w:val="21"/>
                      <w:highlight w:val="none"/>
                      <w:lang w:eastAsia="en-US"/>
                    </w:rPr>
                    <w:t>集中收集后，</w:t>
                  </w:r>
                  <w:r>
                    <w:rPr>
                      <w:rFonts w:hint="default" w:ascii="Times New Roman" w:hAnsi="Times New Roman" w:eastAsia="宋体" w:cs="Times New Roman"/>
                      <w:color w:val="FF0000"/>
                      <w:sz w:val="21"/>
                      <w:szCs w:val="21"/>
                      <w:highlight w:val="none"/>
                      <w:lang w:val="en-US" w:eastAsia="en-US"/>
                    </w:rPr>
                    <w:t>由餐余垃圾收集单位收集处理</w:t>
                  </w:r>
                </w:p>
              </w:tc>
            </w:tr>
            <w:tr w14:paraId="740FF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2E1B709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76C2C1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vMerge w:val="continue"/>
                  <w:tcBorders>
                    <w:left w:val="single" w:color="auto" w:sz="4" w:space="0"/>
                    <w:bottom w:val="single" w:color="auto" w:sz="4" w:space="0"/>
                    <w:right w:val="single" w:color="auto" w:sz="4" w:space="0"/>
                    <w:tl2br w:val="nil"/>
                    <w:tr2bl w:val="nil"/>
                  </w:tcBorders>
                  <w:noWrap/>
                  <w:vAlign w:val="center"/>
                </w:tcPr>
                <w:p w14:paraId="339A42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6EBDDE0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废油脂</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523C33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eastAsia="zh-CN"/>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p>
              </w:tc>
            </w:tr>
            <w:tr w14:paraId="7BD8E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3C528E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right w:val="single" w:color="auto" w:sz="4" w:space="0"/>
                    <w:tl2br w:val="nil"/>
                    <w:tr2bl w:val="nil"/>
                  </w:tcBorders>
                  <w:noWrap/>
                  <w:vAlign w:val="center"/>
                </w:tcPr>
                <w:p w14:paraId="03F7FD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2F897FF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污水处理</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5984B0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污水处理站污泥</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6AE102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集中收集后，委托有能力单位清运处置</w:t>
                  </w:r>
                </w:p>
              </w:tc>
            </w:tr>
            <w:tr w14:paraId="65D7B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right w:val="single" w:color="auto" w:sz="4" w:space="0"/>
                    <w:tl2br w:val="nil"/>
                    <w:tr2bl w:val="nil"/>
                  </w:tcBorders>
                  <w:noWrap/>
                  <w:vAlign w:val="center"/>
                </w:tcPr>
                <w:p w14:paraId="0777CA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vMerge w:val="continue"/>
                  <w:tcBorders>
                    <w:left w:val="single" w:color="auto" w:sz="4" w:space="0"/>
                    <w:bottom w:val="single" w:color="auto" w:sz="4" w:space="0"/>
                    <w:right w:val="single" w:color="auto" w:sz="4" w:space="0"/>
                    <w:tl2br w:val="nil"/>
                    <w:tr2bl w:val="nil"/>
                  </w:tcBorders>
                  <w:noWrap/>
                  <w:vAlign w:val="center"/>
                </w:tcPr>
                <w:p w14:paraId="63F00E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815" w:type="pct"/>
                  <w:tcBorders>
                    <w:top w:val="single" w:color="auto" w:sz="4" w:space="0"/>
                    <w:left w:val="single" w:color="auto" w:sz="4" w:space="0"/>
                    <w:bottom w:val="single" w:color="auto" w:sz="4" w:space="0"/>
                    <w:right w:val="single" w:color="auto" w:sz="4" w:space="0"/>
                    <w:tl2br w:val="nil"/>
                    <w:tr2bl w:val="nil"/>
                  </w:tcBorders>
                  <w:noWrap/>
                  <w:vAlign w:val="center"/>
                </w:tcPr>
                <w:p w14:paraId="657C43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纯水制备</w:t>
                  </w:r>
                </w:p>
              </w:tc>
              <w:tc>
                <w:tcPr>
                  <w:tcW w:w="1002" w:type="pct"/>
                  <w:tcBorders>
                    <w:top w:val="single" w:color="auto" w:sz="4" w:space="0"/>
                    <w:left w:val="single" w:color="auto" w:sz="4" w:space="0"/>
                    <w:bottom w:val="single" w:color="auto" w:sz="4" w:space="0"/>
                    <w:right w:val="single" w:color="auto" w:sz="4" w:space="0"/>
                    <w:tl2br w:val="nil"/>
                    <w:tr2bl w:val="nil"/>
                  </w:tcBorders>
                  <w:noWrap/>
                  <w:vAlign w:val="center"/>
                </w:tcPr>
                <w:p w14:paraId="2CD596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RO反渗透膜</w:t>
                  </w:r>
                </w:p>
              </w:tc>
              <w:tc>
                <w:tcPr>
                  <w:tcW w:w="2431" w:type="pct"/>
                  <w:tcBorders>
                    <w:top w:val="single" w:color="auto" w:sz="4" w:space="0"/>
                    <w:left w:val="single" w:color="auto" w:sz="4" w:space="0"/>
                    <w:bottom w:val="single" w:color="auto" w:sz="4" w:space="0"/>
                    <w:right w:val="nil"/>
                    <w:tl2br w:val="nil"/>
                    <w:tr2bl w:val="nil"/>
                  </w:tcBorders>
                  <w:noWrap/>
                  <w:vAlign w:val="center"/>
                </w:tcPr>
                <w:p w14:paraId="30C289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由厂家回收利用</w:t>
                  </w:r>
                </w:p>
              </w:tc>
            </w:tr>
            <w:tr w14:paraId="2484B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299" w:type="pct"/>
                  <w:vMerge w:val="continue"/>
                  <w:tcBorders>
                    <w:left w:val="nil"/>
                    <w:bottom w:val="single" w:color="auto" w:sz="12" w:space="0"/>
                    <w:right w:val="single" w:color="auto" w:sz="4" w:space="0"/>
                    <w:tl2br w:val="nil"/>
                    <w:tr2bl w:val="nil"/>
                  </w:tcBorders>
                  <w:noWrap/>
                  <w:vAlign w:val="center"/>
                </w:tcPr>
                <w:p w14:paraId="1DACD1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p>
              </w:tc>
              <w:tc>
                <w:tcPr>
                  <w:tcW w:w="451" w:type="pct"/>
                  <w:tcBorders>
                    <w:top w:val="single" w:color="auto" w:sz="4" w:space="0"/>
                    <w:left w:val="single" w:color="auto" w:sz="4" w:space="0"/>
                    <w:bottom w:val="single" w:color="auto" w:sz="12" w:space="0"/>
                    <w:right w:val="single" w:color="auto" w:sz="4" w:space="0"/>
                    <w:tl2br w:val="nil"/>
                    <w:tr2bl w:val="nil"/>
                  </w:tcBorders>
                  <w:noWrap/>
                  <w:vAlign w:val="center"/>
                </w:tcPr>
                <w:p w14:paraId="4671D4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危险废物</w:t>
                  </w:r>
                </w:p>
              </w:tc>
              <w:tc>
                <w:tcPr>
                  <w:tcW w:w="815" w:type="pct"/>
                  <w:tcBorders>
                    <w:top w:val="single" w:color="auto" w:sz="4" w:space="0"/>
                    <w:left w:val="single" w:color="auto" w:sz="4" w:space="0"/>
                    <w:bottom w:val="single" w:color="auto" w:sz="12" w:space="0"/>
                    <w:right w:val="single" w:color="auto" w:sz="4" w:space="0"/>
                    <w:tl2br w:val="nil"/>
                    <w:tr2bl w:val="nil"/>
                  </w:tcBorders>
                  <w:noWrap/>
                  <w:vAlign w:val="center"/>
                </w:tcPr>
                <w:p w14:paraId="5576CC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检验室检验</w:t>
                  </w:r>
                </w:p>
              </w:tc>
              <w:tc>
                <w:tcPr>
                  <w:tcW w:w="1002" w:type="pct"/>
                  <w:tcBorders>
                    <w:top w:val="single" w:color="auto" w:sz="4" w:space="0"/>
                    <w:left w:val="single" w:color="auto" w:sz="4" w:space="0"/>
                    <w:bottom w:val="single" w:color="auto" w:sz="12" w:space="0"/>
                    <w:right w:val="single" w:color="auto" w:sz="4" w:space="0"/>
                    <w:tl2br w:val="nil"/>
                    <w:tr2bl w:val="nil"/>
                  </w:tcBorders>
                  <w:noWrap/>
                  <w:vAlign w:val="center"/>
                </w:tcPr>
                <w:p w14:paraId="6A5C9C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检验室检验废液</w:t>
                  </w:r>
                </w:p>
              </w:tc>
              <w:tc>
                <w:tcPr>
                  <w:tcW w:w="2431" w:type="pct"/>
                  <w:tcBorders>
                    <w:top w:val="single" w:color="auto" w:sz="4" w:space="0"/>
                    <w:left w:val="single" w:color="auto" w:sz="4" w:space="0"/>
                    <w:bottom w:val="single" w:color="auto" w:sz="12" w:space="0"/>
                    <w:right w:val="nil"/>
                    <w:tl2br w:val="nil"/>
                    <w:tr2bl w:val="nil"/>
                  </w:tcBorders>
                  <w:noWrap/>
                  <w:vAlign w:val="center"/>
                </w:tcPr>
                <w:p w14:paraId="60BD61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en-US"/>
                      <w14:textFill>
                        <w14:solidFill>
                          <w14:schemeClr w14:val="tx1"/>
                        </w14:solidFill>
                      </w14:textFill>
                    </w:rPr>
                    <w:t>暂存于危废暂存间内，定期交由有资质单位处理</w:t>
                  </w:r>
                </w:p>
              </w:tc>
            </w:tr>
          </w:tbl>
          <w:p w14:paraId="6084DD2B">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14:paraId="63C0A52A">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14:paraId="342CF615">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tc>
      </w:tr>
      <w:tr w14:paraId="069146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14:paraId="14DC3F8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与项目有关的原有环境污染问题</w:t>
            </w:r>
          </w:p>
        </w:tc>
        <w:tc>
          <w:tcPr>
            <w:tcW w:w="8161" w:type="dxa"/>
          </w:tcPr>
          <w:p w14:paraId="408C9B7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14:textFill>
                  <w14:solidFill>
                    <w14:schemeClr w14:val="tx1"/>
                  </w14:solidFill>
                </w14:textFill>
              </w:rPr>
              <w:t>项目为新建项目，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租用闲置厂房进行建设，</w:t>
            </w:r>
            <w:r>
              <w:rPr>
                <w:rFonts w:hint="default" w:ascii="Times New Roman" w:hAnsi="Times New Roman" w:eastAsia="宋体" w:cs="Times New Roman"/>
                <w:color w:val="FF0000"/>
                <w:sz w:val="24"/>
                <w:szCs w:val="24"/>
                <w:highlight w:val="none"/>
                <w:lang w:val="en-US" w:eastAsia="zh-CN"/>
              </w:rPr>
              <w:t>厂房原属黑龙江双瑞生物科技有限公司，用于菌种培育，经现场勘察，项目所在地的厂房现处于空置状态，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不存在与项目有关的</w:t>
            </w:r>
            <w:r>
              <w:rPr>
                <w:rFonts w:hint="default" w:ascii="Times New Roman" w:hAnsi="Times New Roman" w:eastAsia="宋体" w:cs="Times New Roman"/>
                <w:color w:val="000000" w:themeColor="text1"/>
                <w:sz w:val="24"/>
                <w:szCs w:val="24"/>
                <w:highlight w:val="none"/>
                <w14:textFill>
                  <w14:solidFill>
                    <w14:schemeClr w14:val="tx1"/>
                  </w14:solidFill>
                </w14:textFill>
              </w:rPr>
              <w:t>原有环境污染问题。</w:t>
            </w:r>
          </w:p>
          <w:p w14:paraId="0301249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eastAsia="zh-CN"/>
              </w:rPr>
              <w:t>本项目所处位置污水管网正在修缮中，待修缮完成后，本项目可以依托污水管网将污水排至</w:t>
            </w:r>
            <w:r>
              <w:rPr>
                <w:rFonts w:hint="default" w:ascii="Times New Roman" w:hAnsi="Times New Roman" w:eastAsia="宋体" w:cs="Times New Roman"/>
                <w:color w:val="FF0000"/>
                <w:sz w:val="24"/>
                <w:szCs w:val="24"/>
                <w:highlight w:val="none"/>
                <w:lang w:val="en-US" w:eastAsia="zh-CN"/>
              </w:rPr>
              <w:t>双鸭山龙江环保水务有限责任公司(双鸭山市污水处理厂)。</w:t>
            </w:r>
          </w:p>
          <w:p w14:paraId="24801A3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本项目所处地区电力设施完善。</w:t>
            </w:r>
          </w:p>
          <w:p w14:paraId="2A1C25B6">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14:paraId="0CA29965">
      <w:pPr>
        <w:jc w:val="center"/>
        <w:rPr>
          <w:rFonts w:hint="default" w:ascii="Times New Roman" w:hAnsi="Times New Roman" w:eastAsia="宋体" w:cs="Times New Roman"/>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03EC3DF">
      <w:pPr>
        <w:widowControl/>
        <w:adjustRightInd w:val="0"/>
        <w:snapToGrid w:val="0"/>
        <w:spacing w:before="0" w:beforeAutospacing="0" w:after="0" w:afterAutospacing="0" w:line="14" w:lineRule="auto"/>
        <w:jc w:val="center"/>
        <w:rPr>
          <w:rFonts w:hint="default" w:ascii="Times New Roman" w:hAnsi="Times New Roman" w:eastAsia="宋体" w:cs="Times New Roman"/>
          <w:snapToGrid w:val="0"/>
          <w:color w:val="000000" w:themeColor="text1"/>
          <w:kern w:val="0"/>
          <w:sz w:val="30"/>
          <w:szCs w:val="30"/>
          <w:highlight w:val="none"/>
          <w:lang w:val="en-US" w:eastAsia="zh-CN" w:bidi="ar-SA"/>
          <w14:textFill>
            <w14:solidFill>
              <w14:schemeClr w14:val="tx1"/>
            </w14:solidFill>
          </w14:textFill>
        </w:rPr>
      </w:pPr>
    </w:p>
    <w:p w14:paraId="6FE60568">
      <w:pPr>
        <w:widowControl/>
        <w:spacing w:before="100" w:beforeAutospacing="1" w:after="100" w:afterAutospacing="1"/>
        <w:ind w:firstLine="420" w:firstLineChars="0"/>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bookmarkStart w:id="7" w:name="_Toc138577283"/>
      <w:bookmarkStart w:id="8" w:name="_Toc140683752"/>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三、区域环境质量现状、环境保护目标及评价标准</w:t>
      </w:r>
      <w:bookmarkEnd w:id="7"/>
      <w:bookmarkEnd w:id="8"/>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229B4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4" w:hRule="atLeast"/>
          <w:jc w:val="center"/>
        </w:trPr>
        <w:tc>
          <w:tcPr>
            <w:tcW w:w="800" w:type="dxa"/>
            <w:vAlign w:val="center"/>
          </w:tcPr>
          <w:p w14:paraId="6AD6C17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区域</w:t>
            </w:r>
          </w:p>
          <w:p w14:paraId="7F04E1E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环境</w:t>
            </w:r>
          </w:p>
          <w:p w14:paraId="2C5B7CF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质量</w:t>
            </w:r>
          </w:p>
          <w:p w14:paraId="2746E0E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现状</w:t>
            </w:r>
          </w:p>
        </w:tc>
        <w:tc>
          <w:tcPr>
            <w:tcW w:w="8190" w:type="dxa"/>
            <w:vAlign w:val="center"/>
          </w:tcPr>
          <w:p w14:paraId="0434510C">
            <w:pPr>
              <w:keepNext w:val="0"/>
              <w:keepLines w:val="0"/>
              <w:suppressLineNumbers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一、大气环境</w:t>
            </w:r>
          </w:p>
          <w:p w14:paraId="45E5968A">
            <w:pPr>
              <w:spacing w:beforeLines="0" w:afterLines="0" w:line="360" w:lineRule="auto"/>
              <w:ind w:firstLine="482" w:firstLineChars="200"/>
              <w:rPr>
                <w:rFonts w:hint="default" w:ascii="Times New Roman" w:hAnsi="Times New Roman" w:cs="Times New Roman"/>
                <w:b/>
                <w:color w:val="000000" w:themeColor="text1"/>
                <w:sz w:val="24"/>
                <w:szCs w:val="24"/>
                <w:lang w:val="en-US" w:eastAsia="zh-CN"/>
                <w14:textFill>
                  <w14:solidFill>
                    <w14:schemeClr w14:val="tx1"/>
                  </w14:solidFill>
                </w14:textFill>
              </w:rPr>
            </w:pPr>
            <w:r>
              <w:rPr>
                <w:rFonts w:hint="default" w:ascii="Times New Roman" w:hAnsi="Times New Roman" w:cs="Times New Roman"/>
                <w:b/>
                <w:color w:val="000000" w:themeColor="text1"/>
                <w:sz w:val="24"/>
                <w:szCs w:val="24"/>
                <w:lang w:val="en-US" w:eastAsia="zh-CN"/>
                <w14:textFill>
                  <w14:solidFill>
                    <w14:schemeClr w14:val="tx1"/>
                  </w14:solidFill>
                </w14:textFill>
              </w:rPr>
              <w:t>（一）基本污染物</w:t>
            </w:r>
          </w:p>
          <w:p w14:paraId="6408B0F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根据《202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年黑龙江省生态环境质量状况》：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双鸭山</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市空气质量级别</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达到</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二级标准，达标天数为3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96.2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2.5</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、CO-95-per和O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-8h-90per年均浓度分别为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μg/m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μg/m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μg/m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μg/m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和1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05</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μg/m</w:t>
            </w:r>
            <w:r>
              <w:rPr>
                <w:rFonts w:hint="default" w:ascii="Times New Roman" w:hAnsi="Times New Roman" w:eastAsia="宋体" w:cs="Times New Roman"/>
                <w:color w:val="000000" w:themeColor="text1"/>
                <w:sz w:val="24"/>
                <w:szCs w:val="24"/>
                <w:highlight w:val="none"/>
                <w:vertAlign w:val="super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双鸭山</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区域空气质量现状评价见下表。</w:t>
            </w:r>
          </w:p>
          <w:p w14:paraId="31D0E8D9">
            <w:pPr>
              <w:adjustRightInd w:val="0"/>
              <w:snapToGrid w:val="0"/>
              <w:spacing w:beforeLines="0" w:afterLine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表3-1  区域空气质量现状评价表    单位：μg/m</w:t>
            </w:r>
            <w:r>
              <w:rPr>
                <w:rFonts w:hint="default" w:ascii="Times New Roman" w:hAnsi="Times New Roman" w:eastAsia="宋体" w:cs="Times New Roman"/>
                <w:b/>
                <w:color w:val="000000" w:themeColor="text1"/>
                <w:sz w:val="24"/>
                <w:szCs w:val="24"/>
                <w:vertAlign w:val="superscript"/>
                <w14:textFill>
                  <w14:solidFill>
                    <w14:schemeClr w14:val="tx1"/>
                  </w14:solidFill>
                </w14:textFill>
              </w:rPr>
              <w:t>3</w:t>
            </w:r>
          </w:p>
          <w:tbl>
            <w:tblPr>
              <w:tblStyle w:val="13"/>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923"/>
              <w:gridCol w:w="2948"/>
              <w:gridCol w:w="1077"/>
              <w:gridCol w:w="997"/>
              <w:gridCol w:w="927"/>
              <w:gridCol w:w="1077"/>
            </w:tblGrid>
            <w:tr w14:paraId="7E5BE5EA">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8" w:space="0"/>
                    <w:left w:val="single" w:color="auto" w:sz="8" w:space="0"/>
                    <w:bottom w:val="single" w:color="auto" w:sz="4" w:space="0"/>
                    <w:right w:val="single" w:color="auto" w:sz="8" w:space="0"/>
                    <w:tl2br w:val="nil"/>
                    <w:tr2bl w:val="nil"/>
                  </w:tcBorders>
                  <w:noWrap w:val="0"/>
                  <w:vAlign w:val="center"/>
                </w:tcPr>
                <w:p w14:paraId="075DB7D2">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污染物</w:t>
                  </w:r>
                </w:p>
              </w:tc>
              <w:tc>
                <w:tcPr>
                  <w:tcW w:w="1853" w:type="pct"/>
                  <w:tcBorders>
                    <w:top w:val="single" w:color="auto" w:sz="8" w:space="0"/>
                    <w:left w:val="single" w:color="auto" w:sz="8" w:space="0"/>
                    <w:bottom w:val="single" w:color="auto" w:sz="4" w:space="0"/>
                    <w:right w:val="single" w:color="auto" w:sz="8" w:space="0"/>
                    <w:tl2br w:val="nil"/>
                    <w:tr2bl w:val="nil"/>
                  </w:tcBorders>
                  <w:noWrap w:val="0"/>
                  <w:vAlign w:val="center"/>
                </w:tcPr>
                <w:p w14:paraId="1548C754">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年评价指标</w:t>
                  </w:r>
                </w:p>
              </w:tc>
              <w:tc>
                <w:tcPr>
                  <w:tcW w:w="677" w:type="pct"/>
                  <w:tcBorders>
                    <w:top w:val="single" w:color="auto" w:sz="8" w:space="0"/>
                    <w:left w:val="single" w:color="auto" w:sz="8" w:space="0"/>
                    <w:bottom w:val="single" w:color="auto" w:sz="4" w:space="0"/>
                    <w:right w:val="single" w:color="auto" w:sz="8" w:space="0"/>
                    <w:tl2br w:val="nil"/>
                    <w:tr2bl w:val="nil"/>
                  </w:tcBorders>
                  <w:noWrap w:val="0"/>
                  <w:vAlign w:val="center"/>
                </w:tcPr>
                <w:p w14:paraId="77B8B510">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现状浓度</w:t>
                  </w:r>
                </w:p>
              </w:tc>
              <w:tc>
                <w:tcPr>
                  <w:tcW w:w="627" w:type="pct"/>
                  <w:tcBorders>
                    <w:top w:val="single" w:color="auto" w:sz="8" w:space="0"/>
                    <w:left w:val="single" w:color="auto" w:sz="8" w:space="0"/>
                    <w:bottom w:val="single" w:color="auto" w:sz="4" w:space="0"/>
                    <w:right w:val="single" w:color="auto" w:sz="8" w:space="0"/>
                    <w:tl2br w:val="nil"/>
                    <w:tr2bl w:val="nil"/>
                  </w:tcBorders>
                  <w:noWrap w:val="0"/>
                  <w:vAlign w:val="center"/>
                </w:tcPr>
                <w:p w14:paraId="087BEE89">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标准值</w:t>
                  </w:r>
                </w:p>
              </w:tc>
              <w:tc>
                <w:tcPr>
                  <w:tcW w:w="583" w:type="pct"/>
                  <w:tcBorders>
                    <w:top w:val="single" w:color="auto" w:sz="8" w:space="0"/>
                    <w:left w:val="single" w:color="auto" w:sz="8" w:space="0"/>
                    <w:bottom w:val="single" w:color="auto" w:sz="4" w:space="0"/>
                    <w:right w:val="single" w:color="auto" w:sz="8" w:space="0"/>
                    <w:tl2br w:val="nil"/>
                    <w:tr2bl w:val="nil"/>
                  </w:tcBorders>
                  <w:noWrap w:val="0"/>
                  <w:vAlign w:val="center"/>
                </w:tcPr>
                <w:p w14:paraId="3B27C9FA">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占标率</w:t>
                  </w:r>
                </w:p>
              </w:tc>
              <w:tc>
                <w:tcPr>
                  <w:tcW w:w="677" w:type="pct"/>
                  <w:tcBorders>
                    <w:top w:val="single" w:color="auto" w:sz="8" w:space="0"/>
                    <w:left w:val="single" w:color="auto" w:sz="8" w:space="0"/>
                    <w:bottom w:val="single" w:color="auto" w:sz="4" w:space="0"/>
                    <w:right w:val="single" w:color="auto" w:sz="8" w:space="0"/>
                    <w:tl2br w:val="nil"/>
                    <w:tr2bl w:val="nil"/>
                  </w:tcBorders>
                  <w:noWrap w:val="0"/>
                  <w:vAlign w:val="center"/>
                </w:tcPr>
                <w:p w14:paraId="15668132">
                  <w:pPr>
                    <w:spacing w:beforeLines="0" w:afterLines="0" w:line="300" w:lineRule="exact"/>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达标情况</w:t>
                  </w:r>
                </w:p>
              </w:tc>
            </w:tr>
            <w:tr w14:paraId="32C3542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4" w:space="0"/>
                    <w:right w:val="single" w:color="auto" w:sz="8" w:space="0"/>
                    <w:tl2br w:val="nil"/>
                    <w:tr2bl w:val="nil"/>
                  </w:tcBorders>
                  <w:noWrap w:val="0"/>
                  <w:vAlign w:val="center"/>
                </w:tcPr>
                <w:p w14:paraId="7D579335">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2.5</w:t>
                  </w:r>
                </w:p>
              </w:tc>
              <w:tc>
                <w:tcPr>
                  <w:tcW w:w="185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6CB30BEA">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1D03AD0A">
                  <w:pPr>
                    <w:spacing w:beforeLines="0" w:afterLines="0" w:line="30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27</w:t>
                  </w:r>
                </w:p>
              </w:tc>
              <w:tc>
                <w:tcPr>
                  <w:tcW w:w="62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183946C1">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35</w:t>
                  </w:r>
                </w:p>
              </w:tc>
              <w:tc>
                <w:tcPr>
                  <w:tcW w:w="58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7B84DF1F">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77.1</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016B1EF7">
                  <w:pPr>
                    <w:spacing w:beforeLines="0" w:afterLines="0" w:line="300" w:lineRule="exact"/>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达标</w:t>
                  </w:r>
                </w:p>
              </w:tc>
            </w:tr>
            <w:tr w14:paraId="6B51E13B">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4" w:space="0"/>
                    <w:right w:val="single" w:color="auto" w:sz="8" w:space="0"/>
                    <w:tl2br w:val="nil"/>
                    <w:tr2bl w:val="nil"/>
                  </w:tcBorders>
                  <w:noWrap w:val="0"/>
                  <w:vAlign w:val="center"/>
                </w:tcPr>
                <w:p w14:paraId="1E269A75">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PM</w:t>
                  </w:r>
                  <w:r>
                    <w:rPr>
                      <w:rFonts w:hint="default" w:ascii="Times New Roman" w:hAnsi="Times New Roman" w:eastAsia="宋体" w:cs="Times New Roman"/>
                      <w:color w:val="000000" w:themeColor="text1"/>
                      <w:sz w:val="21"/>
                      <w:szCs w:val="21"/>
                      <w:vertAlign w:val="subscript"/>
                      <w14:textFill>
                        <w14:solidFill>
                          <w14:schemeClr w14:val="tx1"/>
                        </w14:solidFill>
                      </w14:textFill>
                    </w:rPr>
                    <w:t>10</w:t>
                  </w:r>
                </w:p>
              </w:tc>
              <w:tc>
                <w:tcPr>
                  <w:tcW w:w="185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2C6C7337">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09E8C5EA">
                  <w:pPr>
                    <w:spacing w:beforeLines="0" w:afterLines="0" w:line="30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43</w:t>
                  </w:r>
                </w:p>
              </w:tc>
              <w:tc>
                <w:tcPr>
                  <w:tcW w:w="62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2DCFAC2B">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c>
                <w:tcPr>
                  <w:tcW w:w="58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34B3D689">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61.4</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67199A8F">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3EE91CE8">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4" w:space="0"/>
                    <w:right w:val="single" w:color="auto" w:sz="8" w:space="0"/>
                    <w:tl2br w:val="nil"/>
                    <w:tr2bl w:val="nil"/>
                  </w:tcBorders>
                  <w:noWrap w:val="0"/>
                  <w:vAlign w:val="center"/>
                </w:tcPr>
                <w:p w14:paraId="633E8174">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p>
              </w:tc>
              <w:tc>
                <w:tcPr>
                  <w:tcW w:w="185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2E93E915">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3EFFA0FB">
                  <w:pPr>
                    <w:spacing w:beforeLines="0" w:afterLines="0" w:line="30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2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6AB7A430">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w:t>
                  </w:r>
                </w:p>
              </w:tc>
              <w:tc>
                <w:tcPr>
                  <w:tcW w:w="58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02B4B2C6">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37.5</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45F58ECC">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4F4F131F">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4" w:space="0"/>
                    <w:right w:val="single" w:color="auto" w:sz="8" w:space="0"/>
                    <w:tl2br w:val="nil"/>
                    <w:tr2bl w:val="nil"/>
                  </w:tcBorders>
                  <w:noWrap w:val="0"/>
                  <w:vAlign w:val="center"/>
                </w:tcPr>
                <w:p w14:paraId="21FC06A5">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p>
              </w:tc>
              <w:tc>
                <w:tcPr>
                  <w:tcW w:w="185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1FB4AE4B">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5D8D9AF2">
                  <w:pPr>
                    <w:spacing w:beforeLines="0" w:afterLines="0" w:line="300" w:lineRule="exact"/>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62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49F961AC">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58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7656E54F">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18.3</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0B012964">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527A8744">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4" w:space="0"/>
                    <w:right w:val="single" w:color="auto" w:sz="8" w:space="0"/>
                    <w:tl2br w:val="nil"/>
                    <w:tr2bl w:val="nil"/>
                  </w:tcBorders>
                  <w:noWrap w:val="0"/>
                  <w:vAlign w:val="center"/>
                </w:tcPr>
                <w:p w14:paraId="528385CD">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w:t>
                  </w:r>
                </w:p>
              </w:tc>
              <w:tc>
                <w:tcPr>
                  <w:tcW w:w="185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48B188E1">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日均值第95百分位浓度</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58BC33DF">
                  <w:pPr>
                    <w:spacing w:beforeLines="0" w:afterLines="0" w:line="30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0.9</w:t>
                  </w:r>
                </w:p>
              </w:tc>
              <w:tc>
                <w:tcPr>
                  <w:tcW w:w="62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003CBFE2">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w:t>
                  </w:r>
                </w:p>
              </w:tc>
              <w:tc>
                <w:tcPr>
                  <w:tcW w:w="583" w:type="pct"/>
                  <w:tcBorders>
                    <w:top w:val="single" w:color="auto" w:sz="4" w:space="0"/>
                    <w:left w:val="single" w:color="auto" w:sz="8" w:space="0"/>
                    <w:bottom w:val="single" w:color="auto" w:sz="4" w:space="0"/>
                    <w:right w:val="single" w:color="auto" w:sz="8" w:space="0"/>
                    <w:tl2br w:val="nil"/>
                    <w:tr2bl w:val="nil"/>
                  </w:tcBorders>
                  <w:noWrap w:val="0"/>
                  <w:vAlign w:val="center"/>
                </w:tcPr>
                <w:p w14:paraId="14605DEF">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22.5</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4" w:space="0"/>
                    <w:right w:val="single" w:color="auto" w:sz="8" w:space="0"/>
                    <w:tl2br w:val="nil"/>
                    <w:tr2bl w:val="nil"/>
                  </w:tcBorders>
                  <w:noWrap w:val="0"/>
                  <w:vAlign w:val="center"/>
                </w:tcPr>
                <w:p w14:paraId="7CB123EE">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48AA5B1F">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80" w:type="pct"/>
                  <w:tcBorders>
                    <w:top w:val="single" w:color="auto" w:sz="4" w:space="0"/>
                    <w:left w:val="single" w:color="auto" w:sz="8" w:space="0"/>
                    <w:bottom w:val="single" w:color="auto" w:sz="8" w:space="0"/>
                    <w:right w:val="single" w:color="auto" w:sz="8" w:space="0"/>
                    <w:tl2br w:val="nil"/>
                    <w:tr2bl w:val="nil"/>
                  </w:tcBorders>
                  <w:noWrap w:val="0"/>
                  <w:vAlign w:val="center"/>
                </w:tcPr>
                <w:p w14:paraId="75D0565F">
                  <w:pPr>
                    <w:spacing w:beforeLines="0" w:afterLines="0" w:line="30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O</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3</w:t>
                  </w:r>
                </w:p>
              </w:tc>
              <w:tc>
                <w:tcPr>
                  <w:tcW w:w="1853" w:type="pct"/>
                  <w:tcBorders>
                    <w:top w:val="single" w:color="auto" w:sz="4" w:space="0"/>
                    <w:left w:val="single" w:color="auto" w:sz="8" w:space="0"/>
                    <w:bottom w:val="single" w:color="auto" w:sz="8" w:space="0"/>
                    <w:right w:val="single" w:color="auto" w:sz="8" w:space="0"/>
                    <w:tl2br w:val="nil"/>
                    <w:tr2bl w:val="nil"/>
                  </w:tcBorders>
                  <w:noWrap w:val="0"/>
                  <w:vAlign w:val="center"/>
                </w:tcPr>
                <w:p w14:paraId="7ED5A087">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日最大8小时平均值第90百分位浓度</w:t>
                  </w:r>
                </w:p>
              </w:tc>
              <w:tc>
                <w:tcPr>
                  <w:tcW w:w="677" w:type="pct"/>
                  <w:tcBorders>
                    <w:top w:val="single" w:color="auto" w:sz="4" w:space="0"/>
                    <w:left w:val="single" w:color="auto" w:sz="8" w:space="0"/>
                    <w:bottom w:val="single" w:color="auto" w:sz="8" w:space="0"/>
                    <w:right w:val="single" w:color="auto" w:sz="8" w:space="0"/>
                    <w:tl2br w:val="nil"/>
                    <w:tr2bl w:val="nil"/>
                  </w:tcBorders>
                  <w:noWrap w:val="0"/>
                  <w:vAlign w:val="center"/>
                </w:tcPr>
                <w:p w14:paraId="5CF940E0">
                  <w:pPr>
                    <w:spacing w:beforeLines="0" w:afterLines="0" w:line="300" w:lineRule="exact"/>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05</w:t>
                  </w:r>
                </w:p>
              </w:tc>
              <w:tc>
                <w:tcPr>
                  <w:tcW w:w="627" w:type="pct"/>
                  <w:tcBorders>
                    <w:top w:val="single" w:color="auto" w:sz="4" w:space="0"/>
                    <w:left w:val="single" w:color="auto" w:sz="8" w:space="0"/>
                    <w:bottom w:val="single" w:color="auto" w:sz="8" w:space="0"/>
                    <w:right w:val="single" w:color="auto" w:sz="8" w:space="0"/>
                    <w:tl2br w:val="nil"/>
                    <w:tr2bl w:val="nil"/>
                  </w:tcBorders>
                  <w:noWrap w:val="0"/>
                  <w:vAlign w:val="center"/>
                </w:tcPr>
                <w:p w14:paraId="41EAA57F">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160</w:t>
                  </w:r>
                </w:p>
              </w:tc>
              <w:tc>
                <w:tcPr>
                  <w:tcW w:w="583" w:type="pct"/>
                  <w:tcBorders>
                    <w:top w:val="single" w:color="auto" w:sz="4" w:space="0"/>
                    <w:left w:val="single" w:color="auto" w:sz="8" w:space="0"/>
                    <w:bottom w:val="single" w:color="auto" w:sz="8" w:space="0"/>
                    <w:right w:val="single" w:color="auto" w:sz="8" w:space="0"/>
                    <w:tl2br w:val="nil"/>
                    <w:tr2bl w:val="nil"/>
                  </w:tcBorders>
                  <w:noWrap w:val="0"/>
                  <w:vAlign w:val="center"/>
                </w:tcPr>
                <w:p w14:paraId="2FAEC11E">
                  <w:pPr>
                    <w:widowControl/>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65.6</w:t>
                  </w:r>
                  <w:r>
                    <w:rPr>
                      <w:rFonts w:hint="default" w:ascii="Times New Roman" w:hAnsi="Times New Roman" w:eastAsia="宋体" w:cs="Times New Roman"/>
                      <w:color w:val="000000" w:themeColor="text1"/>
                      <w:kern w:val="0"/>
                      <w:sz w:val="21"/>
                      <w:szCs w:val="21"/>
                      <w:lang w:bidi="ar"/>
                      <w14:textFill>
                        <w14:solidFill>
                          <w14:schemeClr w14:val="tx1"/>
                        </w14:solidFill>
                      </w14:textFill>
                    </w:rPr>
                    <w:t>%</w:t>
                  </w:r>
                </w:p>
              </w:tc>
              <w:tc>
                <w:tcPr>
                  <w:tcW w:w="677" w:type="pct"/>
                  <w:tcBorders>
                    <w:top w:val="single" w:color="auto" w:sz="4" w:space="0"/>
                    <w:left w:val="single" w:color="auto" w:sz="8" w:space="0"/>
                    <w:bottom w:val="single" w:color="auto" w:sz="8" w:space="0"/>
                    <w:right w:val="single" w:color="auto" w:sz="8" w:space="0"/>
                    <w:tl2br w:val="nil"/>
                    <w:tr2bl w:val="nil"/>
                  </w:tcBorders>
                  <w:noWrap w:val="0"/>
                  <w:vAlign w:val="center"/>
                </w:tcPr>
                <w:p w14:paraId="4AB07D41">
                  <w:pPr>
                    <w:spacing w:beforeLines="0" w:afterLines="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bl>
          <w:p w14:paraId="0C63504F">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en-US"/>
                <w14:textFill>
                  <w14:solidFill>
                    <w14:schemeClr w14:val="tx1"/>
                  </w14:solidFill>
                </w14:textFill>
              </w:rPr>
              <w:t>注</w:t>
            </w:r>
            <w:r>
              <w:rPr>
                <w:rFonts w:hint="default" w:ascii="Times New Roman" w:hAnsi="Times New Roman" w:eastAsia="宋体" w:cs="Times New Roman"/>
                <w:b w:val="0"/>
                <w:bCs w:val="0"/>
                <w:color w:val="000000" w:themeColor="text1"/>
                <w:sz w:val="21"/>
                <w:szCs w:val="21"/>
                <w:highlight w:val="none"/>
                <w:lang w:val="en-US" w:eastAsia="en-US"/>
                <w14:textFill>
                  <w14:solidFill>
                    <w14:schemeClr w14:val="tx1"/>
                  </w14:solidFill>
                </w14:textFill>
              </w:rPr>
              <w:t>：按照《环境空气质量评价技术规范（试行）》（HJ663-2013），NO</w:t>
            </w:r>
            <w:r>
              <w:rPr>
                <w:rFonts w:hint="default" w:ascii="Times New Roman" w:hAnsi="Times New Roman" w:eastAsia="宋体" w:cs="Times New Roman"/>
                <w:b w:val="0"/>
                <w:bCs w:val="0"/>
                <w:color w:val="000000" w:themeColor="text1"/>
                <w:sz w:val="21"/>
                <w:szCs w:val="21"/>
                <w:highlight w:val="none"/>
                <w:vertAlign w:val="subscript"/>
                <w:lang w:val="en-US" w:eastAsia="en-US"/>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en-US"/>
                <w14:textFill>
                  <w14:solidFill>
                    <w14:schemeClr w14:val="tx1"/>
                  </w14:solidFill>
                </w14:textFill>
              </w:rPr>
              <w:t>、SO</w:t>
            </w:r>
            <w:r>
              <w:rPr>
                <w:rFonts w:hint="default" w:ascii="Times New Roman" w:hAnsi="Times New Roman" w:eastAsia="宋体" w:cs="Times New Roman"/>
                <w:b w:val="0"/>
                <w:bCs w:val="0"/>
                <w:color w:val="000000" w:themeColor="text1"/>
                <w:sz w:val="21"/>
                <w:szCs w:val="21"/>
                <w:highlight w:val="none"/>
                <w:vertAlign w:val="subscript"/>
                <w:lang w:val="en-US" w:eastAsia="en-US"/>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en-US"/>
                <w14:textFill>
                  <w14:solidFill>
                    <w14:schemeClr w14:val="tx1"/>
                  </w14:solidFill>
                </w14:textFill>
              </w:rPr>
              <w:t>，X为98，PM</w:t>
            </w:r>
            <w:r>
              <w:rPr>
                <w:rFonts w:hint="default" w:ascii="Times New Roman" w:hAnsi="Times New Roman" w:eastAsia="宋体" w:cs="Times New Roman"/>
                <w:b w:val="0"/>
                <w:bCs w:val="0"/>
                <w:color w:val="000000" w:themeColor="text1"/>
                <w:sz w:val="21"/>
                <w:szCs w:val="21"/>
                <w:highlight w:val="none"/>
                <w:vertAlign w:val="subscript"/>
                <w:lang w:val="en-US" w:eastAsia="en-US"/>
                <w14:textFill>
                  <w14:solidFill>
                    <w14:schemeClr w14:val="tx1"/>
                  </w14:solidFill>
                </w14:textFill>
              </w:rPr>
              <w:t>2.5</w:t>
            </w:r>
            <w:r>
              <w:rPr>
                <w:rFonts w:hint="default" w:ascii="Times New Roman" w:hAnsi="Times New Roman" w:eastAsia="宋体" w:cs="Times New Roman"/>
                <w:b w:val="0"/>
                <w:bCs w:val="0"/>
                <w:color w:val="000000" w:themeColor="text1"/>
                <w:sz w:val="21"/>
                <w:szCs w:val="21"/>
                <w:highlight w:val="none"/>
                <w:lang w:val="en-US" w:eastAsia="en-US"/>
                <w14:textFill>
                  <w14:solidFill>
                    <w14:schemeClr w14:val="tx1"/>
                  </w14:solidFill>
                </w14:textFill>
              </w:rPr>
              <w:t>、PM</w:t>
            </w:r>
            <w:r>
              <w:rPr>
                <w:rFonts w:hint="default" w:ascii="Times New Roman" w:hAnsi="Times New Roman" w:eastAsia="宋体" w:cs="Times New Roman"/>
                <w:b w:val="0"/>
                <w:bCs w:val="0"/>
                <w:color w:val="000000" w:themeColor="text1"/>
                <w:sz w:val="21"/>
                <w:szCs w:val="21"/>
                <w:highlight w:val="none"/>
                <w:vertAlign w:val="subscript"/>
                <w:lang w:val="en-US" w:eastAsia="en-US"/>
                <w14:textFill>
                  <w14:solidFill>
                    <w14:schemeClr w14:val="tx1"/>
                  </w14:solidFill>
                </w14:textFill>
              </w:rPr>
              <w:t>10</w:t>
            </w:r>
            <w:r>
              <w:rPr>
                <w:rFonts w:hint="default" w:ascii="Times New Roman" w:hAnsi="Times New Roman" w:eastAsia="宋体" w:cs="Times New Roman"/>
                <w:b w:val="0"/>
                <w:bCs w:val="0"/>
                <w:color w:val="000000" w:themeColor="text1"/>
                <w:sz w:val="21"/>
                <w:szCs w:val="21"/>
                <w:highlight w:val="none"/>
                <w:lang w:val="en-US" w:eastAsia="en-US"/>
                <w14:textFill>
                  <w14:solidFill>
                    <w14:schemeClr w14:val="tx1"/>
                  </w14:solidFill>
                </w14:textFill>
              </w:rPr>
              <w:t>、CO，X为95，臭氧日最大8小时平均X为90。</w:t>
            </w:r>
          </w:p>
          <w:p w14:paraId="4865576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根据上表，202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双鸭山</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市环境空气常规污染物中：PM</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2.5</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年平均质量浓度、CO第95百分位数日平均浓度、O</w:t>
            </w:r>
            <w:r>
              <w:rPr>
                <w:rFonts w:hint="default" w:ascii="Times New Roman" w:hAnsi="Times New Roman" w:eastAsia="宋体" w:cs="Times New Roman"/>
                <w:color w:val="000000" w:themeColor="text1"/>
                <w:sz w:val="24"/>
                <w:szCs w:val="24"/>
                <w:highlight w:val="none"/>
                <w:vertAlign w:val="subscript"/>
                <w:lang w:val="en-US" w:eastAsia="en-US"/>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第90百分位数8h平均质量浓度均满足《环境空气质量标准》(GB3095-2012)及修改单中二级标准，因此，判定本区域为达标区。</w:t>
            </w:r>
          </w:p>
          <w:p w14:paraId="1C310FDD">
            <w:pPr>
              <w:spacing w:beforeLines="0" w:afterLines="0" w:line="360" w:lineRule="auto"/>
              <w:ind w:firstLine="482" w:firstLineChars="20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（二）特征污染物</w:t>
            </w:r>
          </w:p>
          <w:p w14:paraId="50A2D9F5">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1、特征污染物补充监测点位基本信息</w:t>
            </w:r>
          </w:p>
          <w:p w14:paraId="1BCFDD8F">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本项目布设1个环境空气质量监测点，特征污染物补充监测点位基本信息见表3-2。</w:t>
            </w:r>
          </w:p>
          <w:p w14:paraId="0E28D280">
            <w:pPr>
              <w:adjustRightInd w:val="0"/>
              <w:snapToGrid w:val="0"/>
              <w:spacing w:beforeLines="0" w:afterLine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表3-2 特征污染物监测点位基本信息</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900"/>
              <w:gridCol w:w="1109"/>
              <w:gridCol w:w="1261"/>
              <w:gridCol w:w="1551"/>
              <w:gridCol w:w="981"/>
              <w:gridCol w:w="1221"/>
            </w:tblGrid>
            <w:tr w14:paraId="586D8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3" w:type="dxa"/>
                  <w:vMerge w:val="restart"/>
                  <w:tcBorders>
                    <w:top w:val="single" w:color="auto" w:sz="12" w:space="0"/>
                    <w:left w:val="nil"/>
                    <w:bottom w:val="single" w:color="auto" w:sz="4" w:space="0"/>
                    <w:right w:val="single" w:color="auto" w:sz="4" w:space="0"/>
                    <w:tl2br w:val="nil"/>
                    <w:tr2bl w:val="nil"/>
                  </w:tcBorders>
                  <w:noWrap w:val="0"/>
                  <w:vAlign w:val="center"/>
                </w:tcPr>
                <w:p w14:paraId="57AADADB">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监测点名称</w:t>
                  </w:r>
                </w:p>
              </w:tc>
              <w:tc>
                <w:tcPr>
                  <w:tcW w:w="1971" w:type="dxa"/>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7A8ED559">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监测点坐标/°</w:t>
                  </w:r>
                </w:p>
              </w:tc>
              <w:tc>
                <w:tcPr>
                  <w:tcW w:w="1237"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4264CA2">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监测因子</w:t>
                  </w:r>
                </w:p>
              </w:tc>
              <w:tc>
                <w:tcPr>
                  <w:tcW w:w="1521"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8B615DB">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监测时段</w:t>
                  </w:r>
                </w:p>
              </w:tc>
              <w:tc>
                <w:tcPr>
                  <w:tcW w:w="962"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9AF9033">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相对场址方位</w:t>
                  </w:r>
                </w:p>
              </w:tc>
              <w:tc>
                <w:tcPr>
                  <w:tcW w:w="1196" w:type="dxa"/>
                  <w:vMerge w:val="restart"/>
                  <w:tcBorders>
                    <w:top w:val="single" w:color="auto" w:sz="12" w:space="0"/>
                    <w:left w:val="single" w:color="auto" w:sz="4" w:space="0"/>
                    <w:bottom w:val="single" w:color="auto" w:sz="4" w:space="0"/>
                    <w:right w:val="nil"/>
                    <w:tl2br w:val="nil"/>
                    <w:tr2bl w:val="nil"/>
                  </w:tcBorders>
                  <w:noWrap w:val="0"/>
                  <w:vAlign w:val="center"/>
                </w:tcPr>
                <w:p w14:paraId="10C31E30">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相对厂界距离/m</w:t>
                  </w:r>
                </w:p>
              </w:tc>
            </w:tr>
            <w:tr w14:paraId="5D415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3" w:type="dxa"/>
                  <w:vMerge w:val="continue"/>
                  <w:tcBorders>
                    <w:top w:val="single" w:color="auto" w:sz="4" w:space="0"/>
                    <w:left w:val="nil"/>
                    <w:bottom w:val="single" w:color="auto" w:sz="4" w:space="0"/>
                    <w:right w:val="single" w:color="auto" w:sz="4" w:space="0"/>
                    <w:tl2br w:val="nil"/>
                    <w:tr2bl w:val="nil"/>
                  </w:tcBorders>
                  <w:noWrap w:val="0"/>
                  <w:vAlign w:val="center"/>
                </w:tcPr>
                <w:p w14:paraId="2EA49E49">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88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42854D">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东经</w:t>
                  </w:r>
                </w:p>
              </w:tc>
              <w:tc>
                <w:tcPr>
                  <w:tcW w:w="108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A6EF37">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北纬</w:t>
                  </w: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DC913F6">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1521"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3BA030">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96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31B9D9C">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1196" w:type="dxa"/>
                  <w:vMerge w:val="continue"/>
                  <w:tcBorders>
                    <w:top w:val="single" w:color="auto" w:sz="4" w:space="0"/>
                    <w:left w:val="single" w:color="auto" w:sz="4" w:space="0"/>
                    <w:bottom w:val="single" w:color="auto" w:sz="4" w:space="0"/>
                    <w:right w:val="nil"/>
                    <w:tl2br w:val="nil"/>
                    <w:tr2bl w:val="nil"/>
                  </w:tcBorders>
                  <w:noWrap w:val="0"/>
                  <w:vAlign w:val="center"/>
                </w:tcPr>
                <w:p w14:paraId="237BB689">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r>
            <w:tr w14:paraId="2164D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933" w:type="dxa"/>
                  <w:tcBorders>
                    <w:top w:val="single" w:color="auto" w:sz="4" w:space="0"/>
                    <w:left w:val="nil"/>
                    <w:bottom w:val="single" w:color="auto" w:sz="12" w:space="0"/>
                    <w:right w:val="single" w:color="auto" w:sz="4" w:space="0"/>
                    <w:tl2br w:val="nil"/>
                    <w:tr2bl w:val="nil"/>
                  </w:tcBorders>
                  <w:noWrap w:val="0"/>
                  <w:vAlign w:val="center"/>
                </w:tcPr>
                <w:p w14:paraId="192496D9">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厂址下风向1#</w:t>
                  </w:r>
                </w:p>
              </w:tc>
              <w:tc>
                <w:tcPr>
                  <w:tcW w:w="883"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D72F174">
                  <w:pPr>
                    <w:spacing w:beforeLines="0" w:afterLines="0" w:line="240" w:lineRule="atLeast"/>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131.14612162</w:t>
                  </w:r>
                  <w:r>
                    <w:rPr>
                      <w:rFonts w:hint="default" w:ascii="Times New Roman" w:hAnsi="Times New Roman" w:cs="Times New Roman"/>
                      <w:color w:val="000000" w:themeColor="text1"/>
                      <w:sz w:val="21"/>
                      <w:szCs w:val="21"/>
                      <w:lang w:val="en-US" w:eastAsia="zh-CN"/>
                      <w14:textFill>
                        <w14:solidFill>
                          <w14:schemeClr w14:val="tx1"/>
                        </w14:solidFill>
                      </w14:textFill>
                    </w:rPr>
                    <w:t>°</w:t>
                  </w:r>
                </w:p>
                <w:p w14:paraId="38AE2D2F">
                  <w:pPr>
                    <w:spacing w:beforeLines="0" w:afterLines="0" w:line="240" w:lineRule="atLeast"/>
                    <w:jc w:val="center"/>
                    <w:rPr>
                      <w:rFonts w:hint="default" w:ascii="Times New Roman" w:hAnsi="Times New Roman" w:cs="Times New Roman"/>
                      <w:color w:val="000000" w:themeColor="text1"/>
                      <w:sz w:val="21"/>
                      <w:szCs w:val="21"/>
                      <w14:textFill>
                        <w14:solidFill>
                          <w14:schemeClr w14:val="tx1"/>
                        </w14:solidFill>
                      </w14:textFill>
                    </w:rPr>
                  </w:pPr>
                </w:p>
              </w:tc>
              <w:tc>
                <w:tcPr>
                  <w:tcW w:w="1088"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0E8B725B">
                  <w:pPr>
                    <w:spacing w:beforeLines="0" w:afterLines="0" w:line="240" w:lineRule="atLeast"/>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46.55141984</w:t>
                  </w:r>
                </w:p>
                <w:p w14:paraId="5FE5C75C">
                  <w:pPr>
                    <w:spacing w:beforeLines="0" w:afterLines="0" w:line="240" w:lineRule="atLeast"/>
                    <w:jc w:val="center"/>
                    <w:rPr>
                      <w:rFonts w:hint="default" w:ascii="Times New Roman" w:hAnsi="Times New Roman" w:cs="Times New Roman"/>
                      <w:color w:val="000000" w:themeColor="text1"/>
                      <w:sz w:val="21"/>
                      <w:szCs w:val="21"/>
                      <w14:textFill>
                        <w14:solidFill>
                          <w14:schemeClr w14:val="tx1"/>
                        </w14:solidFill>
                      </w14:textFill>
                    </w:rPr>
                  </w:pPr>
                </w:p>
              </w:tc>
              <w:tc>
                <w:tcPr>
                  <w:tcW w:w="1237"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AAA0B09">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p>
              </w:tc>
              <w:tc>
                <w:tcPr>
                  <w:tcW w:w="1521"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111627B6">
                  <w:pPr>
                    <w:spacing w:beforeLines="0" w:afterLines="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202</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07</w:t>
                  </w:r>
                  <w:r>
                    <w:rPr>
                      <w:rFonts w:hint="default" w:ascii="Times New Roman" w:hAnsi="Times New Roman" w:cs="Times New Roman"/>
                      <w:color w:val="000000" w:themeColor="text1"/>
                      <w:sz w:val="21"/>
                      <w:szCs w:val="21"/>
                      <w14:textFill>
                        <w14:solidFill>
                          <w14:schemeClr w14:val="tx1"/>
                        </w14:solidFill>
                      </w14:textFill>
                    </w:rPr>
                    <w:t>-202</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09</w:t>
                  </w:r>
                </w:p>
              </w:tc>
              <w:tc>
                <w:tcPr>
                  <w:tcW w:w="962"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54ABAF5D">
                  <w:pPr>
                    <w:spacing w:beforeLines="0" w:afterLines="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NE</w:t>
                  </w:r>
                </w:p>
              </w:tc>
              <w:tc>
                <w:tcPr>
                  <w:tcW w:w="1196" w:type="dxa"/>
                  <w:tcBorders>
                    <w:top w:val="single" w:color="auto" w:sz="4" w:space="0"/>
                    <w:left w:val="single" w:color="auto" w:sz="4" w:space="0"/>
                    <w:bottom w:val="single" w:color="auto" w:sz="12" w:space="0"/>
                    <w:right w:val="nil"/>
                    <w:tl2br w:val="nil"/>
                    <w:tr2bl w:val="nil"/>
                  </w:tcBorders>
                  <w:noWrap w:val="0"/>
                  <w:vAlign w:val="center"/>
                </w:tcPr>
                <w:p w14:paraId="4C056220">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0</w:t>
                  </w:r>
                </w:p>
              </w:tc>
            </w:tr>
          </w:tbl>
          <w:p w14:paraId="0E70134B">
            <w:pPr>
              <w:spacing w:before="120" w:beforeLines="50" w:afterLines="0" w:line="36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drawing>
                <wp:anchor distT="0" distB="0" distL="114300" distR="114300" simplePos="0" relativeHeight="251682816" behindDoc="0" locked="0" layoutInCell="1" allowOverlap="1">
                  <wp:simplePos x="0" y="0"/>
                  <wp:positionH relativeFrom="column">
                    <wp:posOffset>0</wp:posOffset>
                  </wp:positionH>
                  <wp:positionV relativeFrom="paragraph">
                    <wp:posOffset>76200</wp:posOffset>
                  </wp:positionV>
                  <wp:extent cx="5336540" cy="3589655"/>
                  <wp:effectExtent l="0" t="0" r="16510" b="10795"/>
                  <wp:wrapSquare wrapText="bothSides"/>
                  <wp:docPr id="38" name="图片 38" descr="192e510a688ed6b90be013c7d1a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92e510a688ed6b90be013c7d1a8591"/>
                          <pic:cNvPicPr>
                            <a:picLocks noChangeAspect="1"/>
                          </pic:cNvPicPr>
                        </pic:nvPicPr>
                        <pic:blipFill>
                          <a:blip r:embed="rId15"/>
                          <a:stretch>
                            <a:fillRect/>
                          </a:stretch>
                        </pic:blipFill>
                        <pic:spPr>
                          <a:xfrm>
                            <a:off x="0" y="0"/>
                            <a:ext cx="5336540" cy="3589655"/>
                          </a:xfrm>
                          <a:prstGeom prst="rect">
                            <a:avLst/>
                          </a:prstGeom>
                        </pic:spPr>
                      </pic:pic>
                    </a:graphicData>
                  </a:graphic>
                </wp:anchor>
              </w:drawing>
            </w:r>
            <w:r>
              <w:rPr>
                <w:rFonts w:hint="default" w:ascii="Times New Roman" w:hAnsi="Times New Roman" w:cs="Times New Roman"/>
                <w:b/>
                <w:color w:val="000000" w:themeColor="text1"/>
                <w:sz w:val="24"/>
                <w:szCs w:val="24"/>
                <w14:textFill>
                  <w14:solidFill>
                    <w14:schemeClr w14:val="tx1"/>
                  </w14:solidFill>
                </w14:textFill>
              </w:rPr>
              <w:t>图3-1 监测点位布设图</w:t>
            </w:r>
          </w:p>
          <w:p w14:paraId="034374BD">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2、监测频率</w:t>
            </w:r>
          </w:p>
          <w:p w14:paraId="6EEBB430">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连续监测3天，监测日均值，监测日期为202</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年</w:t>
            </w:r>
            <w:r>
              <w:rPr>
                <w:rFonts w:hint="default" w:ascii="Times New Roman" w:hAnsi="Times New Roman"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14:textFill>
                  <w14:solidFill>
                    <w14:schemeClr w14:val="tx1"/>
                  </w14:solidFill>
                </w14:textFill>
              </w:rPr>
              <w:t>月</w:t>
            </w:r>
            <w:r>
              <w:rPr>
                <w:rFonts w:hint="default" w:ascii="Times New Roman" w:hAnsi="Times New Roman" w:cs="Times New Roman"/>
                <w:color w:val="000000" w:themeColor="text1"/>
                <w:sz w:val="24"/>
                <w:szCs w:val="24"/>
                <w:lang w:val="en-US" w:eastAsia="zh-CN"/>
                <w14:textFill>
                  <w14:solidFill>
                    <w14:schemeClr w14:val="tx1"/>
                  </w14:solidFill>
                </w14:textFill>
              </w:rPr>
              <w:t>7</w:t>
            </w:r>
            <w:r>
              <w:rPr>
                <w:rFonts w:hint="default" w:ascii="Times New Roman" w:hAnsi="Times New Roman" w:cs="Times New Roman"/>
                <w:color w:val="000000" w:themeColor="text1"/>
                <w:sz w:val="24"/>
                <w:szCs w:val="24"/>
                <w14:textFill>
                  <w14:solidFill>
                    <w14:schemeClr w14:val="tx1"/>
                  </w14:solidFill>
                </w14:textFill>
              </w:rPr>
              <w:t>日-</w:t>
            </w:r>
            <w:r>
              <w:rPr>
                <w:rFonts w:hint="default" w:ascii="Times New Roman" w:hAnsi="Times New Roman"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14:textFill>
                  <w14:solidFill>
                    <w14:schemeClr w14:val="tx1"/>
                  </w14:solidFill>
                </w14:textFill>
              </w:rPr>
              <w:t>月</w:t>
            </w:r>
            <w:r>
              <w:rPr>
                <w:rFonts w:hint="default" w:ascii="Times New Roman" w:hAnsi="Times New Roman"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t>日。</w:t>
            </w:r>
          </w:p>
          <w:p w14:paraId="1F4851E4">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3、监测结果</w:t>
            </w:r>
          </w:p>
          <w:p w14:paraId="567D1DC4">
            <w:pPr>
              <w:spacing w:beforeLines="0" w:afterLines="0"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特征污染物环境质量现状监测结果见表3-3。</w:t>
            </w:r>
          </w:p>
          <w:p w14:paraId="0C2BE6B7">
            <w:pPr>
              <w:adjustRightInd w:val="0"/>
              <w:snapToGrid w:val="0"/>
              <w:spacing w:beforeLines="0" w:afterLine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表3-3 其他污染物环境质量现状（监测结果）表</w:t>
            </w:r>
          </w:p>
          <w:tbl>
            <w:tblPr>
              <w:tblStyle w:val="1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60"/>
              <w:gridCol w:w="996"/>
              <w:gridCol w:w="1025"/>
              <w:gridCol w:w="1001"/>
              <w:gridCol w:w="1706"/>
              <w:gridCol w:w="742"/>
              <w:gridCol w:w="565"/>
              <w:gridCol w:w="579"/>
            </w:tblGrid>
            <w:tr w14:paraId="71970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853" w:type="pct"/>
                  <w:vMerge w:val="restart"/>
                  <w:tcBorders>
                    <w:top w:val="single" w:color="auto" w:sz="12" w:space="0"/>
                    <w:left w:val="nil"/>
                    <w:bottom w:val="single" w:color="auto" w:sz="4" w:space="0"/>
                    <w:right w:val="single" w:color="auto" w:sz="4" w:space="0"/>
                    <w:tl2br w:val="nil"/>
                    <w:tr2bl w:val="nil"/>
                  </w:tcBorders>
                  <w:shd w:val="clear" w:color="000000" w:fill="FFFFFF"/>
                  <w:noWrap/>
                  <w:vAlign w:val="center"/>
                </w:tcPr>
                <w:p w14:paraId="5B48E121">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点位名称</w:t>
                  </w:r>
                </w:p>
              </w:tc>
              <w:tc>
                <w:tcPr>
                  <w:tcW w:w="624" w:type="pct"/>
                  <w:vMerge w:val="restar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61BCDD2F">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w:t>
                  </w:r>
                </w:p>
              </w:tc>
              <w:tc>
                <w:tcPr>
                  <w:tcW w:w="642" w:type="pct"/>
                  <w:vMerge w:val="restar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09604E84">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平均时间</w:t>
                  </w:r>
                </w:p>
              </w:tc>
              <w:tc>
                <w:tcPr>
                  <w:tcW w:w="627" w:type="pc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0BBF9056">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评价标准</w:t>
                  </w:r>
                </w:p>
              </w:tc>
              <w:tc>
                <w:tcPr>
                  <w:tcW w:w="1069" w:type="pct"/>
                  <w:vMerge w:val="restar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7A6E43EA">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监测浓度范围</w:t>
                  </w:r>
                </w:p>
              </w:tc>
              <w:tc>
                <w:tcPr>
                  <w:tcW w:w="465" w:type="pct"/>
                  <w:vMerge w:val="restar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611612CE">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最大浓度占标率/%</w:t>
                  </w:r>
                </w:p>
              </w:tc>
              <w:tc>
                <w:tcPr>
                  <w:tcW w:w="354" w:type="pct"/>
                  <w:tcBorders>
                    <w:top w:val="single" w:color="auto" w:sz="12" w:space="0"/>
                    <w:left w:val="single" w:color="auto" w:sz="4" w:space="0"/>
                    <w:bottom w:val="single" w:color="auto" w:sz="4" w:space="0"/>
                    <w:right w:val="single" w:color="auto" w:sz="4" w:space="0"/>
                    <w:tl2br w:val="nil"/>
                    <w:tr2bl w:val="nil"/>
                  </w:tcBorders>
                  <w:shd w:val="clear" w:color="000000" w:fill="FFFFFF"/>
                  <w:noWrap/>
                  <w:vAlign w:val="center"/>
                </w:tcPr>
                <w:p w14:paraId="3E939685">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超标概率/</w:t>
                  </w:r>
                </w:p>
              </w:tc>
              <w:tc>
                <w:tcPr>
                  <w:tcW w:w="363" w:type="pct"/>
                  <w:vMerge w:val="restart"/>
                  <w:tcBorders>
                    <w:top w:val="single" w:color="auto" w:sz="12" w:space="0"/>
                    <w:left w:val="single" w:color="auto" w:sz="4" w:space="0"/>
                    <w:bottom w:val="single" w:color="auto" w:sz="4" w:space="0"/>
                    <w:right w:val="nil"/>
                    <w:tl2br w:val="nil"/>
                    <w:tr2bl w:val="nil"/>
                  </w:tcBorders>
                  <w:shd w:val="clear" w:color="000000" w:fill="FFFFFF"/>
                  <w:noWrap/>
                  <w:vAlign w:val="center"/>
                </w:tcPr>
                <w:p w14:paraId="10FB813F">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达标情况</w:t>
                  </w:r>
                </w:p>
              </w:tc>
            </w:tr>
            <w:tr w14:paraId="74020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853" w:type="pct"/>
                  <w:vMerge w:val="continue"/>
                  <w:tcBorders>
                    <w:top w:val="single" w:color="auto" w:sz="4" w:space="0"/>
                    <w:left w:val="nil"/>
                    <w:bottom w:val="single" w:color="auto" w:sz="4" w:space="0"/>
                    <w:right w:val="single" w:color="auto" w:sz="4" w:space="0"/>
                    <w:tl2br w:val="nil"/>
                    <w:tr2bl w:val="nil"/>
                  </w:tcBorders>
                  <w:shd w:val="clear" w:color="auto" w:fill="auto"/>
                  <w:noWrap/>
                  <w:vAlign w:val="center"/>
                </w:tcPr>
                <w:p w14:paraId="5A3D16D8">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noWrap/>
                  <w:vAlign w:val="center"/>
                </w:tcPr>
                <w:p w14:paraId="6D5E9E9A">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p>
              </w:tc>
              <w:tc>
                <w:tcPr>
                  <w:tcW w:w="642"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noWrap/>
                  <w:vAlign w:val="center"/>
                </w:tcPr>
                <w:p w14:paraId="672D6028">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p>
              </w:tc>
              <w:tc>
                <w:tcPr>
                  <w:tcW w:w="627" w:type="pct"/>
                  <w:tcBorders>
                    <w:top w:val="single" w:color="auto" w:sz="4" w:space="0"/>
                    <w:left w:val="single" w:color="auto" w:sz="4" w:space="0"/>
                    <w:bottom w:val="single" w:color="auto" w:sz="4" w:space="0"/>
                    <w:right w:val="single" w:color="auto" w:sz="4" w:space="0"/>
                    <w:tl2br w:val="nil"/>
                    <w:tr2bl w:val="nil"/>
                  </w:tcBorders>
                  <w:shd w:val="clear" w:color="000000" w:fill="FFFFFF"/>
                  <w:noWrap/>
                  <w:vAlign w:val="center"/>
                </w:tcPr>
                <w:p w14:paraId="026297F8">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（mg/m</w:t>
                  </w:r>
                  <w:r>
                    <w:rPr>
                      <w:rFonts w:hint="default" w:ascii="Times New Roman" w:hAnsi="Times New Roman" w:cs="Times New Roman"/>
                      <w:b/>
                      <w:color w:val="000000" w:themeColor="text1"/>
                      <w:sz w:val="21"/>
                      <w:szCs w:val="21"/>
                      <w:vertAlign w:val="superscript"/>
                      <w14:textFill>
                        <w14:solidFill>
                          <w14:schemeClr w14:val="tx1"/>
                        </w14:solidFill>
                      </w14:textFill>
                    </w:rPr>
                    <w:t>3</w:t>
                  </w:r>
                  <w:r>
                    <w:rPr>
                      <w:rFonts w:hint="default" w:ascii="Times New Roman" w:hAnsi="Times New Roman" w:cs="Times New Roman"/>
                      <w:b/>
                      <w:color w:val="000000" w:themeColor="text1"/>
                      <w:sz w:val="21"/>
                      <w:szCs w:val="21"/>
                      <w14:textFill>
                        <w14:solidFill>
                          <w14:schemeClr w14:val="tx1"/>
                        </w14:solidFill>
                      </w14:textFill>
                    </w:rPr>
                    <w:t>）</w:t>
                  </w:r>
                </w:p>
              </w:tc>
              <w:tc>
                <w:tcPr>
                  <w:tcW w:w="1069"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noWrap/>
                  <w:vAlign w:val="center"/>
                </w:tcPr>
                <w:p w14:paraId="7C0AA526">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465"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noWrap/>
                  <w:vAlign w:val="center"/>
                </w:tcPr>
                <w:p w14:paraId="11386A58">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p>
              </w:tc>
              <w:tc>
                <w:tcPr>
                  <w:tcW w:w="354" w:type="pct"/>
                  <w:tcBorders>
                    <w:top w:val="single" w:color="auto" w:sz="4" w:space="0"/>
                    <w:left w:val="single" w:color="auto" w:sz="4" w:space="0"/>
                    <w:bottom w:val="single" w:color="auto" w:sz="4" w:space="0"/>
                    <w:right w:val="single" w:color="auto" w:sz="4" w:space="0"/>
                    <w:tl2br w:val="nil"/>
                    <w:tr2bl w:val="nil"/>
                  </w:tcBorders>
                  <w:shd w:val="clear" w:color="000000" w:fill="FFFFFF"/>
                  <w:noWrap/>
                  <w:vAlign w:val="center"/>
                </w:tcPr>
                <w:p w14:paraId="7318A56D">
                  <w:pPr>
                    <w:spacing w:beforeLines="0" w:afterLine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w:t>
                  </w:r>
                </w:p>
              </w:tc>
              <w:tc>
                <w:tcPr>
                  <w:tcW w:w="363" w:type="pct"/>
                  <w:vMerge w:val="continue"/>
                  <w:tcBorders>
                    <w:top w:val="single" w:color="auto" w:sz="4" w:space="0"/>
                    <w:left w:val="single" w:color="auto" w:sz="4" w:space="0"/>
                    <w:bottom w:val="single" w:color="auto" w:sz="4" w:space="0"/>
                    <w:right w:val="nil"/>
                    <w:tl2br w:val="nil"/>
                    <w:tr2bl w:val="nil"/>
                  </w:tcBorders>
                  <w:noWrap/>
                  <w:vAlign w:val="center"/>
                </w:tcPr>
                <w:p w14:paraId="648F1D40">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p>
              </w:tc>
            </w:tr>
            <w:tr w14:paraId="5BA12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72" w:hRule="atLeast"/>
              </w:trPr>
              <w:tc>
                <w:tcPr>
                  <w:tcW w:w="853" w:type="pct"/>
                  <w:tcBorders>
                    <w:top w:val="single" w:color="auto" w:sz="4" w:space="0"/>
                    <w:left w:val="nil"/>
                    <w:bottom w:val="single" w:color="auto" w:sz="12" w:space="0"/>
                    <w:right w:val="single" w:color="auto" w:sz="4" w:space="0"/>
                    <w:tl2br w:val="nil"/>
                    <w:tr2bl w:val="nil"/>
                  </w:tcBorders>
                  <w:noWrap/>
                  <w:vAlign w:val="center"/>
                </w:tcPr>
                <w:p w14:paraId="20CDC58E">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厂址下风向1#</w:t>
                  </w:r>
                </w:p>
              </w:tc>
              <w:tc>
                <w:tcPr>
                  <w:tcW w:w="624" w:type="pct"/>
                  <w:tcBorders>
                    <w:top w:val="single" w:color="auto" w:sz="4" w:space="0"/>
                    <w:left w:val="single" w:color="auto" w:sz="4" w:space="0"/>
                    <w:bottom w:val="single" w:color="auto" w:sz="12" w:space="0"/>
                    <w:right w:val="single" w:color="auto" w:sz="4" w:space="0"/>
                    <w:tl2br w:val="nil"/>
                    <w:tr2bl w:val="nil"/>
                  </w:tcBorders>
                  <w:noWrap/>
                  <w:vAlign w:val="center"/>
                </w:tcPr>
                <w:p w14:paraId="7EAD0918">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p>
              </w:tc>
              <w:tc>
                <w:tcPr>
                  <w:tcW w:w="642" w:type="pct"/>
                  <w:tcBorders>
                    <w:top w:val="single" w:color="auto" w:sz="4" w:space="0"/>
                    <w:left w:val="single" w:color="auto" w:sz="4" w:space="0"/>
                    <w:bottom w:val="single" w:color="auto" w:sz="12" w:space="0"/>
                    <w:right w:val="single" w:color="auto" w:sz="4" w:space="0"/>
                    <w:tl2br w:val="nil"/>
                    <w:tr2bl w:val="nil"/>
                  </w:tcBorders>
                  <w:noWrap/>
                  <w:vAlign w:val="center"/>
                </w:tcPr>
                <w:p w14:paraId="147B3090">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24h均值</w:t>
                  </w:r>
                </w:p>
              </w:tc>
              <w:tc>
                <w:tcPr>
                  <w:tcW w:w="627" w:type="pct"/>
                  <w:tcBorders>
                    <w:top w:val="single" w:color="auto" w:sz="4" w:space="0"/>
                    <w:left w:val="single" w:color="auto" w:sz="4" w:space="0"/>
                    <w:bottom w:val="single" w:color="auto" w:sz="12" w:space="0"/>
                    <w:right w:val="single" w:color="auto" w:sz="4" w:space="0"/>
                    <w:tl2br w:val="nil"/>
                    <w:tr2bl w:val="nil"/>
                  </w:tcBorders>
                  <w:noWrap/>
                  <w:vAlign w:val="center"/>
                </w:tcPr>
                <w:p w14:paraId="3EC72967">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c>
                <w:tcPr>
                  <w:tcW w:w="1069" w:type="pct"/>
                  <w:tcBorders>
                    <w:top w:val="single" w:color="auto" w:sz="4" w:space="0"/>
                    <w:left w:val="single" w:color="auto" w:sz="4" w:space="0"/>
                    <w:bottom w:val="single" w:color="auto" w:sz="12" w:space="0"/>
                    <w:right w:val="single" w:color="auto" w:sz="4" w:space="0"/>
                    <w:tl2br w:val="nil"/>
                    <w:tr2bl w:val="nil"/>
                  </w:tcBorders>
                  <w:noWrap/>
                  <w:vAlign w:val="center"/>
                </w:tcPr>
                <w:p w14:paraId="080F7980">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161</w:t>
                  </w: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178</w:t>
                  </w:r>
                  <w:r>
                    <w:rPr>
                      <w:rFonts w:hint="default" w:ascii="Times New Roman" w:hAnsi="Times New Roman" w:cs="Times New Roman"/>
                      <w:color w:val="000000" w:themeColor="text1"/>
                      <w:sz w:val="21"/>
                      <w:szCs w:val="21"/>
                      <w14:textFill>
                        <w14:solidFill>
                          <w14:schemeClr w14:val="tx1"/>
                        </w14:solidFill>
                      </w14:textFill>
                    </w:rPr>
                    <w:t>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c>
                <w:tcPr>
                  <w:tcW w:w="465" w:type="pct"/>
                  <w:tcBorders>
                    <w:top w:val="single" w:color="auto" w:sz="4" w:space="0"/>
                    <w:left w:val="single" w:color="auto" w:sz="4" w:space="0"/>
                    <w:bottom w:val="single" w:color="auto" w:sz="12" w:space="0"/>
                    <w:right w:val="single" w:color="auto" w:sz="4" w:space="0"/>
                    <w:tl2br w:val="nil"/>
                    <w:tr2bl w:val="nil"/>
                  </w:tcBorders>
                  <w:noWrap/>
                  <w:vAlign w:val="center"/>
                </w:tcPr>
                <w:p w14:paraId="1A0F5339">
                  <w:pPr>
                    <w:spacing w:beforeLines="0" w:afterLines="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59.33</w:t>
                  </w:r>
                </w:p>
              </w:tc>
              <w:tc>
                <w:tcPr>
                  <w:tcW w:w="354" w:type="pct"/>
                  <w:tcBorders>
                    <w:top w:val="single" w:color="auto" w:sz="4" w:space="0"/>
                    <w:left w:val="single" w:color="auto" w:sz="4" w:space="0"/>
                    <w:bottom w:val="single" w:color="auto" w:sz="12" w:space="0"/>
                    <w:right w:val="single" w:color="auto" w:sz="4" w:space="0"/>
                    <w:tl2br w:val="nil"/>
                    <w:tr2bl w:val="nil"/>
                  </w:tcBorders>
                  <w:noWrap/>
                  <w:vAlign w:val="center"/>
                </w:tcPr>
                <w:p w14:paraId="010C94E3">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p>
              </w:tc>
              <w:tc>
                <w:tcPr>
                  <w:tcW w:w="363" w:type="pct"/>
                  <w:tcBorders>
                    <w:top w:val="single" w:color="auto" w:sz="4" w:space="0"/>
                    <w:left w:val="single" w:color="auto" w:sz="4" w:space="0"/>
                    <w:bottom w:val="single" w:color="auto" w:sz="12" w:space="0"/>
                    <w:right w:val="nil"/>
                    <w:tl2br w:val="nil"/>
                    <w:tr2bl w:val="nil"/>
                  </w:tcBorders>
                  <w:noWrap/>
                  <w:vAlign w:val="center"/>
                </w:tcPr>
                <w:p w14:paraId="3F6FACC3">
                  <w:pPr>
                    <w:spacing w:beforeLines="0" w:afterLine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达标</w:t>
                  </w:r>
                </w:p>
              </w:tc>
            </w:tr>
          </w:tbl>
          <w:p w14:paraId="66FB1ED0">
            <w:pPr>
              <w:spacing w:beforeLines="0" w:afterLines="0" w:line="360" w:lineRule="auto"/>
              <w:ind w:firstLine="480" w:firstLineChars="200"/>
              <w:rPr>
                <w:rFonts w:hint="default" w:ascii="Times New Roman" w:hAnsi="Times New Roman" w:cs="Times New Roman"/>
                <w:b/>
                <w:color w:val="000000" w:themeColor="text1"/>
                <w:sz w:val="24"/>
                <w:szCs w:val="28"/>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评价区监测点TSP 24h均值最大占标率为</w:t>
            </w:r>
            <w:r>
              <w:rPr>
                <w:rFonts w:hint="default" w:ascii="Times New Roman" w:hAnsi="Times New Roman" w:cs="Times New Roman"/>
                <w:color w:val="000000" w:themeColor="text1"/>
                <w:sz w:val="24"/>
                <w:szCs w:val="24"/>
                <w:lang w:val="en-US" w:eastAsia="zh-CN"/>
                <w14:textFill>
                  <w14:solidFill>
                    <w14:schemeClr w14:val="tx1"/>
                  </w14:solidFill>
                </w14:textFill>
              </w:rPr>
              <w:t>59.33</w:t>
            </w:r>
            <w:r>
              <w:rPr>
                <w:rFonts w:hint="default" w:ascii="Times New Roman" w:hAnsi="Times New Roman" w:cs="Times New Roman"/>
                <w:color w:val="000000" w:themeColor="text1"/>
                <w:sz w:val="24"/>
                <w:szCs w:val="24"/>
                <w14:textFill>
                  <w14:solidFill>
                    <w14:schemeClr w14:val="tx1"/>
                  </w14:solidFill>
                </w14:textFill>
              </w:rPr>
              <w:t>%，满足《环境空气质量标准》（GB3095-2012）及修改单二级标准要求。</w:t>
            </w:r>
          </w:p>
          <w:p w14:paraId="6369E0DB">
            <w:pPr>
              <w:keepNext w:val="0"/>
              <w:keepLines w:val="0"/>
              <w:suppressLineNumbers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二、地表水环境</w:t>
            </w:r>
          </w:p>
          <w:p w14:paraId="739B2234">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所在区域地表水体为安邦河，根据《全国重要江河湖泊水功能区划（2011-2030年）》，安邦河（寒葱沟水库库尾—窑地村）规划水体功能类别为Ⅲ类。根据《2024年黑龙江省生态环境质量状况》可知，双鸭山市参与国家考核计算的断面共6个，Ⅰ-Ⅲ类水质比例为66.7%，无劣V类水质断面。与上年同期相比，Ⅰ-Ⅲ类水质比例保持不变，均无劣V类水质断面。</w:t>
            </w:r>
            <w:r>
              <w:rPr>
                <w:rFonts w:hint="default" w:ascii="Times New Roman" w:hAnsi="Times New Roman" w:eastAsia="宋体" w:cs="Times New Roman"/>
                <w:color w:val="FF0000"/>
                <w:sz w:val="24"/>
                <w:szCs w:val="24"/>
                <w:highlight w:val="none"/>
                <w:lang w:val="en-US" w:eastAsia="zh-CN"/>
              </w:rPr>
              <w:t>本项目所在水体安邦河（寒葱沟水库库尾—窑地村）指标可满足Ⅲ类水体功能标准，水体状况良好</w:t>
            </w:r>
            <w:r>
              <w:rPr>
                <w:rFonts w:hint="eastAsia" w:ascii="Times New Roman" w:hAnsi="Times New Roman" w:eastAsia="宋体" w:cs="Times New Roman"/>
                <w:color w:val="FF0000"/>
                <w:sz w:val="24"/>
                <w:szCs w:val="24"/>
                <w:highlight w:val="none"/>
                <w:lang w:val="en-US" w:eastAsia="zh-CN"/>
              </w:rPr>
              <w:t>。</w:t>
            </w:r>
          </w:p>
          <w:p w14:paraId="315F8A55">
            <w:pPr>
              <w:keepNext w:val="0"/>
              <w:keepLines w:val="0"/>
              <w:suppressLineNumbers w:val="0"/>
              <w:adjustRightInd w:val="0"/>
              <w:snapToGrid w:val="0"/>
              <w:spacing w:before="0" w:beforeAutospacing="0" w:after="0" w:afterAutospacing="0" w:line="360" w:lineRule="auto"/>
              <w:ind w:right="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059680" cy="4163695"/>
                  <wp:effectExtent l="0" t="0" r="7620" b="8255"/>
                  <wp:docPr id="11" name="图片 11" descr="c0ef3814a09d73de96e2c297429b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0ef3814a09d73de96e2c297429b080"/>
                          <pic:cNvPicPr>
                            <a:picLocks noChangeAspect="1"/>
                          </pic:cNvPicPr>
                        </pic:nvPicPr>
                        <pic:blipFill>
                          <a:blip r:embed="rId16"/>
                          <a:stretch>
                            <a:fillRect/>
                          </a:stretch>
                        </pic:blipFill>
                        <pic:spPr>
                          <a:xfrm>
                            <a:off x="0" y="0"/>
                            <a:ext cx="5059680" cy="4163695"/>
                          </a:xfrm>
                          <a:prstGeom prst="rect">
                            <a:avLst/>
                          </a:prstGeom>
                        </pic:spPr>
                      </pic:pic>
                    </a:graphicData>
                  </a:graphic>
                </wp:inline>
              </w:drawing>
            </w:r>
          </w:p>
          <w:p w14:paraId="23926C2F">
            <w:pPr>
              <w:spacing w:before="120" w:beforeLines="50" w:afterLines="0" w:line="360" w:lineRule="auto"/>
              <w:jc w:val="center"/>
              <w:rPr>
                <w:rFonts w:hint="default" w:ascii="Times New Roman" w:hAnsi="Times New Roman" w:cs="Times New Roman"/>
                <w:b/>
                <w:color w:val="FF0000"/>
                <w:sz w:val="24"/>
                <w:szCs w:val="24"/>
                <w:lang w:val="en-US" w:eastAsia="zh-CN"/>
              </w:rPr>
            </w:pPr>
            <w:r>
              <w:rPr>
                <w:rFonts w:hint="default" w:ascii="Times New Roman" w:hAnsi="Times New Roman" w:cs="Times New Roman"/>
                <w:b/>
                <w:color w:val="FF0000"/>
                <w:sz w:val="24"/>
                <w:szCs w:val="24"/>
                <w:lang w:val="en-US" w:eastAsia="zh-CN"/>
              </w:rPr>
              <w:t>图3-2 2024年全省各水系水质状况示意图</w:t>
            </w:r>
          </w:p>
          <w:p w14:paraId="2D84086D">
            <w:pPr>
              <w:keepNext w:val="0"/>
              <w:keepLines w:val="0"/>
              <w:suppressLineNumbers w:val="0"/>
              <w:adjustRightInd w:val="0"/>
              <w:snapToGrid w:val="0"/>
              <w:spacing w:before="0" w:beforeAutospacing="0" w:after="0" w:afterAutospacing="0" w:line="360" w:lineRule="auto"/>
              <w:ind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三、声环境</w:t>
            </w:r>
          </w:p>
          <w:p w14:paraId="4F70730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根据《2024年黑龙江省生态环境质量状况》，双鸭山市区域昼间声环境质量为二级，等效声级为54.4dB(A)；道路交通昼间声环境质量为一级，等效声级为67.6dB(A)；功能区昼间达标率100%，功能区夜间达标率93.8%。</w:t>
            </w:r>
          </w:p>
          <w:p w14:paraId="266FC8F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评价区域范围50m范围内无环境敏感目标，根据《建设项目环境影响报告表编制技术指南（污染影响类）（试行）》，项目厂界外周边50米范围内不存在声环境保护目标，故本次评价未对声环境质量进行补充监测。</w:t>
            </w:r>
          </w:p>
          <w:p w14:paraId="2788F01B">
            <w:pPr>
              <w:keepNext w:val="0"/>
              <w:keepLines w:val="0"/>
              <w:suppressLineNumbers w:val="0"/>
              <w:snapToGrid w:val="0"/>
              <w:spacing w:before="0" w:beforeAutospacing="0" w:after="0" w:afterAutospacing="0" w:line="36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四、</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生态</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环境质量现状</w:t>
            </w:r>
          </w:p>
          <w:p w14:paraId="26E6E60B">
            <w:pPr>
              <w:pStyle w:val="31"/>
              <w:keepNext w:val="0"/>
              <w:keepLines w:val="0"/>
              <w:widowControl/>
              <w:suppressLineNumbers w:val="0"/>
              <w:autoSpaceDE w:val="0"/>
              <w:autoSpaceDN w:val="0"/>
              <w:adjustRightInd/>
              <w:spacing w:before="0" w:beforeAutospacing="0" w:after="0" w:afterAutospacing="0" w:line="360" w:lineRule="auto"/>
              <w:ind w:left="0" w:right="0" w:firstLine="482"/>
              <w:jc w:val="both"/>
              <w:textAlignment w:val="bottom"/>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根据《建设项目环境影响报告表编制技术指南（污染影响类）（试行）》，产业园区外建设项目新增用地且用地范围内含有生态环境保护目标时，应进行生态现状调查。</w:t>
            </w:r>
            <w:r>
              <w:rPr>
                <w:rFonts w:hint="default" w:ascii="Times New Roman" w:hAnsi="Times New Roman" w:eastAsia="宋体" w:cs="Times New Roman"/>
                <w:color w:val="FF0000"/>
                <w:sz w:val="24"/>
                <w:szCs w:val="24"/>
                <w:highlight w:val="none"/>
                <w:lang w:val="en-US" w:eastAsia="zh-CN"/>
              </w:rPr>
              <w:t>本项目位于</w:t>
            </w:r>
            <w:r>
              <w:rPr>
                <w:rFonts w:hint="default" w:ascii="Times New Roman" w:hAnsi="Times New Roman" w:eastAsia="宋体" w:cs="Times New Roman"/>
                <w:color w:val="FF0000"/>
                <w:sz w:val="24"/>
                <w:szCs w:val="24"/>
                <w:highlight w:val="none"/>
                <w:lang w:eastAsia="zh-CN"/>
              </w:rPr>
              <w:t>黑龙江省双鸭山市岭东区青山路933号</w:t>
            </w:r>
            <w:r>
              <w:rPr>
                <w:rFonts w:hint="default" w:ascii="Times New Roman" w:hAnsi="Times New Roman" w:eastAsia="宋体" w:cs="Times New Roman"/>
                <w:color w:val="FF0000"/>
                <w:sz w:val="24"/>
                <w:szCs w:val="24"/>
                <w:highlight w:val="none"/>
                <w:lang w:val="en-US" w:eastAsia="zh-CN"/>
              </w:rPr>
              <w:t>，利用现有厂房进行建设，不新增土地。项目周围500m范围内无重点保护的野生动植物、风景名胜区、自然保护区及文化遗产等特殊保护目标</w:t>
            </w:r>
            <w:r>
              <w:rPr>
                <w:rFonts w:hint="eastAsia" w:ascii="Times New Roman"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rPr>
              <w:t>故不再开展生态环境现状调查。</w:t>
            </w:r>
          </w:p>
          <w:p w14:paraId="3EDA4171">
            <w:pPr>
              <w:keepNext w:val="0"/>
              <w:keepLines w:val="0"/>
              <w:suppressLineNumbers w:val="0"/>
              <w:snapToGrid w:val="0"/>
              <w:spacing w:before="0" w:beforeAutospacing="0" w:after="0" w:afterAutospacing="0" w:line="360" w:lineRule="auto"/>
              <w:ind w:left="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五</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地下水、</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土壤环境质量现状</w:t>
            </w:r>
          </w:p>
          <w:p w14:paraId="4AADCE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建设项目环境影响报告表编制技术指南（污染影响类）（试行）》，“地下水、土壤环境原则上不开展环境质量现状调查，建设项目存在土壤、地下水环境污染途径的，应结合污染源、保护目标分布情况开展现状调查以留作背景值”。现有厂区已进行了地面硬化防渗处理，正常工况下不存在地下水、土壤环境的污染途径，因此，本项目不开展地下水、土壤环境质量现状调查。</w:t>
            </w:r>
          </w:p>
        </w:tc>
      </w:tr>
      <w:tr w14:paraId="084306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14:paraId="28429B8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环境</w:t>
            </w:r>
          </w:p>
          <w:p w14:paraId="6734F3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保护</w:t>
            </w:r>
          </w:p>
          <w:p w14:paraId="504A6BD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目标</w:t>
            </w:r>
          </w:p>
        </w:tc>
        <w:tc>
          <w:tcPr>
            <w:tcW w:w="8190" w:type="dxa"/>
            <w:vAlign w:val="center"/>
          </w:tcPr>
          <w:p w14:paraId="5CC7C942">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一、环境空气保护目标</w:t>
            </w:r>
          </w:p>
          <w:p w14:paraId="599943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t>本项目厂界500m范围内无自然保护区、风景名胜区、文物保护对象等，</w:t>
            </w:r>
            <w:r>
              <w:rPr>
                <w:rFonts w:hint="eastAsia" w:ascii="Times New Roman" w:hAnsi="Times New Roman" w:eastAsia="宋体" w:cs="Times New Roman"/>
                <w:color w:val="FF0000"/>
                <w:sz w:val="24"/>
                <w:szCs w:val="24"/>
                <w:highlight w:val="none"/>
                <w:lang w:val="zh-CN" w:eastAsia="zh-CN"/>
              </w:rPr>
              <w:t>本项目周边存在村民，包括南侧存在村民</w:t>
            </w:r>
            <w:r>
              <w:rPr>
                <w:rFonts w:hint="eastAsia" w:ascii="Times New Roman" w:hAnsi="Times New Roman" w:eastAsia="宋体" w:cs="Times New Roman"/>
                <w:color w:val="FF0000"/>
                <w:sz w:val="24"/>
                <w:szCs w:val="24"/>
                <w:highlight w:val="none"/>
                <w:lang w:val="en-US" w:eastAsia="zh-CN"/>
              </w:rPr>
              <w:t>6户</w:t>
            </w:r>
            <w:r>
              <w:rPr>
                <w:rFonts w:hint="eastAsia" w:ascii="Times New Roman" w:hAnsi="Times New Roman" w:eastAsia="宋体" w:cs="Times New Roman"/>
                <w:color w:val="FF0000"/>
                <w:sz w:val="24"/>
                <w:szCs w:val="24"/>
                <w:highlight w:val="none"/>
                <w:lang w:val="zh-CN" w:eastAsia="zh-CN"/>
              </w:rPr>
              <w:t>，距离本项目最近距离约为</w:t>
            </w:r>
            <w:r>
              <w:rPr>
                <w:rFonts w:hint="eastAsia" w:ascii="Times New Roman" w:hAnsi="Times New Roman" w:eastAsia="宋体" w:cs="Times New Roman"/>
                <w:color w:val="FF0000"/>
                <w:sz w:val="24"/>
                <w:szCs w:val="24"/>
                <w:highlight w:val="none"/>
                <w:lang w:val="en-US" w:eastAsia="zh-CN"/>
              </w:rPr>
              <w:t>110m；西侧存在村民1户，距离本项目最近距离约为230m；西北侧存在村民1户，距离本项目最近距离约为210m，</w:t>
            </w:r>
            <w: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t>环境空气主要保护目标的情况见下表。</w:t>
            </w:r>
          </w:p>
          <w:p w14:paraId="7B960401">
            <w:pPr>
              <w:pStyle w:val="33"/>
              <w:tabs>
                <w:tab w:val="left" w:pos="3590"/>
                <w:tab w:val="center" w:pos="4605"/>
              </w:tabs>
              <w:adjustRightInd w:val="0"/>
              <w:snapToGrid w:val="0"/>
              <w:ind w:firstLine="0"/>
              <w:jc w:val="center"/>
              <w:rPr>
                <w:rFonts w:hint="default" w:ascii="Times New Roman" w:hAnsi="Times New Roman" w:cs="Times New Roman"/>
                <w:b/>
                <w:color w:val="000000" w:themeColor="text1"/>
                <w:sz w:val="24"/>
                <w:szCs w:val="24"/>
                <w:lang w:val="en-US" w:eastAsia="zh-CN"/>
                <w14:textFill>
                  <w14:solidFill>
                    <w14:schemeClr w14:val="tx1"/>
                  </w14:solidFill>
                </w14:textFill>
              </w:rPr>
            </w:pPr>
            <w:r>
              <w:rPr>
                <w:rFonts w:hint="eastAsia" w:ascii="Times New Roman" w:hAnsi="Times New Roman" w:cs="Times New Roman"/>
                <w:b/>
                <w:color w:val="000000" w:themeColor="text1"/>
                <w:sz w:val="24"/>
                <w:szCs w:val="24"/>
                <w:lang w:val="zh-CN" w:eastAsia="zh-CN"/>
                <w14:textFill>
                  <w14:solidFill>
                    <w14:schemeClr w14:val="tx1"/>
                  </w14:solidFill>
                </w14:textFill>
              </w:rPr>
              <w:t>表</w:t>
            </w:r>
            <w:r>
              <w:rPr>
                <w:rFonts w:hint="eastAsia" w:ascii="Times New Roman" w:hAnsi="Times New Roman" w:cs="Times New Roman"/>
                <w:b/>
                <w:color w:val="000000" w:themeColor="text1"/>
                <w:sz w:val="24"/>
                <w:szCs w:val="24"/>
                <w:lang w:val="en-US" w:eastAsia="zh-CN"/>
                <w14:textFill>
                  <w14:solidFill>
                    <w14:schemeClr w14:val="tx1"/>
                  </w14:solidFill>
                </w14:textFill>
              </w:rPr>
              <w:t>3-4 本项目大气环境保护目标一览表</w:t>
            </w:r>
          </w:p>
          <w:tbl>
            <w:tblPr>
              <w:tblStyle w:val="1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1440"/>
              <w:gridCol w:w="1485"/>
              <w:gridCol w:w="645"/>
              <w:gridCol w:w="690"/>
              <w:gridCol w:w="690"/>
              <w:gridCol w:w="675"/>
              <w:gridCol w:w="431"/>
              <w:gridCol w:w="840"/>
            </w:tblGrid>
            <w:tr w14:paraId="78DA1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4" w:type="pct"/>
                  <w:vMerge w:val="restart"/>
                  <w:noWrap w:val="0"/>
                  <w:vAlign w:val="center"/>
                </w:tcPr>
                <w:p w14:paraId="1E5991F6">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名称</w:t>
                  </w:r>
                </w:p>
              </w:tc>
              <w:tc>
                <w:tcPr>
                  <w:tcW w:w="1834" w:type="pct"/>
                  <w:gridSpan w:val="2"/>
                  <w:noWrap w:val="0"/>
                  <w:vAlign w:val="center"/>
                </w:tcPr>
                <w:p w14:paraId="7C41592C">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坐标/°</w:t>
                  </w:r>
                </w:p>
              </w:tc>
              <w:tc>
                <w:tcPr>
                  <w:tcW w:w="404" w:type="pct"/>
                  <w:vMerge w:val="restart"/>
                  <w:noWrap w:val="0"/>
                  <w:vAlign w:val="center"/>
                </w:tcPr>
                <w:p w14:paraId="6CF637D3">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保护对象</w:t>
                  </w:r>
                </w:p>
              </w:tc>
              <w:tc>
                <w:tcPr>
                  <w:tcW w:w="432" w:type="pct"/>
                  <w:vMerge w:val="restart"/>
                  <w:noWrap w:val="0"/>
                  <w:vAlign w:val="center"/>
                </w:tcPr>
                <w:p w14:paraId="04BCCFBA">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保护内容</w:t>
                  </w:r>
                </w:p>
              </w:tc>
              <w:tc>
                <w:tcPr>
                  <w:tcW w:w="432" w:type="pct"/>
                  <w:vMerge w:val="restart"/>
                  <w:noWrap w:val="0"/>
                  <w:vAlign w:val="center"/>
                </w:tcPr>
                <w:p w14:paraId="56466451">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环境功能区</w:t>
                  </w:r>
                </w:p>
              </w:tc>
              <w:tc>
                <w:tcPr>
                  <w:tcW w:w="423" w:type="pct"/>
                  <w:vMerge w:val="restart"/>
                  <w:noWrap w:val="0"/>
                  <w:vAlign w:val="center"/>
                </w:tcPr>
                <w:p w14:paraId="2BA01AD1">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相对厂址方位</w:t>
                  </w:r>
                </w:p>
              </w:tc>
              <w:tc>
                <w:tcPr>
                  <w:tcW w:w="270" w:type="pct"/>
                  <w:vMerge w:val="restart"/>
                  <w:noWrap w:val="0"/>
                  <w:vAlign w:val="center"/>
                </w:tcPr>
                <w:p w14:paraId="74AFFF0D">
                  <w:pPr>
                    <w:spacing w:beforeLines="0" w:afterLines="0"/>
                    <w:jc w:val="center"/>
                    <w:rPr>
                      <w:rFonts w:hint="default" w:ascii="Times New Roman" w:hAnsi="Times New Roman" w:cs="Times New Roman"/>
                      <w:b/>
                      <w:color w:val="FF0000"/>
                      <w:sz w:val="21"/>
                      <w:szCs w:val="21"/>
                      <w:lang w:val="en-US" w:eastAsia="zh-CN"/>
                    </w:rPr>
                  </w:pPr>
                  <w:r>
                    <w:rPr>
                      <w:rFonts w:hint="eastAsia" w:ascii="Times New Roman" w:hAnsi="Times New Roman" w:cs="Times New Roman"/>
                      <w:b/>
                      <w:color w:val="FF0000"/>
                      <w:sz w:val="21"/>
                      <w:szCs w:val="21"/>
                      <w:lang w:val="en-US" w:eastAsia="zh-CN"/>
                    </w:rPr>
                    <w:t>人数</w:t>
                  </w:r>
                </w:p>
              </w:tc>
              <w:tc>
                <w:tcPr>
                  <w:tcW w:w="526" w:type="pct"/>
                  <w:vMerge w:val="restart"/>
                  <w:noWrap w:val="0"/>
                  <w:vAlign w:val="center"/>
                </w:tcPr>
                <w:p w14:paraId="7B58B53C">
                  <w:pPr>
                    <w:spacing w:beforeLines="0" w:afterLines="0"/>
                    <w:jc w:val="center"/>
                    <w:rPr>
                      <w:rFonts w:hint="default" w:ascii="Times New Roman" w:hAnsi="Times New Roman" w:cs="Times New Roman"/>
                      <w:b/>
                      <w:color w:val="FF0000"/>
                      <w:sz w:val="21"/>
                      <w:szCs w:val="21"/>
                      <w:lang w:val="en-US" w:eastAsia="zh-CN"/>
                    </w:rPr>
                  </w:pPr>
                  <w:r>
                    <w:rPr>
                      <w:rFonts w:hint="default" w:ascii="Times New Roman" w:hAnsi="Times New Roman" w:cs="Times New Roman"/>
                      <w:b/>
                      <w:color w:val="FF0000"/>
                      <w:sz w:val="21"/>
                      <w:szCs w:val="21"/>
                      <w:lang w:val="en-US" w:eastAsia="zh-CN"/>
                    </w:rPr>
                    <w:t>相对厂界距离/m</w:t>
                  </w:r>
                </w:p>
              </w:tc>
            </w:tr>
            <w:tr w14:paraId="50574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4" w:type="pct"/>
                  <w:vMerge w:val="continue"/>
                  <w:noWrap w:val="0"/>
                  <w:vAlign w:val="center"/>
                </w:tcPr>
                <w:p w14:paraId="25983C57">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p>
              </w:tc>
              <w:tc>
                <w:tcPr>
                  <w:tcW w:w="903" w:type="pct"/>
                  <w:noWrap w:val="0"/>
                  <w:vAlign w:val="center"/>
                </w:tcPr>
                <w:p w14:paraId="15E7E9DC">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经度</w:t>
                  </w:r>
                </w:p>
              </w:tc>
              <w:tc>
                <w:tcPr>
                  <w:tcW w:w="931" w:type="pct"/>
                  <w:noWrap w:val="0"/>
                  <w:vAlign w:val="center"/>
                </w:tcPr>
                <w:p w14:paraId="71B28C9F">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val="en-US" w:eastAsia="zh-CN"/>
                      <w14:textFill>
                        <w14:solidFill>
                          <w14:schemeClr w14:val="tx1"/>
                        </w14:solidFill>
                      </w14:textFill>
                    </w:rPr>
                    <w:t>纬度</w:t>
                  </w:r>
                </w:p>
              </w:tc>
              <w:tc>
                <w:tcPr>
                  <w:tcW w:w="404" w:type="pct"/>
                  <w:vMerge w:val="continue"/>
                  <w:noWrap w:val="0"/>
                  <w:vAlign w:val="center"/>
                </w:tcPr>
                <w:p w14:paraId="5EFC063C">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p>
              </w:tc>
              <w:tc>
                <w:tcPr>
                  <w:tcW w:w="432" w:type="pct"/>
                  <w:vMerge w:val="continue"/>
                  <w:noWrap w:val="0"/>
                  <w:vAlign w:val="center"/>
                </w:tcPr>
                <w:p w14:paraId="40C331BF">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p>
              </w:tc>
              <w:tc>
                <w:tcPr>
                  <w:tcW w:w="432" w:type="pct"/>
                  <w:vMerge w:val="continue"/>
                  <w:noWrap w:val="0"/>
                  <w:vAlign w:val="center"/>
                </w:tcPr>
                <w:p w14:paraId="4627E31F">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p>
              </w:tc>
              <w:tc>
                <w:tcPr>
                  <w:tcW w:w="423" w:type="pct"/>
                  <w:vMerge w:val="continue"/>
                  <w:noWrap w:val="0"/>
                  <w:vAlign w:val="center"/>
                </w:tcPr>
                <w:p w14:paraId="05433BC4">
                  <w:pPr>
                    <w:spacing w:beforeLines="0" w:afterLines="0"/>
                    <w:jc w:val="center"/>
                    <w:rPr>
                      <w:rFonts w:hint="default" w:ascii="Times New Roman" w:hAnsi="Times New Roman" w:cs="Times New Roman"/>
                      <w:b/>
                      <w:color w:val="000000" w:themeColor="text1"/>
                      <w:sz w:val="21"/>
                      <w:szCs w:val="21"/>
                      <w:lang w:val="en-US" w:eastAsia="zh-CN"/>
                      <w14:textFill>
                        <w14:solidFill>
                          <w14:schemeClr w14:val="tx1"/>
                        </w14:solidFill>
                      </w14:textFill>
                    </w:rPr>
                  </w:pPr>
                </w:p>
              </w:tc>
              <w:tc>
                <w:tcPr>
                  <w:tcW w:w="270" w:type="pct"/>
                  <w:vMerge w:val="continue"/>
                  <w:noWrap w:val="0"/>
                  <w:vAlign w:val="center"/>
                </w:tcPr>
                <w:p w14:paraId="3C064C8F">
                  <w:pPr>
                    <w:spacing w:beforeLines="0" w:afterLines="0"/>
                    <w:jc w:val="center"/>
                    <w:rPr>
                      <w:rFonts w:hint="default" w:ascii="Times New Roman" w:hAnsi="Times New Roman" w:cs="Times New Roman"/>
                      <w:b/>
                      <w:color w:val="FF0000"/>
                      <w:sz w:val="21"/>
                      <w:szCs w:val="21"/>
                      <w:lang w:val="en-US" w:eastAsia="zh-CN"/>
                    </w:rPr>
                  </w:pPr>
                </w:p>
              </w:tc>
              <w:tc>
                <w:tcPr>
                  <w:tcW w:w="526" w:type="pct"/>
                  <w:vMerge w:val="continue"/>
                  <w:noWrap w:val="0"/>
                  <w:vAlign w:val="center"/>
                </w:tcPr>
                <w:p w14:paraId="357E82B8">
                  <w:pPr>
                    <w:spacing w:beforeLines="0" w:afterLines="0"/>
                    <w:jc w:val="center"/>
                    <w:rPr>
                      <w:rFonts w:hint="default" w:ascii="Times New Roman" w:hAnsi="Times New Roman" w:cs="Times New Roman"/>
                      <w:b/>
                      <w:color w:val="FF0000"/>
                      <w:sz w:val="21"/>
                      <w:szCs w:val="21"/>
                      <w:lang w:val="en-US" w:eastAsia="zh-CN"/>
                    </w:rPr>
                  </w:pPr>
                </w:p>
              </w:tc>
            </w:tr>
            <w:tr w14:paraId="5AA38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74" w:type="pct"/>
                  <w:noWrap w:val="0"/>
                  <w:vAlign w:val="center"/>
                </w:tcPr>
                <w:p w14:paraId="5A28F1BA">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南侧村民</w:t>
                  </w:r>
                </w:p>
              </w:tc>
              <w:tc>
                <w:tcPr>
                  <w:tcW w:w="903" w:type="pct"/>
                  <w:noWrap w:val="0"/>
                  <w:vAlign w:val="center"/>
                </w:tcPr>
                <w:p w14:paraId="41861F92">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131.14596605</w:t>
                  </w:r>
                </w:p>
              </w:tc>
              <w:tc>
                <w:tcPr>
                  <w:tcW w:w="931" w:type="pct"/>
                  <w:noWrap w:val="0"/>
                  <w:vAlign w:val="center"/>
                </w:tcPr>
                <w:p w14:paraId="42471F7C">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46.54884108</w:t>
                  </w:r>
                </w:p>
              </w:tc>
              <w:tc>
                <w:tcPr>
                  <w:tcW w:w="404" w:type="pct"/>
                  <w:noWrap w:val="0"/>
                  <w:vAlign w:val="center"/>
                </w:tcPr>
                <w:p w14:paraId="04AC1B2D">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居住区</w:t>
                  </w:r>
                </w:p>
              </w:tc>
              <w:tc>
                <w:tcPr>
                  <w:tcW w:w="432" w:type="pct"/>
                  <w:noWrap w:val="0"/>
                  <w:vAlign w:val="center"/>
                </w:tcPr>
                <w:p w14:paraId="1739FB88">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居民</w:t>
                  </w:r>
                </w:p>
              </w:tc>
              <w:tc>
                <w:tcPr>
                  <w:tcW w:w="432" w:type="pct"/>
                  <w:noWrap w:val="0"/>
                  <w:vAlign w:val="center"/>
                </w:tcPr>
                <w:p w14:paraId="7674B540">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二类</w:t>
                  </w:r>
                </w:p>
              </w:tc>
              <w:tc>
                <w:tcPr>
                  <w:tcW w:w="423" w:type="pct"/>
                  <w:noWrap w:val="0"/>
                  <w:vAlign w:val="center"/>
                </w:tcPr>
                <w:p w14:paraId="4F6B880B">
                  <w:pPr>
                    <w:spacing w:beforeLines="0" w:afterLines="0"/>
                    <w:jc w:val="center"/>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S</w:t>
                  </w:r>
                </w:p>
              </w:tc>
              <w:tc>
                <w:tcPr>
                  <w:tcW w:w="270" w:type="pct"/>
                  <w:noWrap w:val="0"/>
                  <w:vAlign w:val="center"/>
                </w:tcPr>
                <w:p w14:paraId="4B378741">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15</w:t>
                  </w:r>
                </w:p>
              </w:tc>
              <w:tc>
                <w:tcPr>
                  <w:tcW w:w="526" w:type="pct"/>
                  <w:noWrap w:val="0"/>
                  <w:vAlign w:val="center"/>
                </w:tcPr>
                <w:p w14:paraId="79C9C375">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约110</w:t>
                  </w:r>
                </w:p>
              </w:tc>
            </w:tr>
            <w:tr w14:paraId="2C4CA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74" w:type="pct"/>
                  <w:noWrap w:val="0"/>
                  <w:vAlign w:val="center"/>
                </w:tcPr>
                <w:p w14:paraId="1E39827A">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西侧村民</w:t>
                  </w:r>
                </w:p>
              </w:tc>
              <w:tc>
                <w:tcPr>
                  <w:tcW w:w="903" w:type="pct"/>
                  <w:noWrap w:val="0"/>
                  <w:vAlign w:val="center"/>
                </w:tcPr>
                <w:p w14:paraId="61079CF6">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131.14234775</w:t>
                  </w:r>
                </w:p>
              </w:tc>
              <w:tc>
                <w:tcPr>
                  <w:tcW w:w="931" w:type="pct"/>
                  <w:noWrap w:val="0"/>
                  <w:vAlign w:val="center"/>
                </w:tcPr>
                <w:p w14:paraId="712354E9">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46.55085725</w:t>
                  </w:r>
                </w:p>
              </w:tc>
              <w:tc>
                <w:tcPr>
                  <w:tcW w:w="645" w:type="dxa"/>
                  <w:noWrap w:val="0"/>
                  <w:vAlign w:val="center"/>
                </w:tcPr>
                <w:p w14:paraId="013012DD">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居住区</w:t>
                  </w:r>
                </w:p>
              </w:tc>
              <w:tc>
                <w:tcPr>
                  <w:tcW w:w="690" w:type="dxa"/>
                  <w:noWrap w:val="0"/>
                  <w:vAlign w:val="center"/>
                </w:tcPr>
                <w:p w14:paraId="6989211F">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居民</w:t>
                  </w:r>
                </w:p>
              </w:tc>
              <w:tc>
                <w:tcPr>
                  <w:tcW w:w="690" w:type="dxa"/>
                  <w:noWrap w:val="0"/>
                  <w:vAlign w:val="center"/>
                </w:tcPr>
                <w:p w14:paraId="56EA240C">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二类</w:t>
                  </w:r>
                </w:p>
              </w:tc>
              <w:tc>
                <w:tcPr>
                  <w:tcW w:w="423" w:type="pct"/>
                  <w:noWrap w:val="0"/>
                  <w:vAlign w:val="center"/>
                </w:tcPr>
                <w:p w14:paraId="56D293C1">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W</w:t>
                  </w:r>
                </w:p>
              </w:tc>
              <w:tc>
                <w:tcPr>
                  <w:tcW w:w="270" w:type="pct"/>
                  <w:noWrap w:val="0"/>
                  <w:vAlign w:val="center"/>
                </w:tcPr>
                <w:p w14:paraId="36D8EABB">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2</w:t>
                  </w:r>
                </w:p>
              </w:tc>
              <w:tc>
                <w:tcPr>
                  <w:tcW w:w="526" w:type="pct"/>
                  <w:noWrap w:val="0"/>
                  <w:vAlign w:val="center"/>
                </w:tcPr>
                <w:p w14:paraId="22D30EFE">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约230</w:t>
                  </w:r>
                </w:p>
              </w:tc>
            </w:tr>
            <w:tr w14:paraId="37A0E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74" w:type="pct"/>
                  <w:noWrap w:val="0"/>
                  <w:vAlign w:val="center"/>
                </w:tcPr>
                <w:p w14:paraId="0653982B">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西北侧村民</w:t>
                  </w:r>
                </w:p>
              </w:tc>
              <w:tc>
                <w:tcPr>
                  <w:tcW w:w="903" w:type="pct"/>
                  <w:noWrap w:val="0"/>
                  <w:vAlign w:val="center"/>
                </w:tcPr>
                <w:p w14:paraId="7DB29A90">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131.14330798</w:t>
                  </w:r>
                </w:p>
              </w:tc>
              <w:tc>
                <w:tcPr>
                  <w:tcW w:w="931" w:type="pct"/>
                  <w:noWrap w:val="0"/>
                  <w:vAlign w:val="center"/>
                </w:tcPr>
                <w:p w14:paraId="34B6BB5B">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46.55218718</w:t>
                  </w:r>
                </w:p>
              </w:tc>
              <w:tc>
                <w:tcPr>
                  <w:tcW w:w="645" w:type="dxa"/>
                  <w:noWrap w:val="0"/>
                  <w:vAlign w:val="center"/>
                </w:tcPr>
                <w:p w14:paraId="69F3D625">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居住区</w:t>
                  </w:r>
                </w:p>
              </w:tc>
              <w:tc>
                <w:tcPr>
                  <w:tcW w:w="690" w:type="dxa"/>
                  <w:noWrap w:val="0"/>
                  <w:vAlign w:val="center"/>
                </w:tcPr>
                <w:p w14:paraId="282A6548">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居民</w:t>
                  </w:r>
                </w:p>
              </w:tc>
              <w:tc>
                <w:tcPr>
                  <w:tcW w:w="690" w:type="dxa"/>
                  <w:noWrap w:val="0"/>
                  <w:vAlign w:val="center"/>
                </w:tcPr>
                <w:p w14:paraId="7A500013">
                  <w:pPr>
                    <w:spacing w:beforeLines="0" w:afterLines="0"/>
                    <w:jc w:val="center"/>
                    <w:rPr>
                      <w:rFonts w:hint="default" w:ascii="Times New Roman" w:hAnsi="Times New Roman" w:cs="Times New Roman"/>
                      <w:b w:val="0"/>
                      <w:bCs/>
                      <w:color w:val="FF0000"/>
                      <w:sz w:val="21"/>
                      <w:szCs w:val="21"/>
                      <w:lang w:val="en-US" w:eastAsia="zh-CN"/>
                    </w:rPr>
                  </w:pPr>
                  <w:r>
                    <w:rPr>
                      <w:rFonts w:hint="default" w:ascii="Times New Roman" w:hAnsi="Times New Roman" w:cs="Times New Roman"/>
                      <w:b w:val="0"/>
                      <w:bCs/>
                      <w:color w:val="FF0000"/>
                      <w:sz w:val="21"/>
                      <w:szCs w:val="21"/>
                      <w:lang w:val="en-US" w:eastAsia="zh-CN"/>
                    </w:rPr>
                    <w:t>二类</w:t>
                  </w:r>
                </w:p>
              </w:tc>
              <w:tc>
                <w:tcPr>
                  <w:tcW w:w="423" w:type="pct"/>
                  <w:noWrap w:val="0"/>
                  <w:vAlign w:val="center"/>
                </w:tcPr>
                <w:p w14:paraId="67C33090">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NW</w:t>
                  </w:r>
                </w:p>
              </w:tc>
              <w:tc>
                <w:tcPr>
                  <w:tcW w:w="270" w:type="pct"/>
                  <w:noWrap w:val="0"/>
                  <w:vAlign w:val="center"/>
                </w:tcPr>
                <w:p w14:paraId="16C7170F">
                  <w:pPr>
                    <w:spacing w:beforeLines="0" w:afterLines="0"/>
                    <w:jc w:val="center"/>
                    <w:rPr>
                      <w:rFonts w:hint="default"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2</w:t>
                  </w:r>
                </w:p>
              </w:tc>
              <w:tc>
                <w:tcPr>
                  <w:tcW w:w="526" w:type="pct"/>
                  <w:noWrap w:val="0"/>
                  <w:vAlign w:val="center"/>
                </w:tcPr>
                <w:p w14:paraId="3D04E6D7">
                  <w:pPr>
                    <w:spacing w:beforeLines="0" w:afterLines="0"/>
                    <w:jc w:val="center"/>
                    <w:rPr>
                      <w:rFonts w:hint="eastAsia" w:ascii="Times New Roman" w:hAnsi="Times New Roman" w:cs="Times New Roman"/>
                      <w:b w:val="0"/>
                      <w:bCs/>
                      <w:color w:val="FF0000"/>
                      <w:sz w:val="21"/>
                      <w:szCs w:val="21"/>
                      <w:lang w:val="en-US" w:eastAsia="zh-CN"/>
                    </w:rPr>
                  </w:pPr>
                  <w:r>
                    <w:rPr>
                      <w:rFonts w:hint="eastAsia" w:ascii="Times New Roman" w:hAnsi="Times New Roman" w:cs="Times New Roman"/>
                      <w:b w:val="0"/>
                      <w:bCs/>
                      <w:color w:val="FF0000"/>
                      <w:sz w:val="21"/>
                      <w:szCs w:val="21"/>
                      <w:lang w:val="en-US" w:eastAsia="zh-CN"/>
                    </w:rPr>
                    <w:t>约210</w:t>
                  </w:r>
                </w:p>
              </w:tc>
            </w:tr>
          </w:tbl>
          <w:p w14:paraId="1E8C6756">
            <w:pPr>
              <w:pStyle w:val="11"/>
              <w:ind w:left="0" w:leftChars="0" w:firstLine="0" w:firstLineChars="0"/>
              <w:rPr>
                <w:rFonts w:hint="default"/>
                <w:lang w:val="zh-CN" w:eastAsia="zh-CN"/>
              </w:rPr>
            </w:pPr>
          </w:p>
          <w:p w14:paraId="33302412">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二、声环境保护目标</w:t>
            </w:r>
          </w:p>
          <w:p w14:paraId="707E778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本项目厂界外周边</w:t>
            </w:r>
            <w:r>
              <w:rPr>
                <w:rFonts w:hint="default" w:ascii="Times New Roman" w:hAnsi="Times New Roman" w:eastAsia="宋体" w:cs="Times New Roman"/>
                <w:color w:val="000000" w:themeColor="text1"/>
                <w:sz w:val="24"/>
                <w:szCs w:val="24"/>
                <w:highlight w:val="none"/>
                <w14:textFill>
                  <w14:solidFill>
                    <w14:schemeClr w14:val="tx1"/>
                  </w14:solidFill>
                </w14:textFill>
              </w:rPr>
              <w:t>50m范围内不</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存在声环境保护目标。</w:t>
            </w:r>
          </w:p>
          <w:p w14:paraId="207B81EA">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三</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、地下水环境保护目标 </w:t>
            </w:r>
          </w:p>
          <w:p w14:paraId="62F32EA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本项目厂界500m范围内无地下水集中式饮用水水源和热水、矿泉水、温泉等特殊地下水资源等保护目标。</w:t>
            </w:r>
          </w:p>
          <w:p w14:paraId="19E86FAF">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四、生态环境保护目标</w:t>
            </w:r>
          </w:p>
          <w:p w14:paraId="0C92806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themeColor="text1"/>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本项目占地范围内无特殊生态敏感区及重要生态敏感区等生态环境保护目标，项目所在地无国家级、省、市级自然保护区、风景名胜区、文物保护对象。</w:t>
            </w:r>
          </w:p>
          <w:p w14:paraId="7184BAF6">
            <w:pPr>
              <w:tabs>
                <w:tab w:val="left" w:pos="896"/>
              </w:tabs>
              <w:bidi w:val="0"/>
              <w:jc w:val="left"/>
              <w:rPr>
                <w:rFonts w:hint="default" w:ascii="Times New Roman" w:hAnsi="Times New Roman" w:cs="Times New Roman"/>
                <w:color w:val="000000" w:themeColor="text1"/>
                <w:lang w:val="zh-CN" w:eastAsia="zh-CN"/>
                <w14:textFill>
                  <w14:solidFill>
                    <w14:schemeClr w14:val="tx1"/>
                  </w14:solidFill>
                </w14:textFill>
              </w:rPr>
            </w:pPr>
          </w:p>
        </w:tc>
      </w:tr>
      <w:tr w14:paraId="3A176C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800" w:type="dxa"/>
            <w:tcMar>
              <w:left w:w="28" w:type="dxa"/>
              <w:right w:w="28" w:type="dxa"/>
            </w:tcMar>
            <w:vAlign w:val="center"/>
          </w:tcPr>
          <w:p w14:paraId="25C59DC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污染</w:t>
            </w:r>
          </w:p>
          <w:p w14:paraId="66FED2A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物排</w:t>
            </w:r>
          </w:p>
          <w:p w14:paraId="3834AB3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放控</w:t>
            </w:r>
          </w:p>
          <w:p w14:paraId="151238C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制标</w:t>
            </w:r>
          </w:p>
          <w:p w14:paraId="282E1FF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准</w:t>
            </w:r>
          </w:p>
        </w:tc>
        <w:tc>
          <w:tcPr>
            <w:tcW w:w="8190" w:type="dxa"/>
            <w:vAlign w:val="center"/>
          </w:tcPr>
          <w:p w14:paraId="0F49B8E0">
            <w:pPr>
              <w:keepNext w:val="0"/>
              <w:keepLines w:val="0"/>
              <w:widowControl w:val="0"/>
              <w:numPr>
                <w:ilvl w:val="0"/>
                <w:numId w:val="0"/>
              </w:numPr>
              <w:suppressLineNumbers w:val="0"/>
              <w:adjustRightInd w:val="0"/>
              <w:snapToGrid w:val="0"/>
              <w:spacing w:before="0" w:beforeAutospacing="0" w:after="0" w:afterAutospacing="0" w:line="360" w:lineRule="auto"/>
              <w:ind w:left="375" w:leftChars="0" w:right="0" w:rightChars="0" w:hanging="375" w:firstLineChars="0"/>
              <w:jc w:val="left"/>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一、</w:t>
            </w:r>
            <w:r>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t>废气</w:t>
            </w:r>
          </w:p>
          <w:p w14:paraId="376277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本项目施工期颗粒物排放执行《大气污染物综合排放标准》（GB16297-1996）表2中无组织排放监控浓度限值。本项目运营期油烟排放执行《饮食业油烟排放标准》（试行）（GB18483-2001）中型规模标准限值；运营期厂界恶臭气体无组织排放执行《恶臭污染物排放标准》（GB14554-1993）中的二级厂界排放标准；运营期厂界颗粒物</w:t>
            </w:r>
            <w: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t>、</w:t>
            </w:r>
            <w:r>
              <w:rPr>
                <w:rFonts w:hint="eastAsia" w:ascii="Times New Roman" w:hAnsi="Times New Roman" w:eastAsia="宋体" w:cs="Times New Roman"/>
                <w:color w:val="FF0000"/>
                <w:sz w:val="24"/>
                <w:szCs w:val="24"/>
                <w:highlight w:val="none"/>
                <w:lang w:val="zh-CN" w:eastAsia="zh-CN"/>
              </w:rPr>
              <w:t>非甲烷总烃</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执行《大气污染物综合排放标准》（GB16297-1996）中二级标准的无组织监控浓度限值。</w:t>
            </w:r>
            <w:r>
              <w:rPr>
                <w:rFonts w:hint="default" w:ascii="Times New Roman" w:hAnsi="Times New Roman" w:eastAsia="宋体" w:cs="Times New Roman"/>
                <w:color w:val="FF0000"/>
                <w:sz w:val="24"/>
                <w:szCs w:val="24"/>
                <w:highlight w:val="none"/>
                <w:lang w:val="zh-CN" w:eastAsia="zh-CN"/>
              </w:rPr>
              <w:t>厂区NMHC无组织排放从严执行《挥发性有机物无组织排放控制标准》(GB37822-2019)表A.1</w:t>
            </w:r>
            <w:r>
              <w:rPr>
                <w:rFonts w:hint="eastAsia" w:ascii="Times New Roman" w:hAnsi="Times New Roman" w:eastAsia="宋体" w:cs="Times New Roman"/>
                <w:color w:val="FF0000"/>
                <w:sz w:val="24"/>
                <w:szCs w:val="24"/>
                <w:highlight w:val="none"/>
                <w:lang w:val="zh-CN" w:eastAsia="zh-CN"/>
              </w:rPr>
              <w:t>中</w:t>
            </w:r>
            <w:r>
              <w:rPr>
                <w:rFonts w:hint="default" w:ascii="Times New Roman" w:hAnsi="Times New Roman" w:eastAsia="宋体" w:cs="Times New Roman"/>
                <w:color w:val="FF0000"/>
                <w:sz w:val="24"/>
                <w:szCs w:val="24"/>
                <w:highlight w:val="none"/>
                <w:lang w:val="zh-CN" w:eastAsia="zh-CN"/>
              </w:rPr>
              <w:t>排放限值。</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具体标准限值见下表。</w:t>
            </w:r>
          </w:p>
          <w:p w14:paraId="3D8020FE">
            <w:pPr>
              <w:pStyle w:val="33"/>
              <w:tabs>
                <w:tab w:val="left" w:pos="3590"/>
                <w:tab w:val="center" w:pos="4605"/>
              </w:tabs>
              <w:adjustRightInd w:val="0"/>
              <w:snapToGrid w:val="0"/>
              <w:ind w:firstLine="0"/>
              <w:jc w:val="center"/>
              <w:rPr>
                <w:rFonts w:hint="default" w:ascii="Times New Roman" w:hAnsi="Times New Roman" w:eastAsia="Times New Roman" w:cs="Times New Roman"/>
                <w:b/>
                <w:color w:val="000000" w:themeColor="text1"/>
                <w:sz w:val="24"/>
                <w:szCs w:val="24"/>
                <w:lang w:val="zh-CN"/>
                <w14:textFill>
                  <w14:solidFill>
                    <w14:schemeClr w14:val="tx1"/>
                  </w14:solidFill>
                </w14:textFill>
              </w:rPr>
            </w:pPr>
            <w:r>
              <w:rPr>
                <w:rFonts w:hint="default" w:ascii="Times New Roman" w:hAnsi="Times New Roman" w:cs="Times New Roman"/>
                <w:b/>
                <w:color w:val="000000" w:themeColor="text1"/>
                <w:sz w:val="24"/>
                <w:szCs w:val="24"/>
                <w:lang w:val="zh-CN"/>
                <w14:textFill>
                  <w14:solidFill>
                    <w14:schemeClr w14:val="tx1"/>
                  </w14:solidFill>
                </w14:textFill>
              </w:rPr>
              <w:t>表3-</w:t>
            </w:r>
            <w:r>
              <w:rPr>
                <w:rFonts w:hint="eastAsia" w:ascii="Times New Roman" w:hAnsi="Times New Roman" w:cs="Times New Roman"/>
                <w:b/>
                <w:color w:val="000000" w:themeColor="text1"/>
                <w:sz w:val="24"/>
                <w:szCs w:val="24"/>
                <w:lang w:val="en-US" w:eastAsia="zh-CN"/>
                <w14:textFill>
                  <w14:solidFill>
                    <w14:schemeClr w14:val="tx1"/>
                  </w14:solidFill>
                </w14:textFill>
              </w:rPr>
              <w:t>5</w:t>
            </w:r>
            <w:r>
              <w:rPr>
                <w:rFonts w:hint="default" w:ascii="Times New Roman" w:hAnsi="Times New Roman" w:cs="Times New Roman"/>
                <w:b/>
                <w:color w:val="000000" w:themeColor="text1"/>
                <w:sz w:val="24"/>
                <w:szCs w:val="24"/>
                <w:lang w:val="zh-CN"/>
                <w14:textFill>
                  <w14:solidFill>
                    <w14:schemeClr w14:val="tx1"/>
                  </w14:solidFill>
                </w14:textFill>
              </w:rPr>
              <w:t xml:space="preserve"> 施工期无组织排放限值</w:t>
            </w:r>
          </w:p>
          <w:tbl>
            <w:tblPr>
              <w:tblStyle w:val="13"/>
              <w:tblW w:w="82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138"/>
              <w:gridCol w:w="2294"/>
              <w:gridCol w:w="4092"/>
            </w:tblGrid>
            <w:tr w14:paraId="6BBF2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13" w:type="dxa"/>
                  <w:tcBorders>
                    <w:top w:val="single" w:color="auto" w:sz="12" w:space="0"/>
                    <w:left w:val="nil"/>
                    <w:bottom w:val="single" w:color="auto" w:sz="4" w:space="0"/>
                    <w:right w:val="single" w:color="auto" w:sz="4" w:space="0"/>
                    <w:tl2br w:val="nil"/>
                    <w:tr2bl w:val="nil"/>
                  </w:tcBorders>
                  <w:noWrap w:val="0"/>
                  <w:vAlign w:val="center"/>
                </w:tcPr>
                <w:p w14:paraId="438080C9">
                  <w:pPr>
                    <w:pStyle w:val="33"/>
                    <w:tabs>
                      <w:tab w:val="left" w:pos="3590"/>
                      <w:tab w:val="center" w:pos="4605"/>
                    </w:tabs>
                    <w:adjustRightInd w:val="0"/>
                    <w:snapToGrid w:val="0"/>
                    <w:ind w:firstLine="0"/>
                    <w:jc w:val="center"/>
                    <w:rPr>
                      <w:rFonts w:hint="default" w:ascii="Times New Roman" w:hAnsi="Times New Roman" w:eastAsia="Times New Roman" w:cs="Times New Roman"/>
                      <w:b/>
                      <w:color w:val="000000" w:themeColor="text1"/>
                      <w:sz w:val="21"/>
                      <w:szCs w:val="21"/>
                      <w:lang w:val="zh-CN"/>
                      <w14:textFill>
                        <w14:solidFill>
                          <w14:schemeClr w14:val="tx1"/>
                        </w14:solidFill>
                      </w14:textFill>
                    </w:rPr>
                  </w:pPr>
                  <w:r>
                    <w:rPr>
                      <w:rFonts w:hint="default" w:ascii="Times New Roman" w:hAnsi="Times New Roman" w:cs="Times New Roman"/>
                      <w:b/>
                      <w:color w:val="000000" w:themeColor="text1"/>
                      <w:sz w:val="21"/>
                      <w:szCs w:val="21"/>
                      <w:lang w:val="zh-CN"/>
                      <w14:textFill>
                        <w14:solidFill>
                          <w14:schemeClr w14:val="tx1"/>
                        </w14:solidFill>
                      </w14:textFill>
                    </w:rPr>
                    <w:t>序号</w:t>
                  </w:r>
                </w:p>
              </w:tc>
              <w:tc>
                <w:tcPr>
                  <w:tcW w:w="113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4A9D7EB6">
                  <w:pPr>
                    <w:pStyle w:val="33"/>
                    <w:tabs>
                      <w:tab w:val="left" w:pos="3590"/>
                      <w:tab w:val="center" w:pos="4605"/>
                    </w:tabs>
                    <w:adjustRightInd w:val="0"/>
                    <w:snapToGrid w:val="0"/>
                    <w:ind w:firstLine="0"/>
                    <w:jc w:val="center"/>
                    <w:rPr>
                      <w:rFonts w:hint="default" w:ascii="Times New Roman" w:hAnsi="Times New Roman" w:eastAsia="Times New Roman" w:cs="Times New Roman"/>
                      <w:b/>
                      <w:color w:val="000000" w:themeColor="text1"/>
                      <w:sz w:val="21"/>
                      <w:szCs w:val="21"/>
                      <w:lang w:val="zh-CN"/>
                      <w14:textFill>
                        <w14:solidFill>
                          <w14:schemeClr w14:val="tx1"/>
                        </w14:solidFill>
                      </w14:textFill>
                    </w:rPr>
                  </w:pPr>
                  <w:r>
                    <w:rPr>
                      <w:rFonts w:hint="default" w:ascii="Times New Roman" w:hAnsi="Times New Roman" w:cs="Times New Roman"/>
                      <w:b/>
                      <w:color w:val="000000" w:themeColor="text1"/>
                      <w:sz w:val="21"/>
                      <w:szCs w:val="21"/>
                      <w:lang w:val="zh-CN"/>
                      <w14:textFill>
                        <w14:solidFill>
                          <w14:schemeClr w14:val="tx1"/>
                        </w14:solidFill>
                      </w14:textFill>
                    </w:rPr>
                    <w:t>污染物</w:t>
                  </w:r>
                </w:p>
              </w:tc>
              <w:tc>
                <w:tcPr>
                  <w:tcW w:w="2294"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55CE0AFC">
                  <w:pPr>
                    <w:pStyle w:val="33"/>
                    <w:tabs>
                      <w:tab w:val="left" w:pos="3590"/>
                      <w:tab w:val="center" w:pos="4605"/>
                    </w:tabs>
                    <w:adjustRightInd w:val="0"/>
                    <w:snapToGrid w:val="0"/>
                    <w:ind w:firstLine="0"/>
                    <w:jc w:val="center"/>
                    <w:rPr>
                      <w:rFonts w:hint="default" w:ascii="Times New Roman" w:hAnsi="Times New Roman" w:eastAsia="Times New Roman" w:cs="Times New Roman"/>
                      <w:b/>
                      <w:color w:val="000000" w:themeColor="text1"/>
                      <w:sz w:val="21"/>
                      <w:szCs w:val="21"/>
                      <w:lang w:val="zh-CN"/>
                      <w14:textFill>
                        <w14:solidFill>
                          <w14:schemeClr w14:val="tx1"/>
                        </w14:solidFill>
                      </w14:textFill>
                    </w:rPr>
                  </w:pPr>
                  <w:r>
                    <w:rPr>
                      <w:rFonts w:hint="default" w:ascii="Times New Roman" w:hAnsi="Times New Roman" w:cs="Times New Roman"/>
                      <w:b/>
                      <w:color w:val="000000" w:themeColor="text1"/>
                      <w:sz w:val="21"/>
                      <w:szCs w:val="21"/>
                      <w:lang w:val="zh-CN"/>
                      <w14:textFill>
                        <w14:solidFill>
                          <w14:schemeClr w14:val="tx1"/>
                        </w14:solidFill>
                      </w14:textFill>
                    </w:rPr>
                    <w:t>排放浓度限值（mg/m</w:t>
                  </w:r>
                  <w:r>
                    <w:rPr>
                      <w:rFonts w:hint="default" w:ascii="Times New Roman" w:hAnsi="Times New Roman" w:eastAsia="Times New Roman" w:cs="Times New Roman"/>
                      <w:b/>
                      <w:color w:val="000000" w:themeColor="text1"/>
                      <w:sz w:val="21"/>
                      <w:szCs w:val="21"/>
                      <w:vertAlign w:val="superscript"/>
                      <w:lang w:val="zh-CN"/>
                      <w14:textFill>
                        <w14:solidFill>
                          <w14:schemeClr w14:val="tx1"/>
                        </w14:solidFill>
                      </w14:textFill>
                    </w:rPr>
                    <w:t>3</w:t>
                  </w:r>
                  <w:r>
                    <w:rPr>
                      <w:rFonts w:hint="default" w:ascii="Times New Roman" w:hAnsi="Times New Roman" w:cs="Times New Roman"/>
                      <w:b/>
                      <w:color w:val="000000" w:themeColor="text1"/>
                      <w:sz w:val="21"/>
                      <w:szCs w:val="21"/>
                      <w:lang w:val="zh-CN"/>
                      <w14:textFill>
                        <w14:solidFill>
                          <w14:schemeClr w14:val="tx1"/>
                        </w14:solidFill>
                      </w14:textFill>
                    </w:rPr>
                    <w:t>）</w:t>
                  </w:r>
                </w:p>
              </w:tc>
              <w:tc>
                <w:tcPr>
                  <w:tcW w:w="4092" w:type="dxa"/>
                  <w:tcBorders>
                    <w:top w:val="single" w:color="auto" w:sz="12" w:space="0"/>
                    <w:left w:val="single" w:color="auto" w:sz="4" w:space="0"/>
                    <w:bottom w:val="single" w:color="auto" w:sz="4" w:space="0"/>
                    <w:right w:val="nil"/>
                    <w:tl2br w:val="nil"/>
                    <w:tr2bl w:val="nil"/>
                  </w:tcBorders>
                  <w:noWrap w:val="0"/>
                  <w:vAlign w:val="center"/>
                </w:tcPr>
                <w:p w14:paraId="1E23A2D2">
                  <w:pPr>
                    <w:pStyle w:val="33"/>
                    <w:tabs>
                      <w:tab w:val="left" w:pos="3590"/>
                      <w:tab w:val="center" w:pos="4605"/>
                    </w:tabs>
                    <w:adjustRightInd w:val="0"/>
                    <w:snapToGrid w:val="0"/>
                    <w:ind w:firstLine="0"/>
                    <w:jc w:val="center"/>
                    <w:rPr>
                      <w:rFonts w:hint="default" w:ascii="Times New Roman" w:hAnsi="Times New Roman" w:eastAsia="Times New Roman" w:cs="Times New Roman"/>
                      <w:b/>
                      <w:color w:val="000000" w:themeColor="text1"/>
                      <w:sz w:val="21"/>
                      <w:szCs w:val="21"/>
                      <w:lang w:val="zh-CN"/>
                      <w14:textFill>
                        <w14:solidFill>
                          <w14:schemeClr w14:val="tx1"/>
                        </w14:solidFill>
                      </w14:textFill>
                    </w:rPr>
                  </w:pPr>
                  <w:r>
                    <w:rPr>
                      <w:rFonts w:hint="default" w:ascii="Times New Roman" w:hAnsi="Times New Roman" w:cs="Times New Roman"/>
                      <w:b/>
                      <w:color w:val="000000" w:themeColor="text1"/>
                      <w:sz w:val="21"/>
                      <w:szCs w:val="21"/>
                      <w:lang w:val="zh-CN"/>
                      <w14:textFill>
                        <w14:solidFill>
                          <w14:schemeClr w14:val="tx1"/>
                        </w14:solidFill>
                      </w14:textFill>
                    </w:rPr>
                    <w:t>标准来源</w:t>
                  </w:r>
                </w:p>
              </w:tc>
            </w:tr>
            <w:tr w14:paraId="206D0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713" w:type="dxa"/>
                  <w:tcBorders>
                    <w:top w:val="single" w:color="auto" w:sz="4" w:space="0"/>
                    <w:left w:val="nil"/>
                    <w:bottom w:val="single" w:color="auto" w:sz="12" w:space="0"/>
                    <w:right w:val="single" w:color="auto" w:sz="4" w:space="0"/>
                    <w:tl2br w:val="nil"/>
                    <w:tr2bl w:val="nil"/>
                  </w:tcBorders>
                  <w:noWrap w:val="0"/>
                  <w:vAlign w:val="center"/>
                </w:tcPr>
                <w:p w14:paraId="118E3C38">
                  <w:pPr>
                    <w:spacing w:beforeLines="0" w:afterLines="0"/>
                    <w:jc w:val="center"/>
                    <w:rPr>
                      <w:rFonts w:hint="default"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38"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6807EA38">
                  <w:pPr>
                    <w:spacing w:beforeLines="0" w:afterLines="0"/>
                    <w:jc w:val="center"/>
                    <w:rPr>
                      <w:rFonts w:hint="default" w:ascii="Times New Roman" w:hAnsi="Times New Roman" w:eastAsia="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颗粒物</w:t>
                  </w:r>
                </w:p>
              </w:tc>
              <w:tc>
                <w:tcPr>
                  <w:tcW w:w="229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406D3533">
                  <w:pPr>
                    <w:spacing w:beforeLines="0" w:afterLines="0"/>
                    <w:jc w:val="center"/>
                    <w:rPr>
                      <w:rFonts w:hint="default" w:ascii="Times New Roman" w:hAnsi="Times New Roman" w:eastAsia="Times New Roman" w:cs="Times New Roman"/>
                      <w:color w:val="000000" w:themeColor="text1"/>
                      <w:sz w:val="21"/>
                      <w:szCs w:val="21"/>
                      <w:lang w:val="zh-CN"/>
                      <w14:textFill>
                        <w14:solidFill>
                          <w14:schemeClr w14:val="tx1"/>
                        </w14:solidFill>
                      </w14:textFill>
                    </w:rPr>
                  </w:pPr>
                  <w:r>
                    <w:rPr>
                      <w:rFonts w:hint="default" w:ascii="Times New Roman" w:hAnsi="Times New Roman" w:eastAsia="Times New Roman" w:cs="Times New Roman"/>
                      <w:color w:val="000000" w:themeColor="text1"/>
                      <w:sz w:val="21"/>
                      <w:szCs w:val="21"/>
                      <w:lang w:val="zh-CN"/>
                      <w14:textFill>
                        <w14:solidFill>
                          <w14:schemeClr w14:val="tx1"/>
                        </w14:solidFill>
                      </w14:textFill>
                    </w:rPr>
                    <w:t>1.0</w:t>
                  </w:r>
                </w:p>
              </w:tc>
              <w:tc>
                <w:tcPr>
                  <w:tcW w:w="4092" w:type="dxa"/>
                  <w:tcBorders>
                    <w:top w:val="single" w:color="auto" w:sz="4" w:space="0"/>
                    <w:left w:val="single" w:color="auto" w:sz="4" w:space="0"/>
                    <w:bottom w:val="single" w:color="auto" w:sz="12" w:space="0"/>
                    <w:right w:val="nil"/>
                    <w:tl2br w:val="nil"/>
                    <w:tr2bl w:val="nil"/>
                  </w:tcBorders>
                  <w:noWrap w:val="0"/>
                  <w:vAlign w:val="center"/>
                </w:tcPr>
                <w:p w14:paraId="3BED8B34">
                  <w:pPr>
                    <w:spacing w:beforeLines="0" w:afterLines="0"/>
                    <w:jc w:val="center"/>
                    <w:rPr>
                      <w:rFonts w:hint="default" w:ascii="Times New Roman" w:hAnsi="Times New Roman" w:eastAsia="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《大气污染物综合排放标准》（GB16297-1996）中二级标准的无组织监控浓度限值</w:t>
                  </w:r>
                </w:p>
              </w:tc>
            </w:tr>
          </w:tbl>
          <w:p w14:paraId="25F7356A">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4"/>
                <w:szCs w:val="24"/>
                <w:lang w:val="zh-CN"/>
                <w14:textFill>
                  <w14:solidFill>
                    <w14:schemeClr w14:val="tx1"/>
                  </w14:solidFill>
                </w14:textFill>
              </w:rPr>
            </w:pPr>
            <w:r>
              <w:rPr>
                <w:rFonts w:hint="default" w:ascii="Times New Roman" w:hAnsi="Times New Roman" w:eastAsia="宋体" w:cs="Times New Roman"/>
                <w:b/>
                <w:color w:val="000000" w:themeColor="text1"/>
                <w:sz w:val="24"/>
                <w:szCs w:val="24"/>
                <w:lang w:val="zh-CN"/>
                <w14:textFill>
                  <w14:solidFill>
                    <w14:schemeClr w14:val="tx1"/>
                  </w14:solidFill>
                </w14:textFill>
              </w:rPr>
              <w:t>表3-</w:t>
            </w:r>
            <w:r>
              <w:rPr>
                <w:rFonts w:hint="eastAsia" w:ascii="Times New Roman" w:hAnsi="Times New Roman" w:eastAsia="宋体" w:cs="Times New Roman"/>
                <w:b/>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b/>
                <w:color w:val="000000" w:themeColor="text1"/>
                <w:sz w:val="24"/>
                <w:szCs w:val="24"/>
                <w:lang w:val="zh-CN"/>
                <w14:textFill>
                  <w14:solidFill>
                    <w14:schemeClr w14:val="tx1"/>
                  </w14:solidFill>
                </w14:textFill>
              </w:rPr>
              <w:t xml:space="preserve"> 运营期</w:t>
            </w:r>
            <w:r>
              <w:rPr>
                <w:rFonts w:hint="default" w:ascii="Times New Roman" w:hAnsi="Times New Roman" w:eastAsia="宋体" w:cs="Times New Roman"/>
                <w:b/>
                <w:color w:val="000000" w:themeColor="text1"/>
                <w:sz w:val="24"/>
                <w:szCs w:val="24"/>
                <w:lang w:val="zh-CN" w:eastAsia="zh-CN"/>
                <w14:textFill>
                  <w14:solidFill>
                    <w14:schemeClr w14:val="tx1"/>
                  </w14:solidFill>
                </w14:textFill>
              </w:rPr>
              <w:t>油烟有组织排放限值</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26"/>
              <w:gridCol w:w="831"/>
              <w:gridCol w:w="2146"/>
              <w:gridCol w:w="1330"/>
              <w:gridCol w:w="2741"/>
            </w:tblGrid>
            <w:tr w14:paraId="6BA5B8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37" w:type="dxa"/>
                  <w:noWrap w:val="0"/>
                  <w:vAlign w:val="center"/>
                </w:tcPr>
                <w:p w14:paraId="3C1F84DB">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污染物</w:t>
                  </w:r>
                </w:p>
              </w:tc>
              <w:tc>
                <w:tcPr>
                  <w:tcW w:w="840" w:type="dxa"/>
                  <w:noWrap w:val="0"/>
                  <w:vAlign w:val="center"/>
                </w:tcPr>
                <w:p w14:paraId="2B686A6A">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规模</w:t>
                  </w:r>
                </w:p>
              </w:tc>
              <w:tc>
                <w:tcPr>
                  <w:tcW w:w="2175" w:type="dxa"/>
                  <w:noWrap w:val="0"/>
                  <w:vAlign w:val="center"/>
                </w:tcPr>
                <w:p w14:paraId="64B60F45">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最高允许排放浓度（</w:t>
                  </w:r>
                  <w:r>
                    <w:rPr>
                      <w:rFonts w:hint="default" w:ascii="Times New Roman" w:hAnsi="Times New Roman" w:eastAsia="宋体" w:cs="Times New Roman"/>
                      <w:b/>
                      <w:color w:val="000000" w:themeColor="text1"/>
                      <w:sz w:val="21"/>
                      <w:szCs w:val="21"/>
                      <w:lang w:val="zh-CN" w:eastAsia="zh-CN"/>
                      <w14:textFill>
                        <w14:solidFill>
                          <w14:schemeClr w14:val="tx1"/>
                        </w14:solidFill>
                      </w14:textFill>
                    </w:rPr>
                    <w:t>mg/m</w:t>
                  </w:r>
                  <w:r>
                    <w:rPr>
                      <w:rFonts w:hint="default" w:ascii="Times New Roman" w:hAnsi="Times New Roman" w:eastAsia="宋体" w:cs="Times New Roman"/>
                      <w:b/>
                      <w:color w:val="000000" w:themeColor="text1"/>
                      <w:sz w:val="21"/>
                      <w:szCs w:val="21"/>
                      <w:vertAlign w:val="superscript"/>
                      <w:lang w:val="zh-CN" w:eastAsia="zh-CN"/>
                      <w14:textFill>
                        <w14:solidFill>
                          <w14:schemeClr w14:val="tx1"/>
                        </w14:solidFill>
                      </w14:textFill>
                    </w:rPr>
                    <w:t>3</w:t>
                  </w:r>
                  <w:r>
                    <w:rPr>
                      <w:rFonts w:hint="default" w:ascii="Times New Roman" w:hAnsi="Times New Roman" w:eastAsia="宋体" w:cs="Times New Roman"/>
                      <w:b/>
                      <w:color w:val="000000" w:themeColor="text1"/>
                      <w:sz w:val="21"/>
                      <w:szCs w:val="21"/>
                      <w:vertAlign w:val="baseline"/>
                      <w:lang w:val="zh-CN" w:eastAsia="zh-CN"/>
                      <w14:textFill>
                        <w14:solidFill>
                          <w14:schemeClr w14:val="tx1"/>
                        </w14:solidFill>
                      </w14:textFill>
                    </w:rPr>
                    <w:t>）</w:t>
                  </w:r>
                </w:p>
              </w:tc>
              <w:tc>
                <w:tcPr>
                  <w:tcW w:w="1347" w:type="dxa"/>
                  <w:noWrap w:val="0"/>
                  <w:vAlign w:val="center"/>
                </w:tcPr>
                <w:p w14:paraId="12BC876A">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净化设施最低去除效率（</w:t>
                  </w: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color w:val="000000" w:themeColor="text1"/>
                      <w:sz w:val="21"/>
                      <w:szCs w:val="21"/>
                      <w:lang w:val="zh-CN"/>
                      <w14:textFill>
                        <w14:solidFill>
                          <w14:schemeClr w14:val="tx1"/>
                        </w14:solidFill>
                      </w14:textFill>
                    </w:rPr>
                    <w:t>）</w:t>
                  </w:r>
                </w:p>
              </w:tc>
              <w:tc>
                <w:tcPr>
                  <w:tcW w:w="2780" w:type="dxa"/>
                  <w:noWrap w:val="0"/>
                  <w:vAlign w:val="center"/>
                </w:tcPr>
                <w:p w14:paraId="1DFC3F3A">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标准来源</w:t>
                  </w:r>
                </w:p>
              </w:tc>
            </w:tr>
            <w:tr w14:paraId="0D32D9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37" w:type="dxa"/>
                  <w:noWrap w:val="0"/>
                  <w:vAlign w:val="center"/>
                </w:tcPr>
                <w:p w14:paraId="12762D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油烟</w:t>
                  </w:r>
                </w:p>
              </w:tc>
              <w:tc>
                <w:tcPr>
                  <w:tcW w:w="840" w:type="dxa"/>
                  <w:noWrap w:val="0"/>
                  <w:vAlign w:val="center"/>
                </w:tcPr>
                <w:p w14:paraId="4CB107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中性</w:t>
                  </w:r>
                </w:p>
              </w:tc>
              <w:tc>
                <w:tcPr>
                  <w:tcW w:w="2175" w:type="dxa"/>
                  <w:noWrap w:val="0"/>
                  <w:vAlign w:val="center"/>
                </w:tcPr>
                <w:p w14:paraId="027CA5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1347" w:type="dxa"/>
                  <w:noWrap w:val="0"/>
                  <w:vAlign w:val="center"/>
                </w:tcPr>
                <w:p w14:paraId="09832A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75</w:t>
                  </w:r>
                </w:p>
              </w:tc>
              <w:tc>
                <w:tcPr>
                  <w:tcW w:w="2780" w:type="dxa"/>
                  <w:noWrap w:val="0"/>
                  <w:vAlign w:val="center"/>
                </w:tcPr>
                <w:p w14:paraId="7A69B5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《饮食业油烟排放标准》（试行）（GB18483-2001）中型规模标准限值</w:t>
                  </w:r>
                </w:p>
              </w:tc>
            </w:tr>
          </w:tbl>
          <w:p w14:paraId="3874552D">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4"/>
                <w:szCs w:val="24"/>
                <w:lang w:val="zh-CN"/>
                <w14:textFill>
                  <w14:solidFill>
                    <w14:schemeClr w14:val="tx1"/>
                  </w14:solidFill>
                </w14:textFill>
              </w:rPr>
            </w:pPr>
            <w:r>
              <w:rPr>
                <w:rFonts w:hint="default" w:ascii="Times New Roman" w:hAnsi="Times New Roman" w:eastAsia="宋体" w:cs="Times New Roman"/>
                <w:b/>
                <w:color w:val="000000" w:themeColor="text1"/>
                <w:sz w:val="24"/>
                <w:szCs w:val="24"/>
                <w:lang w:val="zh-CN"/>
                <w14:textFill>
                  <w14:solidFill>
                    <w14:schemeClr w14:val="tx1"/>
                  </w14:solidFill>
                </w14:textFill>
              </w:rPr>
              <w:t>表3-</w:t>
            </w:r>
            <w:r>
              <w:rPr>
                <w:rFonts w:hint="eastAsia" w:ascii="Times New Roman" w:hAnsi="Times New Roman" w:eastAsia="宋体" w:cs="Times New Roman"/>
                <w:b/>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b/>
                <w:color w:val="000000" w:themeColor="text1"/>
                <w:sz w:val="24"/>
                <w:szCs w:val="24"/>
                <w:lang w:val="zh-CN"/>
                <w14:textFill>
                  <w14:solidFill>
                    <w14:schemeClr w14:val="tx1"/>
                  </w14:solidFill>
                </w14:textFill>
              </w:rPr>
              <w:t xml:space="preserve"> 运营期厂界污染物无组织排放限值</w:t>
            </w:r>
          </w:p>
          <w:tbl>
            <w:tblPr>
              <w:tblStyle w:val="13"/>
              <w:tblW w:w="80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116"/>
              <w:gridCol w:w="2250"/>
              <w:gridCol w:w="4013"/>
            </w:tblGrid>
            <w:tr w14:paraId="54323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00" w:type="dxa"/>
                  <w:noWrap w:val="0"/>
                  <w:vAlign w:val="center"/>
                </w:tcPr>
                <w:p w14:paraId="2BCAB543">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序号</w:t>
                  </w:r>
                </w:p>
              </w:tc>
              <w:tc>
                <w:tcPr>
                  <w:tcW w:w="1116" w:type="dxa"/>
                  <w:noWrap w:val="0"/>
                  <w:vAlign w:val="center"/>
                </w:tcPr>
                <w:p w14:paraId="1DDA0B24">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污染物</w:t>
                  </w:r>
                </w:p>
              </w:tc>
              <w:tc>
                <w:tcPr>
                  <w:tcW w:w="2250" w:type="dxa"/>
                  <w:noWrap w:val="0"/>
                  <w:vAlign w:val="center"/>
                </w:tcPr>
                <w:p w14:paraId="2913481B">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排放浓度限值（mg/m</w:t>
                  </w:r>
                  <w:r>
                    <w:rPr>
                      <w:rFonts w:hint="default" w:ascii="Times New Roman" w:hAnsi="Times New Roman" w:eastAsia="宋体" w:cs="Times New Roman"/>
                      <w:b/>
                      <w:color w:val="000000" w:themeColor="text1"/>
                      <w:sz w:val="21"/>
                      <w:szCs w:val="21"/>
                      <w:vertAlign w:val="superscript"/>
                      <w:lang w:val="zh-CN"/>
                      <w14:textFill>
                        <w14:solidFill>
                          <w14:schemeClr w14:val="tx1"/>
                        </w14:solidFill>
                      </w14:textFill>
                    </w:rPr>
                    <w:t>3</w:t>
                  </w:r>
                  <w:r>
                    <w:rPr>
                      <w:rFonts w:hint="default" w:ascii="Times New Roman" w:hAnsi="Times New Roman" w:eastAsia="宋体" w:cs="Times New Roman"/>
                      <w:b/>
                      <w:color w:val="000000" w:themeColor="text1"/>
                      <w:sz w:val="21"/>
                      <w:szCs w:val="21"/>
                      <w:lang w:val="zh-CN"/>
                      <w14:textFill>
                        <w14:solidFill>
                          <w14:schemeClr w14:val="tx1"/>
                        </w14:solidFill>
                      </w14:textFill>
                    </w:rPr>
                    <w:t>）</w:t>
                  </w:r>
                </w:p>
              </w:tc>
              <w:tc>
                <w:tcPr>
                  <w:tcW w:w="4013" w:type="dxa"/>
                  <w:noWrap w:val="0"/>
                  <w:vAlign w:val="center"/>
                </w:tcPr>
                <w:p w14:paraId="53118CFC">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1"/>
                      <w:szCs w:val="21"/>
                      <w:lang w:val="zh-CN"/>
                      <w14:textFill>
                        <w14:solidFill>
                          <w14:schemeClr w14:val="tx1"/>
                        </w14:solidFill>
                      </w14:textFill>
                    </w:rPr>
                  </w:pPr>
                  <w:r>
                    <w:rPr>
                      <w:rFonts w:hint="default" w:ascii="Times New Roman" w:hAnsi="Times New Roman" w:eastAsia="宋体" w:cs="Times New Roman"/>
                      <w:b/>
                      <w:color w:val="000000" w:themeColor="text1"/>
                      <w:sz w:val="21"/>
                      <w:szCs w:val="21"/>
                      <w:lang w:val="zh-CN"/>
                      <w14:textFill>
                        <w14:solidFill>
                          <w14:schemeClr w14:val="tx1"/>
                        </w14:solidFill>
                      </w14:textFill>
                    </w:rPr>
                    <w:t>标准来源</w:t>
                  </w:r>
                </w:p>
              </w:tc>
            </w:tr>
            <w:tr w14:paraId="265A41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00" w:type="dxa"/>
                  <w:noWrap w:val="0"/>
                  <w:vAlign w:val="center"/>
                </w:tcPr>
                <w:p w14:paraId="25FF47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1</w:t>
                  </w:r>
                </w:p>
              </w:tc>
              <w:tc>
                <w:tcPr>
                  <w:tcW w:w="1116" w:type="dxa"/>
                  <w:noWrap w:val="0"/>
                  <w:vAlign w:val="center"/>
                </w:tcPr>
                <w:p w14:paraId="44B2C1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氨气</w:t>
                  </w:r>
                </w:p>
              </w:tc>
              <w:tc>
                <w:tcPr>
                  <w:tcW w:w="2250" w:type="dxa"/>
                  <w:noWrap w:val="0"/>
                  <w:vAlign w:val="center"/>
                </w:tcPr>
                <w:p w14:paraId="59CFD7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1.5</w:t>
                  </w:r>
                </w:p>
              </w:tc>
              <w:tc>
                <w:tcPr>
                  <w:tcW w:w="4013" w:type="dxa"/>
                  <w:vMerge w:val="restart"/>
                  <w:noWrap w:val="0"/>
                  <w:vAlign w:val="center"/>
                </w:tcPr>
                <w:p w14:paraId="1C2E13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《恶臭污染物排放标准》（GB14554-1993）中的二级厂界排放标准</w:t>
                  </w:r>
                </w:p>
              </w:tc>
            </w:tr>
            <w:tr w14:paraId="277E8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00" w:type="dxa"/>
                  <w:noWrap w:val="0"/>
                  <w:vAlign w:val="center"/>
                </w:tcPr>
                <w:p w14:paraId="5FBF03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2</w:t>
                  </w:r>
                </w:p>
              </w:tc>
              <w:tc>
                <w:tcPr>
                  <w:tcW w:w="1116" w:type="dxa"/>
                  <w:noWrap w:val="0"/>
                  <w:vAlign w:val="center"/>
                </w:tcPr>
                <w:p w14:paraId="6AF164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硫化氢</w:t>
                  </w:r>
                </w:p>
              </w:tc>
              <w:tc>
                <w:tcPr>
                  <w:tcW w:w="2250" w:type="dxa"/>
                  <w:noWrap w:val="0"/>
                  <w:vAlign w:val="center"/>
                </w:tcPr>
                <w:p w14:paraId="20CEA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0.06</w:t>
                  </w:r>
                </w:p>
              </w:tc>
              <w:tc>
                <w:tcPr>
                  <w:tcW w:w="4013" w:type="dxa"/>
                  <w:vMerge w:val="continue"/>
                  <w:noWrap w:val="0"/>
                  <w:vAlign w:val="center"/>
                </w:tcPr>
                <w:p w14:paraId="6226CB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p>
              </w:tc>
            </w:tr>
            <w:tr w14:paraId="032BA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dxa"/>
                  <w:noWrap w:val="0"/>
                  <w:vAlign w:val="center"/>
                </w:tcPr>
                <w:p w14:paraId="5EDE0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3</w:t>
                  </w:r>
                </w:p>
              </w:tc>
              <w:tc>
                <w:tcPr>
                  <w:tcW w:w="1116" w:type="dxa"/>
                  <w:noWrap w:val="0"/>
                  <w:vAlign w:val="center"/>
                </w:tcPr>
                <w:p w14:paraId="37BFF1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臭气浓度</w:t>
                  </w:r>
                </w:p>
              </w:tc>
              <w:tc>
                <w:tcPr>
                  <w:tcW w:w="2250" w:type="dxa"/>
                  <w:noWrap w:val="0"/>
                  <w:vAlign w:val="center"/>
                </w:tcPr>
                <w:p w14:paraId="3790D3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20（无量纲）</w:t>
                  </w:r>
                </w:p>
              </w:tc>
              <w:tc>
                <w:tcPr>
                  <w:tcW w:w="4013" w:type="dxa"/>
                  <w:vMerge w:val="continue"/>
                  <w:noWrap w:val="0"/>
                  <w:vAlign w:val="center"/>
                </w:tcPr>
                <w:p w14:paraId="0B0AB8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p>
              </w:tc>
            </w:tr>
            <w:tr w14:paraId="70068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00" w:type="dxa"/>
                  <w:noWrap w:val="0"/>
                  <w:vAlign w:val="center"/>
                </w:tcPr>
                <w:p w14:paraId="0B2A6C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4</w:t>
                  </w:r>
                </w:p>
              </w:tc>
              <w:tc>
                <w:tcPr>
                  <w:tcW w:w="1116" w:type="dxa"/>
                  <w:noWrap w:val="0"/>
                  <w:vAlign w:val="center"/>
                </w:tcPr>
                <w:p w14:paraId="1BBBA9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颗粒物</w:t>
                  </w:r>
                </w:p>
              </w:tc>
              <w:tc>
                <w:tcPr>
                  <w:tcW w:w="2250" w:type="dxa"/>
                  <w:noWrap w:val="0"/>
                  <w:vAlign w:val="center"/>
                </w:tcPr>
                <w:p w14:paraId="3BC808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1.0</w:t>
                  </w:r>
                </w:p>
              </w:tc>
              <w:tc>
                <w:tcPr>
                  <w:tcW w:w="4013" w:type="dxa"/>
                  <w:vMerge w:val="restart"/>
                  <w:noWrap w:val="0"/>
                  <w:vAlign w:val="center"/>
                </w:tcPr>
                <w:p w14:paraId="4BA4A7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eastAsia="zh-CN"/>
                      <w14:textFill>
                        <w14:solidFill>
                          <w14:schemeClr w14:val="tx1"/>
                        </w14:solidFill>
                      </w14:textFill>
                    </w:rPr>
                    <w:t>《大气污染物综合排放标准》（GB16297-1996）中二级标准的无组织监控浓度限值</w:t>
                  </w:r>
                </w:p>
              </w:tc>
            </w:tr>
            <w:tr w14:paraId="77832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00" w:type="dxa"/>
                  <w:noWrap w:val="0"/>
                  <w:vAlign w:val="center"/>
                </w:tcPr>
                <w:p w14:paraId="1983C7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5</w:t>
                  </w:r>
                </w:p>
              </w:tc>
              <w:tc>
                <w:tcPr>
                  <w:tcW w:w="1116" w:type="dxa"/>
                  <w:noWrap w:val="0"/>
                  <w:vAlign w:val="center"/>
                </w:tcPr>
                <w:p w14:paraId="23A7D6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非甲烷总烃</w:t>
                  </w:r>
                </w:p>
              </w:tc>
              <w:tc>
                <w:tcPr>
                  <w:tcW w:w="2250" w:type="dxa"/>
                  <w:noWrap w:val="0"/>
                  <w:vAlign w:val="center"/>
                </w:tcPr>
                <w:p w14:paraId="289117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4.0</w:t>
                  </w:r>
                </w:p>
              </w:tc>
              <w:tc>
                <w:tcPr>
                  <w:tcW w:w="4013" w:type="dxa"/>
                  <w:vMerge w:val="continue"/>
                  <w:noWrap w:val="0"/>
                  <w:vAlign w:val="center"/>
                </w:tcPr>
                <w:p w14:paraId="5BBDCC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p>
              </w:tc>
            </w:tr>
          </w:tbl>
          <w:p w14:paraId="3578BFFF">
            <w:pPr>
              <w:pStyle w:val="33"/>
              <w:tabs>
                <w:tab w:val="left" w:pos="3590"/>
                <w:tab w:val="center" w:pos="4605"/>
              </w:tabs>
              <w:adjustRightInd w:val="0"/>
              <w:snapToGrid w:val="0"/>
              <w:spacing w:beforeLines="0" w:afterLines="0" w:line="240" w:lineRule="auto"/>
              <w:ind w:firstLine="0" w:firstLineChars="0"/>
              <w:jc w:val="both"/>
              <w:rPr>
                <w:rFonts w:hint="default" w:ascii="Times New Roman" w:hAnsi="Times New Roman" w:eastAsia="宋体" w:cs="Times New Roman"/>
                <w:b/>
                <w:color w:val="000000" w:themeColor="text1"/>
                <w:sz w:val="24"/>
                <w:szCs w:val="24"/>
                <w:lang w:val="zh-CN"/>
                <w14:textFill>
                  <w14:solidFill>
                    <w14:schemeClr w14:val="tx1"/>
                  </w14:solidFill>
                </w14:textFill>
              </w:rPr>
            </w:pPr>
          </w:p>
          <w:p w14:paraId="73D226E7">
            <w:pPr>
              <w:pStyle w:val="33"/>
              <w:tabs>
                <w:tab w:val="left" w:pos="3590"/>
                <w:tab w:val="center" w:pos="4605"/>
              </w:tabs>
              <w:adjustRightInd w:val="0"/>
              <w:snapToGrid w:val="0"/>
              <w:spacing w:beforeLines="0" w:afterLines="0" w:line="240" w:lineRule="auto"/>
              <w:ind w:firstLine="0" w:firstLineChars="0"/>
              <w:jc w:val="center"/>
              <w:rPr>
                <w:rFonts w:hint="eastAsia" w:ascii="Times New Roman" w:hAnsi="Times New Roman" w:eastAsia="宋体" w:cs="Times New Roman"/>
                <w:b/>
                <w:color w:val="FF0000"/>
                <w:sz w:val="24"/>
                <w:szCs w:val="24"/>
                <w:lang w:val="en-US" w:eastAsia="zh-CN"/>
              </w:rPr>
            </w:pPr>
            <w:r>
              <w:rPr>
                <w:rFonts w:hint="default" w:ascii="Times New Roman" w:hAnsi="Times New Roman" w:eastAsia="宋体" w:cs="Times New Roman"/>
                <w:b/>
                <w:color w:val="FF0000"/>
                <w:sz w:val="24"/>
                <w:szCs w:val="24"/>
                <w:lang w:val="zh-CN"/>
              </w:rPr>
              <w:t>表3-</w:t>
            </w:r>
            <w:r>
              <w:rPr>
                <w:rFonts w:hint="eastAsia" w:ascii="Times New Roman" w:hAnsi="Times New Roman" w:eastAsia="宋体" w:cs="Times New Roman"/>
                <w:b/>
                <w:color w:val="FF0000"/>
                <w:sz w:val="24"/>
                <w:szCs w:val="24"/>
                <w:lang w:val="en-US" w:eastAsia="zh-CN"/>
              </w:rPr>
              <w:t>8</w:t>
            </w:r>
            <w:r>
              <w:rPr>
                <w:rFonts w:hint="default" w:ascii="Times New Roman" w:hAnsi="Times New Roman" w:eastAsia="宋体" w:cs="Times New Roman"/>
                <w:b/>
                <w:color w:val="FF0000"/>
                <w:sz w:val="24"/>
                <w:szCs w:val="24"/>
                <w:lang w:val="zh-CN"/>
              </w:rPr>
              <w:t xml:space="preserve"> 运营期厂区内挥发性有机物(VOCs)无组织排放限值</w:t>
            </w:r>
          </w:p>
          <w:tbl>
            <w:tblPr>
              <w:tblStyle w:val="14"/>
              <w:tblW w:w="797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104"/>
              <w:gridCol w:w="2520"/>
              <w:gridCol w:w="1470"/>
              <w:gridCol w:w="1825"/>
            </w:tblGrid>
            <w:tr w14:paraId="44C47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tcBorders>
                    <w:tl2br w:val="nil"/>
                    <w:tr2bl w:val="nil"/>
                  </w:tcBorders>
                  <w:vAlign w:val="center"/>
                </w:tcPr>
                <w:p w14:paraId="4EE682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污染物项目</w:t>
                  </w:r>
                </w:p>
              </w:tc>
              <w:tc>
                <w:tcPr>
                  <w:tcW w:w="1104" w:type="dxa"/>
                  <w:tcBorders>
                    <w:tl2br w:val="nil"/>
                    <w:tr2bl w:val="nil"/>
                  </w:tcBorders>
                  <w:vAlign w:val="center"/>
                </w:tcPr>
                <w:p w14:paraId="2B8CC0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排放限值mg/m</w:t>
                  </w:r>
                  <w:r>
                    <w:rPr>
                      <w:rFonts w:hint="eastAsia" w:ascii="Times New Roman" w:hAnsi="Times New Roman" w:eastAsia="宋体" w:cs="Times New Roman"/>
                      <w:b w:val="0"/>
                      <w:bCs w:val="0"/>
                      <w:color w:val="FF0000"/>
                      <w:sz w:val="21"/>
                      <w:szCs w:val="21"/>
                      <w:highlight w:val="none"/>
                      <w:vertAlign w:val="superscript"/>
                      <w:lang w:val="zh-CN" w:eastAsia="zh-CN"/>
                    </w:rPr>
                    <w:t>3</w:t>
                  </w:r>
                </w:p>
              </w:tc>
              <w:tc>
                <w:tcPr>
                  <w:tcW w:w="2520" w:type="dxa"/>
                  <w:tcBorders>
                    <w:tl2br w:val="nil"/>
                    <w:tr2bl w:val="nil"/>
                  </w:tcBorders>
                  <w:vAlign w:val="center"/>
                </w:tcPr>
                <w:p w14:paraId="2093FD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限值含义</w:t>
                  </w:r>
                </w:p>
              </w:tc>
              <w:tc>
                <w:tcPr>
                  <w:tcW w:w="1470" w:type="dxa"/>
                  <w:tcBorders>
                    <w:tl2br w:val="nil"/>
                    <w:tr2bl w:val="nil"/>
                  </w:tcBorders>
                  <w:vAlign w:val="center"/>
                </w:tcPr>
                <w:p w14:paraId="2633EB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无组织排放监控位置</w:t>
                  </w:r>
                </w:p>
              </w:tc>
              <w:tc>
                <w:tcPr>
                  <w:tcW w:w="1825" w:type="dxa"/>
                  <w:tcBorders>
                    <w:tl2br w:val="nil"/>
                    <w:tr2bl w:val="nil"/>
                  </w:tcBorders>
                  <w:vAlign w:val="center"/>
                </w:tcPr>
                <w:p w14:paraId="2C6812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FF0000"/>
                      <w:sz w:val="21"/>
                      <w:szCs w:val="21"/>
                      <w:highlight w:val="none"/>
                      <w:lang w:val="zh-CN" w:eastAsia="zh-CN"/>
                    </w:rPr>
                  </w:pPr>
                  <w:r>
                    <w:rPr>
                      <w:rFonts w:hint="eastAsia" w:ascii="Times New Roman" w:hAnsi="Times New Roman" w:eastAsia="宋体" w:cs="Times New Roman"/>
                      <w:b w:val="0"/>
                      <w:bCs w:val="0"/>
                      <w:color w:val="FF0000"/>
                      <w:sz w:val="21"/>
                      <w:szCs w:val="21"/>
                      <w:highlight w:val="none"/>
                      <w:lang w:val="zh-CN" w:eastAsia="zh-CN"/>
                    </w:rPr>
                    <w:t>标准来源</w:t>
                  </w:r>
                </w:p>
              </w:tc>
            </w:tr>
            <w:tr w14:paraId="065F4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restart"/>
                  <w:tcBorders>
                    <w:tl2br w:val="nil"/>
                    <w:tr2bl w:val="nil"/>
                  </w:tcBorders>
                  <w:vAlign w:val="center"/>
                </w:tcPr>
                <w:p w14:paraId="674D4E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NMHC</w:t>
                  </w:r>
                </w:p>
              </w:tc>
              <w:tc>
                <w:tcPr>
                  <w:tcW w:w="1104" w:type="dxa"/>
                  <w:tcBorders>
                    <w:tl2br w:val="nil"/>
                    <w:tr2bl w:val="nil"/>
                  </w:tcBorders>
                  <w:vAlign w:val="center"/>
                </w:tcPr>
                <w:p w14:paraId="02FF8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10</w:t>
                  </w:r>
                </w:p>
              </w:tc>
              <w:tc>
                <w:tcPr>
                  <w:tcW w:w="2520" w:type="dxa"/>
                  <w:tcBorders>
                    <w:tl2br w:val="nil"/>
                    <w:tr2bl w:val="nil"/>
                  </w:tcBorders>
                  <w:vAlign w:val="center"/>
                </w:tcPr>
                <w:p w14:paraId="5BD532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default" w:ascii="Times New Roman" w:hAnsi="Times New Roman" w:eastAsia="宋体" w:cs="Times New Roman"/>
                      <w:b w:val="0"/>
                      <w:bCs w:val="0"/>
                      <w:color w:val="FF0000"/>
                      <w:sz w:val="21"/>
                      <w:szCs w:val="21"/>
                      <w:highlight w:val="none"/>
                      <w:lang w:val="zh-CN" w:eastAsia="zh-CN"/>
                    </w:rPr>
                    <w:t>监控点处1h 评价浓度值</w:t>
                  </w:r>
                </w:p>
              </w:tc>
              <w:tc>
                <w:tcPr>
                  <w:tcW w:w="1470" w:type="dxa"/>
                  <w:vMerge w:val="restart"/>
                  <w:tcBorders>
                    <w:tl2br w:val="nil"/>
                    <w:tr2bl w:val="nil"/>
                  </w:tcBorders>
                  <w:vAlign w:val="center"/>
                </w:tcPr>
                <w:p w14:paraId="5ED78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default" w:ascii="Times New Roman" w:hAnsi="Times New Roman" w:eastAsia="宋体" w:cs="Times New Roman"/>
                      <w:b w:val="0"/>
                      <w:bCs w:val="0"/>
                      <w:color w:val="FF0000"/>
                      <w:sz w:val="21"/>
                      <w:szCs w:val="21"/>
                      <w:highlight w:val="none"/>
                      <w:lang w:val="zh-CN" w:eastAsia="zh-CN"/>
                    </w:rPr>
                    <w:t>在厂房外设置监控点</w:t>
                  </w:r>
                </w:p>
                <w:p w14:paraId="79F643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p>
              </w:tc>
              <w:tc>
                <w:tcPr>
                  <w:tcW w:w="1825" w:type="dxa"/>
                  <w:vMerge w:val="restart"/>
                  <w:tcBorders>
                    <w:tl2br w:val="nil"/>
                    <w:tr2bl w:val="nil"/>
                  </w:tcBorders>
                  <w:vAlign w:val="center"/>
                </w:tcPr>
                <w:p w14:paraId="379CBF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default" w:ascii="Times New Roman" w:hAnsi="Times New Roman" w:eastAsia="宋体" w:cs="Times New Roman"/>
                      <w:b w:val="0"/>
                      <w:bCs w:val="0"/>
                      <w:color w:val="FF0000"/>
                      <w:sz w:val="21"/>
                      <w:szCs w:val="21"/>
                      <w:highlight w:val="none"/>
                      <w:lang w:val="zh-CN" w:eastAsia="zh-CN"/>
                    </w:rPr>
                    <w:t>《挥发性有机物无组织排放控制标准》(GB37822-2019)表A.1</w:t>
                  </w:r>
                </w:p>
              </w:tc>
            </w:tr>
            <w:tr w14:paraId="74369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22ED6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p>
              </w:tc>
              <w:tc>
                <w:tcPr>
                  <w:tcW w:w="1104" w:type="dxa"/>
                  <w:tcBorders>
                    <w:tl2br w:val="nil"/>
                    <w:tr2bl w:val="nil"/>
                  </w:tcBorders>
                  <w:vAlign w:val="center"/>
                </w:tcPr>
                <w:p w14:paraId="723C14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30</w:t>
                  </w:r>
                </w:p>
              </w:tc>
              <w:tc>
                <w:tcPr>
                  <w:tcW w:w="2520" w:type="dxa"/>
                  <w:tcBorders>
                    <w:tl2br w:val="nil"/>
                    <w:tr2bl w:val="nil"/>
                  </w:tcBorders>
                  <w:vAlign w:val="center"/>
                </w:tcPr>
                <w:p w14:paraId="6AC03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r>
                    <w:rPr>
                      <w:rFonts w:hint="default" w:ascii="Times New Roman" w:hAnsi="Times New Roman" w:eastAsia="宋体" w:cs="Times New Roman"/>
                      <w:b w:val="0"/>
                      <w:bCs w:val="0"/>
                      <w:color w:val="FF0000"/>
                      <w:sz w:val="21"/>
                      <w:szCs w:val="21"/>
                      <w:highlight w:val="none"/>
                      <w:lang w:val="zh-CN" w:eastAsia="zh-CN"/>
                    </w:rPr>
                    <w:t>监控点处任意一次浓度值</w:t>
                  </w:r>
                </w:p>
              </w:tc>
              <w:tc>
                <w:tcPr>
                  <w:tcW w:w="1470" w:type="dxa"/>
                  <w:vMerge w:val="continue"/>
                  <w:tcBorders>
                    <w:tl2br w:val="nil"/>
                    <w:tr2bl w:val="nil"/>
                  </w:tcBorders>
                  <w:vAlign w:val="center"/>
                </w:tcPr>
                <w:p w14:paraId="17BD28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p>
              </w:tc>
              <w:tc>
                <w:tcPr>
                  <w:tcW w:w="1825" w:type="dxa"/>
                  <w:vMerge w:val="continue"/>
                  <w:tcBorders>
                    <w:tl2br w:val="nil"/>
                    <w:tr2bl w:val="nil"/>
                  </w:tcBorders>
                  <w:vAlign w:val="center"/>
                </w:tcPr>
                <w:p w14:paraId="0DC44C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zh-CN" w:eastAsia="zh-CN"/>
                    </w:rPr>
                  </w:pPr>
                </w:p>
              </w:tc>
            </w:tr>
          </w:tbl>
          <w:p w14:paraId="202E8BD2">
            <w:pPr>
              <w:pStyle w:val="33"/>
              <w:tabs>
                <w:tab w:val="left" w:pos="3590"/>
                <w:tab w:val="center" w:pos="4605"/>
              </w:tabs>
              <w:adjustRightInd w:val="0"/>
              <w:snapToGrid w:val="0"/>
              <w:spacing w:beforeLines="0" w:afterLines="0" w:line="240" w:lineRule="auto"/>
              <w:ind w:firstLine="0" w:firstLineChars="0"/>
              <w:jc w:val="center"/>
              <w:rPr>
                <w:rFonts w:hint="default" w:ascii="Times New Roman" w:hAnsi="Times New Roman" w:eastAsia="宋体" w:cs="Times New Roman"/>
                <w:b/>
                <w:color w:val="000000" w:themeColor="text1"/>
                <w:sz w:val="24"/>
                <w:szCs w:val="24"/>
                <w:lang w:val="zh-CN"/>
                <w14:textFill>
                  <w14:solidFill>
                    <w14:schemeClr w14:val="tx1"/>
                  </w14:solidFill>
                </w14:textFill>
              </w:rPr>
            </w:pPr>
          </w:p>
          <w:p w14:paraId="49FAADDF">
            <w:pPr>
              <w:keepNext w:val="0"/>
              <w:keepLines w:val="0"/>
              <w:widowControl w:val="0"/>
              <w:numPr>
                <w:ilvl w:val="0"/>
                <w:numId w:val="0"/>
              </w:numPr>
              <w:suppressLineNumbers w:val="0"/>
              <w:adjustRightInd w:val="0"/>
              <w:snapToGrid w:val="0"/>
              <w:spacing w:before="0" w:beforeAutospacing="0" w:after="0" w:afterAutospacing="0" w:line="360" w:lineRule="auto"/>
              <w:ind w:left="375" w:leftChars="0" w:right="0" w:rightChars="0" w:hanging="375" w:firstLineChars="0"/>
              <w:jc w:val="left"/>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二、</w:t>
            </w:r>
            <w:r>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t>噪声</w:t>
            </w:r>
          </w:p>
          <w:p w14:paraId="5AB3E855">
            <w:pPr>
              <w:spacing w:beforeLines="0" w:afterLines="0" w:line="360" w:lineRule="auto"/>
              <w:ind w:firstLine="480"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本项目施工期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噪声</w:t>
            </w:r>
            <w:r>
              <w:rPr>
                <w:rFonts w:hint="default" w:ascii="Times New Roman" w:hAnsi="Times New Roman" w:eastAsia="宋体" w:cs="Times New Roman"/>
                <w:color w:val="000000" w:themeColor="text1"/>
                <w:sz w:val="24"/>
                <w:szCs w:val="24"/>
                <w:highlight w:val="none"/>
                <w14:textFill>
                  <w14:solidFill>
                    <w14:schemeClr w14:val="tx1"/>
                  </w14:solidFill>
                </w14:textFill>
              </w:rPr>
              <w:t>执行《建筑施工场界环境噪声排放标准》（GB12523-2011）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根据《双鸭山市人民政府办公室关于印发双鸭山市中心城区声环境功能区划分方案的通知》（双政办发〔2024〕47号），本项目所在区域位于2类声功能区。</w:t>
            </w:r>
            <w:r>
              <w:rPr>
                <w:rFonts w:hint="default" w:ascii="Times New Roman" w:hAnsi="Times New Roman" w:eastAsia="宋体" w:cs="Times New Roman"/>
                <w:color w:val="FF0000"/>
                <w:sz w:val="24"/>
                <w:szCs w:val="24"/>
                <w:highlight w:val="none"/>
                <w:lang w:val="en-US" w:eastAsia="zh-CN"/>
              </w:rPr>
              <w:t>本项目东侧为青山路，属于道路交通干线</w:t>
            </w:r>
            <w:r>
              <w:rPr>
                <w:rFonts w:hint="eastAsia" w:ascii="Times New Roman" w:hAnsi="Times New Roman" w:eastAsia="宋体" w:cs="Times New Roman"/>
                <w:color w:val="FF0000"/>
                <w:sz w:val="24"/>
                <w:szCs w:val="24"/>
                <w:highlight w:val="none"/>
                <w:lang w:val="en-US" w:eastAsia="zh-CN"/>
              </w:rPr>
              <w:t>（见附图8）</w:t>
            </w:r>
            <w:r>
              <w:rPr>
                <w:rFonts w:hint="default" w:ascii="Times New Roman" w:hAnsi="Times New Roman" w:eastAsia="宋体" w:cs="Times New Roman"/>
                <w:color w:val="FF0000"/>
                <w:sz w:val="24"/>
                <w:szCs w:val="24"/>
                <w:highlight w:val="none"/>
                <w:lang w:val="en-US" w:eastAsia="zh-CN"/>
              </w:rPr>
              <w:t>，东侧边界</w:t>
            </w:r>
            <w:r>
              <w:rPr>
                <w:rFonts w:hint="eastAsia" w:ascii="Times New Roman" w:hAnsi="Times New Roman" w:eastAsia="宋体" w:cs="Times New Roman"/>
                <w:color w:val="FF0000"/>
                <w:sz w:val="24"/>
                <w:szCs w:val="24"/>
                <w:highlight w:val="none"/>
                <w:lang w:val="en-US" w:eastAsia="zh-CN"/>
              </w:rPr>
              <w:t>紧邻青山路</w:t>
            </w:r>
            <w:r>
              <w:rPr>
                <w:rFonts w:hint="default" w:ascii="Times New Roman" w:hAnsi="Times New Roman" w:eastAsia="宋体" w:cs="Times New Roman"/>
                <w:color w:val="FF0000"/>
                <w:sz w:val="24"/>
                <w:szCs w:val="24"/>
                <w:highlight w:val="none"/>
                <w:lang w:val="en-US" w:eastAsia="zh-CN"/>
              </w:rPr>
              <w:t>，属于4a类区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，因此本项目运营期东侧厂界噪声执行《工业企业厂界环境噪声排放标准》（GB12348—2008）中的4类标准；南侧、北侧、西侧厂界噪声执行《工业企业厂界环境噪声排放标准》（GB12348-2008）中2类标准。</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标准限值见下表所示。</w:t>
            </w:r>
          </w:p>
          <w:p w14:paraId="35648C45">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表3-</w:t>
            </w:r>
            <w:r>
              <w:rPr>
                <w:rFonts w:hint="eastAsia" w:ascii="Times New Roman" w:hAnsi="Times New Roman" w:eastAsia="宋体" w:cs="Times New Roman"/>
                <w:b/>
                <w:color w:val="000000" w:themeColor="text1"/>
                <w:kern w:val="0"/>
                <w:sz w:val="24"/>
                <w:szCs w:val="24"/>
                <w:highlight w:val="none"/>
                <w:lang w:val="en-US" w:eastAsia="zh-CN"/>
                <w14:textFill>
                  <w14:solidFill>
                    <w14:schemeClr w14:val="tx1"/>
                  </w14:solidFill>
                </w14:textFill>
              </w:rPr>
              <w:t>9</w:t>
            </w: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 xml:space="preserve"> </w:t>
            </w:r>
            <w:r>
              <w:rPr>
                <w:rFonts w:hint="default" w:ascii="Times New Roman" w:hAnsi="Times New Roman" w:eastAsia="宋体" w:cs="Times New Roman"/>
                <w:b/>
                <w:color w:val="000000" w:themeColor="text1"/>
                <w:kern w:val="0"/>
                <w:sz w:val="24"/>
                <w:szCs w:val="24"/>
                <w:highlight w:val="none"/>
                <w:lang w:eastAsia="zh-CN"/>
                <w14:textFill>
                  <w14:solidFill>
                    <w14:schemeClr w14:val="tx1"/>
                  </w14:solidFill>
                </w14:textFill>
              </w:rPr>
              <w:t>本项目噪声排放标准信息表</w:t>
            </w:r>
            <w:r>
              <w:rPr>
                <w:rFonts w:hint="default" w:ascii="Times New Roman" w:hAnsi="Times New Roman" w:eastAsia="宋体" w:cs="Times New Roman"/>
                <w:b/>
                <w:color w:val="000000" w:themeColor="text1"/>
                <w:kern w:val="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单位：dB（A）</w:t>
            </w:r>
          </w:p>
          <w:tbl>
            <w:tblPr>
              <w:tblStyle w:val="1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2"/>
              <w:gridCol w:w="1708"/>
              <w:gridCol w:w="738"/>
              <w:gridCol w:w="753"/>
            </w:tblGrid>
            <w:tr w14:paraId="6EEC2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4" w:type="pct"/>
                  <w:gridSpan w:val="2"/>
                  <w:tcBorders>
                    <w:top w:val="single" w:color="auto" w:sz="12" w:space="0"/>
                    <w:left w:val="nil"/>
                    <w:bottom w:val="single" w:color="auto" w:sz="4" w:space="0"/>
                    <w:right w:val="single" w:color="auto" w:sz="4" w:space="0"/>
                    <w:tl2br w:val="nil"/>
                    <w:tr2bl w:val="nil"/>
                  </w:tcBorders>
                  <w:noWrap w:val="0"/>
                  <w:vAlign w:val="center"/>
                </w:tcPr>
                <w:p w14:paraId="4860C248">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项目</w:t>
                  </w:r>
                </w:p>
              </w:tc>
              <w:tc>
                <w:tcPr>
                  <w:tcW w:w="463"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630F9E38">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昼间</w:t>
                  </w:r>
                </w:p>
              </w:tc>
              <w:tc>
                <w:tcPr>
                  <w:tcW w:w="472" w:type="pct"/>
                  <w:tcBorders>
                    <w:top w:val="single" w:color="auto" w:sz="12" w:space="0"/>
                    <w:left w:val="single" w:color="auto" w:sz="4" w:space="0"/>
                    <w:bottom w:val="single" w:color="auto" w:sz="4" w:space="0"/>
                    <w:right w:val="nil"/>
                    <w:tl2br w:val="nil"/>
                    <w:tr2bl w:val="nil"/>
                  </w:tcBorders>
                  <w:noWrap w:val="0"/>
                  <w:vAlign w:val="center"/>
                </w:tcPr>
                <w:p w14:paraId="750232E4">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夜间</w:t>
                  </w:r>
                </w:p>
              </w:tc>
            </w:tr>
            <w:tr w14:paraId="45AA7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64" w:type="pct"/>
                  <w:gridSpan w:val="2"/>
                  <w:tcBorders>
                    <w:top w:val="single" w:color="auto" w:sz="4" w:space="0"/>
                    <w:left w:val="nil"/>
                    <w:bottom w:val="single" w:color="auto" w:sz="4" w:space="0"/>
                    <w:right w:val="single" w:color="auto" w:sz="4" w:space="0"/>
                    <w:tl2br w:val="nil"/>
                    <w:tr2bl w:val="nil"/>
                  </w:tcBorders>
                  <w:noWrap w:val="0"/>
                  <w:vAlign w:val="center"/>
                </w:tcPr>
                <w:p w14:paraId="034A9816">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《建筑施工场界环境噪声排放标准》（GB12523-2011）</w:t>
                  </w:r>
                </w:p>
              </w:tc>
              <w:tc>
                <w:tcPr>
                  <w:tcW w:w="46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3A7CF1">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472" w:type="pct"/>
                  <w:tcBorders>
                    <w:top w:val="single" w:color="auto" w:sz="4" w:space="0"/>
                    <w:left w:val="single" w:color="auto" w:sz="4" w:space="0"/>
                    <w:bottom w:val="single" w:color="auto" w:sz="4" w:space="0"/>
                    <w:right w:val="nil"/>
                    <w:tl2br w:val="nil"/>
                    <w:tr2bl w:val="nil"/>
                  </w:tcBorders>
                  <w:noWrap w:val="0"/>
                  <w:vAlign w:val="center"/>
                </w:tcPr>
                <w:p w14:paraId="10C74EB2">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55</w:t>
                  </w:r>
                </w:p>
              </w:tc>
            </w:tr>
            <w:tr w14:paraId="71A90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93" w:type="pct"/>
                  <w:vMerge w:val="restart"/>
                  <w:tcBorders>
                    <w:top w:val="single" w:color="auto" w:sz="4" w:space="0"/>
                    <w:left w:val="nil"/>
                    <w:right w:val="single" w:color="auto" w:sz="4" w:space="0"/>
                    <w:tl2br w:val="nil"/>
                    <w:tr2bl w:val="nil"/>
                  </w:tcBorders>
                  <w:noWrap w:val="0"/>
                  <w:vAlign w:val="center"/>
                </w:tcPr>
                <w:p w14:paraId="215D3896">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《工业企业厂界环境噪声排放标准》（GB12348-2008）</w:t>
                  </w:r>
                </w:p>
              </w:tc>
              <w:tc>
                <w:tcPr>
                  <w:tcW w:w="1070" w:type="pct"/>
                  <w:tcBorders>
                    <w:top w:val="single" w:color="auto" w:sz="4" w:space="0"/>
                    <w:left w:val="nil"/>
                    <w:bottom w:val="single" w:color="auto" w:sz="4" w:space="0"/>
                    <w:right w:val="single" w:color="auto" w:sz="4" w:space="0"/>
                    <w:tl2br w:val="nil"/>
                    <w:tr2bl w:val="nil"/>
                  </w:tcBorders>
                  <w:noWrap w:val="0"/>
                  <w:vAlign w:val="center"/>
                </w:tcPr>
                <w:p w14:paraId="13BD95C8">
                  <w:pPr>
                    <w:keepNext w:val="0"/>
                    <w:keepLines w:val="0"/>
                    <w:suppressLineNumbers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类</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标准</w:t>
                  </w:r>
                </w:p>
              </w:tc>
              <w:tc>
                <w:tcPr>
                  <w:tcW w:w="46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768E39">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472" w:type="pct"/>
                  <w:tcBorders>
                    <w:top w:val="single" w:color="auto" w:sz="4" w:space="0"/>
                    <w:left w:val="single" w:color="auto" w:sz="4" w:space="0"/>
                    <w:bottom w:val="single" w:color="auto" w:sz="4" w:space="0"/>
                    <w:right w:val="nil"/>
                    <w:tl2br w:val="nil"/>
                    <w:tr2bl w:val="nil"/>
                  </w:tcBorders>
                  <w:noWrap w:val="0"/>
                  <w:vAlign w:val="center"/>
                </w:tcPr>
                <w:p w14:paraId="4326A6C5">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r>
            <w:tr w14:paraId="78A99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93" w:type="pct"/>
                  <w:vMerge w:val="continue"/>
                  <w:tcBorders>
                    <w:left w:val="nil"/>
                    <w:bottom w:val="single" w:color="auto" w:sz="12" w:space="0"/>
                    <w:right w:val="single" w:color="auto" w:sz="4" w:space="0"/>
                    <w:tl2br w:val="nil"/>
                    <w:tr2bl w:val="nil"/>
                  </w:tcBorders>
                  <w:noWrap w:val="0"/>
                  <w:vAlign w:val="center"/>
                </w:tcPr>
                <w:p w14:paraId="3DF47D19">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70" w:type="pct"/>
                  <w:tcBorders>
                    <w:top w:val="single" w:color="auto" w:sz="4" w:space="0"/>
                    <w:left w:val="nil"/>
                    <w:bottom w:val="single" w:color="auto" w:sz="12" w:space="0"/>
                    <w:right w:val="single" w:color="auto" w:sz="4" w:space="0"/>
                    <w:tl2br w:val="nil"/>
                    <w:tr2bl w:val="nil"/>
                  </w:tcBorders>
                  <w:noWrap w:val="0"/>
                  <w:vAlign w:val="center"/>
                </w:tcPr>
                <w:p w14:paraId="486FEE88">
                  <w:pPr>
                    <w:keepNext w:val="0"/>
                    <w:keepLines w:val="0"/>
                    <w:suppressLineNumbers w:val="0"/>
                    <w:adjustRightInd w:val="0"/>
                    <w:snapToGrid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4类标准</w:t>
                  </w:r>
                </w:p>
              </w:tc>
              <w:tc>
                <w:tcPr>
                  <w:tcW w:w="463"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6CCE3F2D">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472" w:type="pct"/>
                  <w:tcBorders>
                    <w:top w:val="single" w:color="auto" w:sz="4" w:space="0"/>
                    <w:left w:val="single" w:color="auto" w:sz="4" w:space="0"/>
                    <w:bottom w:val="single" w:color="auto" w:sz="12" w:space="0"/>
                    <w:right w:val="nil"/>
                    <w:tl2br w:val="nil"/>
                    <w:tr2bl w:val="nil"/>
                  </w:tcBorders>
                  <w:noWrap w:val="0"/>
                  <w:vAlign w:val="center"/>
                </w:tcPr>
                <w:p w14:paraId="4872DB44">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55</w:t>
                  </w:r>
                </w:p>
              </w:tc>
            </w:tr>
          </w:tbl>
          <w:p w14:paraId="63E926DC">
            <w:pPr>
              <w:keepNext w:val="0"/>
              <w:keepLines w:val="0"/>
              <w:widowControl w:val="0"/>
              <w:numPr>
                <w:ilvl w:val="0"/>
                <w:numId w:val="0"/>
              </w:numPr>
              <w:suppressLineNumbers w:val="0"/>
              <w:adjustRightInd w:val="0"/>
              <w:snapToGrid w:val="0"/>
              <w:spacing w:before="0" w:beforeAutospacing="0" w:after="0" w:afterAutospacing="0" w:line="360" w:lineRule="auto"/>
              <w:ind w:left="375" w:leftChars="0" w:right="0" w:rightChars="0" w:hanging="375" w:firstLineChars="0"/>
              <w:jc w:val="left"/>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三、废水</w:t>
            </w:r>
          </w:p>
          <w:p w14:paraId="62FF9E95">
            <w:pPr>
              <w:spacing w:beforeLines="0" w:afterLines="0"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本项目生活污水</w:t>
            </w:r>
            <w:r>
              <w:rPr>
                <w:rFonts w:hint="default" w:ascii="Times New Roman" w:hAnsi="Times New Roman" w:eastAsia="宋体" w:cs="Times New Roman"/>
                <w:color w:val="000000" w:themeColor="text1"/>
                <w:sz w:val="24"/>
                <w:szCs w:val="24"/>
                <w:lang w:eastAsia="zh-CN"/>
                <w14:textFill>
                  <w14:solidFill>
                    <w14:schemeClr w14:val="tx1"/>
                  </w14:solidFill>
                </w14:textFill>
              </w:rPr>
              <w:t>、生产废水</w:t>
            </w:r>
            <w:r>
              <w:rPr>
                <w:rFonts w:hint="default" w:ascii="Times New Roman" w:hAnsi="Times New Roman" w:eastAsia="宋体" w:cs="Times New Roman"/>
                <w:color w:val="000000" w:themeColor="text1"/>
                <w:sz w:val="24"/>
                <w:szCs w:val="24"/>
                <w14:textFill>
                  <w14:solidFill>
                    <w14:schemeClr w14:val="tx1"/>
                  </w14:solidFill>
                </w14:textFill>
              </w:rPr>
              <w:t>满足《污水综合排放标准》（GB8978-1996）三级标准及</w:t>
            </w:r>
            <w:r>
              <w:rPr>
                <w:rFonts w:hint="default" w:ascii="Times New Roman" w:hAnsi="Times New Roman" w:eastAsia="宋体" w:cs="Times New Roman"/>
                <w:color w:val="000000" w:themeColor="text1"/>
                <w:sz w:val="24"/>
                <w:szCs w:val="24"/>
                <w:lang w:eastAsia="zh-CN"/>
                <w14:textFill>
                  <w14:solidFill>
                    <w14:schemeClr w14:val="tx1"/>
                  </w14:solidFill>
                </w14:textFill>
              </w:rPr>
              <w:t>双鸭山龙江环保水务有限责任公司(双鸭山市污水处理厂)</w:t>
            </w:r>
            <w:r>
              <w:rPr>
                <w:rFonts w:hint="default" w:ascii="Times New Roman" w:hAnsi="Times New Roman" w:eastAsia="宋体" w:cs="Times New Roman"/>
                <w:color w:val="000000" w:themeColor="text1"/>
                <w:sz w:val="24"/>
                <w:szCs w:val="24"/>
                <w14:textFill>
                  <w14:solidFill>
                    <w14:schemeClr w14:val="tx1"/>
                  </w14:solidFill>
                </w14:textFill>
              </w:rPr>
              <w:t>进水水质要求，通过</w:t>
            </w:r>
            <w:r>
              <w:rPr>
                <w:rFonts w:hint="default" w:ascii="Times New Roman" w:hAnsi="Times New Roman" w:eastAsia="宋体" w:cs="Times New Roman"/>
                <w:color w:val="000000" w:themeColor="text1"/>
                <w:sz w:val="24"/>
                <w:szCs w:val="24"/>
                <w:lang w:eastAsia="zh-CN"/>
                <w14:textFill>
                  <w14:solidFill>
                    <w14:schemeClr w14:val="tx1"/>
                  </w14:solidFill>
                </w14:textFill>
              </w:rPr>
              <w:t>污水管网</w:t>
            </w:r>
            <w:r>
              <w:rPr>
                <w:rFonts w:hint="default" w:ascii="Times New Roman" w:hAnsi="Times New Roman" w:eastAsia="宋体" w:cs="Times New Roman"/>
                <w:color w:val="000000" w:themeColor="text1"/>
                <w:sz w:val="24"/>
                <w:szCs w:val="24"/>
                <w14:textFill>
                  <w14:solidFill>
                    <w14:schemeClr w14:val="tx1"/>
                  </w14:solidFill>
                </w14:textFill>
              </w:rPr>
              <w:t>排入</w:t>
            </w:r>
            <w:r>
              <w:rPr>
                <w:rFonts w:hint="default" w:ascii="Times New Roman" w:hAnsi="Times New Roman" w:eastAsia="宋体" w:cs="Times New Roman"/>
                <w:color w:val="000000" w:themeColor="text1"/>
                <w:sz w:val="24"/>
                <w:szCs w:val="24"/>
                <w:lang w:eastAsia="zh-CN"/>
                <w14:textFill>
                  <w14:solidFill>
                    <w14:schemeClr w14:val="tx1"/>
                  </w14:solidFill>
                </w14:textFill>
              </w:rPr>
              <w:t>双鸭山龙江环保水务有限责任公司(双鸭山市污水处理厂)</w:t>
            </w:r>
            <w:r>
              <w:rPr>
                <w:rFonts w:hint="default" w:ascii="Times New Roman" w:hAnsi="Times New Roman" w:eastAsia="宋体" w:cs="Times New Roman"/>
                <w:color w:val="000000" w:themeColor="text1"/>
                <w:sz w:val="24"/>
                <w:szCs w:val="24"/>
                <w14:textFill>
                  <w14:solidFill>
                    <w14:schemeClr w14:val="tx1"/>
                  </w14:solidFill>
                </w14:textFill>
              </w:rPr>
              <w:t>达到《城镇污水处理厂污染物排放标准》（GB18918-2002）一级A标准后排放至</w:t>
            </w:r>
            <w:r>
              <w:rPr>
                <w:rFonts w:hint="default" w:ascii="Times New Roman" w:hAnsi="Times New Roman" w:eastAsia="宋体" w:cs="Times New Roman"/>
                <w:color w:val="000000" w:themeColor="text1"/>
                <w:sz w:val="24"/>
                <w:szCs w:val="24"/>
                <w:lang w:eastAsia="zh-CN"/>
                <w14:textFill>
                  <w14:solidFill>
                    <w14:schemeClr w14:val="tx1"/>
                  </w14:solidFill>
                </w14:textFill>
              </w:rPr>
              <w:t>安邦河</w:t>
            </w:r>
            <w:r>
              <w:rPr>
                <w:rFonts w:hint="default" w:ascii="Times New Roman" w:hAnsi="Times New Roman" w:eastAsia="宋体" w:cs="Times New Roman"/>
                <w:color w:val="000000" w:themeColor="text1"/>
                <w:sz w:val="24"/>
                <w:szCs w:val="24"/>
                <w14:textFill>
                  <w14:solidFill>
                    <w14:schemeClr w14:val="tx1"/>
                  </w14:solidFill>
                </w14:textFill>
              </w:rPr>
              <w:t>。</w:t>
            </w:r>
          </w:p>
          <w:p w14:paraId="2C882D1A">
            <w:pPr>
              <w:spacing w:beforeLines="0" w:afterLines="0"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本项目废水执行《污水综合排放标准》（GB 8978-1996）表4中三级标准及</w:t>
            </w:r>
            <w:r>
              <w:rPr>
                <w:rFonts w:hint="default" w:ascii="Times New Roman" w:hAnsi="Times New Roman" w:eastAsia="宋体" w:cs="Times New Roman"/>
                <w:color w:val="000000" w:themeColor="text1"/>
                <w:sz w:val="24"/>
                <w:szCs w:val="24"/>
                <w:lang w:eastAsia="zh-CN"/>
                <w14:textFill>
                  <w14:solidFill>
                    <w14:schemeClr w14:val="tx1"/>
                  </w14:solidFill>
                </w14:textFill>
              </w:rPr>
              <w:t>双鸭山龙江环保水务有限责任公司(双鸭山市污水处理厂)</w:t>
            </w:r>
            <w:r>
              <w:rPr>
                <w:rFonts w:hint="default" w:ascii="Times New Roman" w:hAnsi="Times New Roman" w:eastAsia="宋体" w:cs="Times New Roman"/>
                <w:color w:val="000000" w:themeColor="text1"/>
                <w:sz w:val="24"/>
                <w:szCs w:val="24"/>
                <w14:textFill>
                  <w14:solidFill>
                    <w14:schemeClr w14:val="tx1"/>
                  </w14:solidFill>
                </w14:textFill>
              </w:rPr>
              <w:t>进水指标（从严执行）。</w:t>
            </w:r>
          </w:p>
          <w:p w14:paraId="62FF829A">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表3-</w:t>
            </w:r>
            <w:r>
              <w:rPr>
                <w:rFonts w:hint="eastAsia" w:ascii="Times New Roman" w:hAnsi="Times New Roman" w:eastAsia="宋体" w:cs="Times New Roman"/>
                <w:b/>
                <w:color w:val="000000" w:themeColor="text1"/>
                <w:kern w:val="0"/>
                <w:sz w:val="24"/>
                <w:szCs w:val="24"/>
                <w:highlight w:val="none"/>
                <w:lang w:val="en-US" w:eastAsia="zh-CN"/>
                <w14:textFill>
                  <w14:solidFill>
                    <w14:schemeClr w14:val="tx1"/>
                  </w14:solidFill>
                </w14:textFill>
              </w:rPr>
              <w:t>10</w:t>
            </w:r>
            <w:r>
              <w:rPr>
                <w:rFonts w:hint="default" w:ascii="Times New Roman" w:hAnsi="Times New Roman" w:eastAsia="宋体" w:cs="Times New Roman"/>
                <w:b/>
                <w:color w:val="000000" w:themeColor="text1"/>
                <w:kern w:val="0"/>
                <w:sz w:val="24"/>
                <w:szCs w:val="24"/>
                <w:highlight w:val="none"/>
                <w14:textFill>
                  <w14:solidFill>
                    <w14:schemeClr w14:val="tx1"/>
                  </w14:solidFill>
                </w14:textFill>
              </w:rPr>
              <w:t xml:space="preserve"> 运营期废水污染物排放标准限值</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2829"/>
              <w:gridCol w:w="2462"/>
              <w:gridCol w:w="1420"/>
            </w:tblGrid>
            <w:tr w14:paraId="14B7FE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12" w:space="0"/>
                    <w:left w:val="nil"/>
                    <w:bottom w:val="single" w:color="auto" w:sz="4" w:space="0"/>
                    <w:right w:val="single" w:color="auto" w:sz="4" w:space="0"/>
                    <w:tl2br w:val="nil"/>
                    <w:tr2bl w:val="nil"/>
                  </w:tcBorders>
                  <w:noWrap w:val="0"/>
                  <w:vAlign w:val="center"/>
                </w:tcPr>
                <w:p w14:paraId="4DE17B53">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项目</w:t>
                  </w:r>
                </w:p>
              </w:tc>
              <w:tc>
                <w:tcPr>
                  <w:tcW w:w="1773"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56F5BB0B">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《污水综合排放标准》（GB 8978-1996）表4中三级标准</w:t>
                  </w:r>
                </w:p>
              </w:tc>
              <w:tc>
                <w:tcPr>
                  <w:tcW w:w="1543"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7384EACF">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双鸭山龙江环保水务有限责任公司(双鸭山市污水处理厂)</w:t>
                  </w:r>
                  <w:r>
                    <w:rPr>
                      <w:rFonts w:hint="default" w:ascii="Times New Roman" w:hAnsi="Times New Roman" w:eastAsia="宋体" w:cs="Times New Roman"/>
                      <w:b/>
                      <w:color w:val="000000" w:themeColor="text1"/>
                      <w:sz w:val="21"/>
                      <w:szCs w:val="21"/>
                      <w:highlight w:val="none"/>
                      <w14:textFill>
                        <w14:solidFill>
                          <w14:schemeClr w14:val="tx1"/>
                        </w14:solidFill>
                      </w14:textFill>
                    </w:rPr>
                    <w:t>设计进水指标</w:t>
                  </w:r>
                </w:p>
              </w:tc>
              <w:tc>
                <w:tcPr>
                  <w:tcW w:w="890" w:type="pct"/>
                  <w:tcBorders>
                    <w:top w:val="single" w:color="auto" w:sz="12" w:space="0"/>
                    <w:left w:val="single" w:color="auto" w:sz="4" w:space="0"/>
                    <w:bottom w:val="single" w:color="auto" w:sz="4" w:space="0"/>
                    <w:right w:val="nil"/>
                    <w:tl2br w:val="nil"/>
                    <w:tr2bl w:val="nil"/>
                  </w:tcBorders>
                  <w:noWrap w:val="0"/>
                  <w:vAlign w:val="center"/>
                </w:tcPr>
                <w:p w14:paraId="6519762D">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本项目</w:t>
                  </w:r>
                  <w:r>
                    <w:rPr>
                      <w:rFonts w:hint="default" w:ascii="Times New Roman" w:hAnsi="Times New Roman" w:eastAsia="宋体" w:cs="Times New Roman"/>
                      <w:b/>
                      <w:color w:val="000000" w:themeColor="text1"/>
                      <w:sz w:val="21"/>
                      <w:szCs w:val="21"/>
                      <w:highlight w:val="none"/>
                      <w14:textFill>
                        <w14:solidFill>
                          <w14:schemeClr w14:val="tx1"/>
                        </w14:solidFill>
                      </w14:textFill>
                    </w:rPr>
                    <w:t>执行限值</w:t>
                  </w:r>
                </w:p>
              </w:tc>
            </w:tr>
            <w:tr w14:paraId="18476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403D527B">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pH</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C5D478">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6-9</w:t>
                  </w:r>
                </w:p>
              </w:tc>
              <w:tc>
                <w:tcPr>
                  <w:tcW w:w="1543" w:type="pct"/>
                  <w:tcBorders>
                    <w:top w:val="single" w:color="auto" w:sz="4" w:space="0"/>
                    <w:left w:val="single" w:color="auto" w:sz="4" w:space="0"/>
                    <w:bottom w:val="single" w:color="auto" w:sz="4" w:space="0"/>
                    <w:right w:val="single" w:color="auto" w:sz="4" w:space="0"/>
                    <w:tl2br w:val="nil"/>
                    <w:tr2bl w:val="nil"/>
                  </w:tcBorders>
                  <w:noWrap w:val="0"/>
                  <w:vAlign w:val="top"/>
                </w:tcPr>
                <w:p w14:paraId="5AA0DE01">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yellow"/>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890" w:type="pct"/>
                  <w:tcBorders>
                    <w:top w:val="single" w:color="auto" w:sz="4" w:space="0"/>
                    <w:left w:val="single" w:color="auto" w:sz="4" w:space="0"/>
                    <w:bottom w:val="single" w:color="auto" w:sz="4" w:space="0"/>
                    <w:right w:val="nil"/>
                    <w:tl2br w:val="nil"/>
                    <w:tr2bl w:val="nil"/>
                  </w:tcBorders>
                  <w:noWrap w:val="0"/>
                  <w:vAlign w:val="center"/>
                </w:tcPr>
                <w:p w14:paraId="6BB9A3A8">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6-9</w:t>
                  </w:r>
                </w:p>
              </w:tc>
            </w:tr>
            <w:tr w14:paraId="12CC3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1AA6599A">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COD</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868EF7">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500</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6AE0C9">
                  <w:pPr>
                    <w:pStyle w:val="34"/>
                    <w:spacing w:beforeLines="0" w:afterLines="0"/>
                    <w:rPr>
                      <w:rFonts w:hint="default" w:ascii="Times New Roman" w:hAnsi="Times New Roman" w:eastAsia="宋体" w:cs="Times New Roman"/>
                      <w:b w:val="0"/>
                      <w:bCs/>
                      <w:color w:val="000000" w:themeColor="text1"/>
                      <w:sz w:val="21"/>
                      <w:szCs w:val="21"/>
                      <w:highlight w:val="yellow"/>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350</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5B107F2B">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350</w:t>
                  </w:r>
                </w:p>
              </w:tc>
            </w:tr>
            <w:tr w14:paraId="676ED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18CF6126">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BOD</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5</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BFC053">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300</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2591F65">
                  <w:pPr>
                    <w:pStyle w:val="34"/>
                    <w:spacing w:beforeLines="0" w:afterLines="0"/>
                    <w:rPr>
                      <w:rFonts w:hint="default" w:ascii="Times New Roman" w:hAnsi="Times New Roman" w:eastAsia="宋体" w:cs="Times New Roman"/>
                      <w:b w:val="0"/>
                      <w:bCs/>
                      <w:color w:val="000000" w:themeColor="text1"/>
                      <w:sz w:val="21"/>
                      <w:szCs w:val="21"/>
                      <w:highlight w:val="yellow"/>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250</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6AEF4243">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250</w:t>
                  </w:r>
                </w:p>
              </w:tc>
            </w:tr>
            <w:tr w14:paraId="415C8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2E07DC7B">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SS</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1D08841">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400</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EA87670">
                  <w:pPr>
                    <w:pStyle w:val="34"/>
                    <w:spacing w:beforeLines="0" w:afterLines="0"/>
                    <w:rPr>
                      <w:rFonts w:hint="default" w:ascii="Times New Roman" w:hAnsi="Times New Roman" w:eastAsia="宋体" w:cs="Times New Roman"/>
                      <w:b w:val="0"/>
                      <w:bCs/>
                      <w:color w:val="000000" w:themeColor="text1"/>
                      <w:sz w:val="21"/>
                      <w:szCs w:val="21"/>
                      <w:highlight w:val="yellow"/>
                      <w:lang w:val="en-US"/>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300</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572F60F8">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300</w:t>
                  </w:r>
                </w:p>
              </w:tc>
            </w:tr>
            <w:tr w14:paraId="1704C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2727B7C2">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氨氮</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26167B5">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F2787B">
                  <w:pPr>
                    <w:pStyle w:val="34"/>
                    <w:spacing w:beforeLines="0" w:afterLines="0"/>
                    <w:rPr>
                      <w:rFonts w:hint="default" w:ascii="Times New Roman" w:hAnsi="Times New Roman" w:eastAsia="宋体" w:cs="Times New Roman"/>
                      <w:b w:val="0"/>
                      <w:bCs/>
                      <w:color w:val="000000" w:themeColor="text1"/>
                      <w:sz w:val="21"/>
                      <w:szCs w:val="21"/>
                      <w:highlight w:val="yellow"/>
                      <w:lang w:val="en-US"/>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5395F873">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w:t>
                  </w:r>
                </w:p>
              </w:tc>
            </w:tr>
            <w:tr w14:paraId="404CB4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36523FCF">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总氮</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EFE3BFC">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3E80CC0">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40</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3261D5E1">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40</w:t>
                  </w:r>
                </w:p>
              </w:tc>
            </w:tr>
            <w:tr w14:paraId="2202A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4" w:space="0"/>
                    <w:right w:val="single" w:color="auto" w:sz="4" w:space="0"/>
                    <w:tl2br w:val="nil"/>
                    <w:tr2bl w:val="nil"/>
                  </w:tcBorders>
                  <w:noWrap w:val="0"/>
                  <w:vAlign w:val="center"/>
                </w:tcPr>
                <w:p w14:paraId="332D8DA6">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总磷</w:t>
                  </w:r>
                </w:p>
              </w:tc>
              <w:tc>
                <w:tcPr>
                  <w:tcW w:w="17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5E2D4D">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249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547590">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w:t>
                  </w:r>
                </w:p>
              </w:tc>
              <w:tc>
                <w:tcPr>
                  <w:tcW w:w="1439" w:type="dxa"/>
                  <w:tcBorders>
                    <w:top w:val="single" w:color="auto" w:sz="4" w:space="0"/>
                    <w:left w:val="single" w:color="auto" w:sz="4" w:space="0"/>
                    <w:bottom w:val="single" w:color="auto" w:sz="4" w:space="0"/>
                    <w:right w:val="nil"/>
                    <w:tl2br w:val="nil"/>
                    <w:tr2bl w:val="nil"/>
                  </w:tcBorders>
                  <w:noWrap w:val="0"/>
                  <w:vAlign w:val="center"/>
                </w:tcPr>
                <w:p w14:paraId="2A735FA1">
                  <w:pPr>
                    <w:pStyle w:val="34"/>
                    <w:spacing w:beforeLines="0" w:afterLine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w:t>
                  </w:r>
                </w:p>
              </w:tc>
            </w:tr>
            <w:tr w14:paraId="5371C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2" w:type="pct"/>
                  <w:tcBorders>
                    <w:top w:val="single" w:color="auto" w:sz="4" w:space="0"/>
                    <w:left w:val="nil"/>
                    <w:bottom w:val="single" w:color="auto" w:sz="12" w:space="0"/>
                    <w:right w:val="single" w:color="auto" w:sz="4" w:space="0"/>
                    <w:tl2br w:val="nil"/>
                    <w:tr2bl w:val="nil"/>
                  </w:tcBorders>
                  <w:noWrap w:val="0"/>
                  <w:vAlign w:val="center"/>
                </w:tcPr>
                <w:p w14:paraId="4909C98D">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FF"/>
                      <w:sz w:val="21"/>
                      <w:szCs w:val="21"/>
                      <w:highlight w:val="none"/>
                      <w:lang w:val="en-US" w:eastAsia="zh-CN"/>
                    </w:rPr>
                  </w:pPr>
                  <w:r>
                    <w:rPr>
                      <w:rFonts w:hint="eastAsia" w:ascii="Times New Roman" w:hAnsi="Times New Roman" w:eastAsia="宋体" w:cs="Times New Roman"/>
                      <w:b w:val="0"/>
                      <w:bCs/>
                      <w:color w:val="0000FF"/>
                      <w:sz w:val="21"/>
                      <w:szCs w:val="21"/>
                      <w:highlight w:val="none"/>
                      <w:lang w:val="en-US" w:eastAsia="zh-CN"/>
                    </w:rPr>
                    <w:t>LAS</w:t>
                  </w:r>
                </w:p>
              </w:tc>
              <w:tc>
                <w:tcPr>
                  <w:tcW w:w="1773"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747F40D4">
                  <w:pPr>
                    <w:keepNext w:val="0"/>
                    <w:keepLines w:val="0"/>
                    <w:suppressLineNumbers w:val="0"/>
                    <w:adjustRightInd w:val="0"/>
                    <w:snapToGrid w:val="0"/>
                    <w:spacing w:before="0" w:beforeLines="0" w:beforeAutospacing="0" w:after="0" w:afterLines="0" w:afterAutospacing="0"/>
                    <w:ind w:left="0" w:right="0"/>
                    <w:jc w:val="center"/>
                    <w:rPr>
                      <w:rFonts w:hint="default" w:ascii="Times New Roman" w:hAnsi="Times New Roman" w:eastAsia="宋体" w:cs="Times New Roman"/>
                      <w:b w:val="0"/>
                      <w:bCs/>
                      <w:color w:val="0000FF"/>
                      <w:sz w:val="21"/>
                      <w:szCs w:val="21"/>
                      <w:highlight w:val="none"/>
                      <w:lang w:val="en-US" w:eastAsia="zh-CN"/>
                    </w:rPr>
                  </w:pPr>
                  <w:r>
                    <w:rPr>
                      <w:rFonts w:hint="eastAsia" w:ascii="Times New Roman" w:hAnsi="Times New Roman" w:eastAsia="宋体" w:cs="Times New Roman"/>
                      <w:b w:val="0"/>
                      <w:bCs/>
                      <w:color w:val="0000FF"/>
                      <w:sz w:val="21"/>
                      <w:szCs w:val="21"/>
                      <w:highlight w:val="none"/>
                      <w:lang w:val="en-US" w:eastAsia="zh-CN"/>
                    </w:rPr>
                    <w:t>20</w:t>
                  </w:r>
                </w:p>
              </w:tc>
              <w:tc>
                <w:tcPr>
                  <w:tcW w:w="2494"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54720190">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w:t>
                  </w:r>
                </w:p>
              </w:tc>
              <w:tc>
                <w:tcPr>
                  <w:tcW w:w="1439" w:type="dxa"/>
                  <w:tcBorders>
                    <w:top w:val="single" w:color="auto" w:sz="4" w:space="0"/>
                    <w:left w:val="single" w:color="auto" w:sz="4" w:space="0"/>
                    <w:bottom w:val="single" w:color="auto" w:sz="12" w:space="0"/>
                    <w:right w:val="nil"/>
                    <w:tl2br w:val="nil"/>
                    <w:tr2bl w:val="nil"/>
                  </w:tcBorders>
                  <w:noWrap w:val="0"/>
                  <w:vAlign w:val="center"/>
                </w:tcPr>
                <w:p w14:paraId="0043B4BC">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20</w:t>
                  </w:r>
                </w:p>
              </w:tc>
            </w:tr>
          </w:tbl>
          <w:p w14:paraId="18B0B65F">
            <w:pPr>
              <w:keepNext w:val="0"/>
              <w:keepLines w:val="0"/>
              <w:widowControl w:val="0"/>
              <w:numPr>
                <w:ilvl w:val="0"/>
                <w:numId w:val="0"/>
              </w:numPr>
              <w:suppressLineNumbers w:val="0"/>
              <w:adjustRightInd w:val="0"/>
              <w:snapToGrid w:val="0"/>
              <w:spacing w:before="0" w:beforeAutospacing="0" w:after="0" w:afterAutospacing="0" w:line="360" w:lineRule="auto"/>
              <w:ind w:left="375" w:leftChars="0" w:right="0" w:rightChars="0" w:hanging="375" w:firstLineChars="0"/>
              <w:jc w:val="left"/>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四、</w:t>
            </w:r>
            <w:r>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t>固体废物</w:t>
            </w:r>
          </w:p>
          <w:p w14:paraId="0266C65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一般固体废物执行《一般工业固体废物贮存和填埋污染控制标准》（GB18599-2020）；危险废物执行《危险废物贮存污染控制标准》（GB18597-2023）。</w:t>
            </w:r>
          </w:p>
          <w:p w14:paraId="08CCEC0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kern w:val="0"/>
                <w:sz w:val="24"/>
                <w:szCs w:val="24"/>
                <w:highlight w:val="none"/>
                <w14:textFill>
                  <w14:solidFill>
                    <w14:schemeClr w14:val="tx1"/>
                  </w14:solidFill>
                </w14:textFill>
              </w:rPr>
            </w:pPr>
          </w:p>
        </w:tc>
      </w:tr>
      <w:tr w14:paraId="119543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23" w:hRule="atLeast"/>
          <w:jc w:val="center"/>
        </w:trPr>
        <w:tc>
          <w:tcPr>
            <w:tcW w:w="800" w:type="dxa"/>
            <w:vAlign w:val="center"/>
          </w:tcPr>
          <w:p w14:paraId="06F2B8B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总量</w:t>
            </w:r>
          </w:p>
          <w:p w14:paraId="14894BF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控制</w:t>
            </w:r>
          </w:p>
          <w:p w14:paraId="23605FE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指标</w:t>
            </w:r>
          </w:p>
        </w:tc>
        <w:tc>
          <w:tcPr>
            <w:tcW w:w="8190" w:type="dxa"/>
            <w:vAlign w:val="center"/>
          </w:tcPr>
          <w:p w14:paraId="6DF96943">
            <w:pPr>
              <w:keepNext w:val="0"/>
              <w:keepLines w:val="0"/>
              <w:suppressLineNumbers w:val="0"/>
              <w:adjustRightInd w:val="0"/>
              <w:snapToGrid w:val="0"/>
              <w:spacing w:before="0" w:beforeAutospacing="0" w:after="0" w:afterAutospacing="0"/>
              <w:ind w:left="0" w:right="0" w:firstLine="480" w:firstLineChars="200"/>
              <w:jc w:val="both"/>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本项目污染物排放总量控制因子见下表。</w:t>
            </w:r>
          </w:p>
          <w:p w14:paraId="0EC3BB5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表3-</w:t>
            </w:r>
            <w:r>
              <w:rPr>
                <w:rFonts w:hint="eastAsia"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11</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 xml:space="preserve"> 总量控制</w:t>
            </w:r>
          </w:p>
          <w:tbl>
            <w:tblPr>
              <w:tblStyle w:val="1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3096"/>
              <w:gridCol w:w="2040"/>
              <w:gridCol w:w="1810"/>
            </w:tblGrid>
            <w:tr w14:paraId="34DA8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tcBorders>
                    <w:tl2br w:val="nil"/>
                    <w:tr2bl w:val="nil"/>
                  </w:tcBorders>
                  <w:noWrap w:val="0"/>
                  <w:vAlign w:val="center"/>
                </w:tcPr>
                <w:p w14:paraId="5C912DF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名称</w:t>
                  </w:r>
                </w:p>
              </w:tc>
              <w:tc>
                <w:tcPr>
                  <w:tcW w:w="1941" w:type="pct"/>
                  <w:tcBorders>
                    <w:tl2br w:val="nil"/>
                    <w:tr2bl w:val="nil"/>
                  </w:tcBorders>
                  <w:noWrap w:val="0"/>
                  <w:vAlign w:val="center"/>
                </w:tcPr>
                <w:p w14:paraId="14914C7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w:t>
                  </w:r>
                </w:p>
              </w:tc>
              <w:tc>
                <w:tcPr>
                  <w:tcW w:w="1279" w:type="pct"/>
                  <w:tcBorders>
                    <w:tl2br w:val="nil"/>
                    <w:tr2bl w:val="nil"/>
                  </w:tcBorders>
                  <w:noWrap w:val="0"/>
                  <w:vAlign w:val="center"/>
                </w:tcPr>
                <w:p w14:paraId="54DC05D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预测排放量t/a</w:t>
                  </w:r>
                </w:p>
              </w:tc>
              <w:tc>
                <w:tcPr>
                  <w:tcW w:w="1135" w:type="pct"/>
                  <w:tcBorders>
                    <w:tl2br w:val="nil"/>
                    <w:tr2bl w:val="nil"/>
                  </w:tcBorders>
                  <w:noWrap w:val="0"/>
                  <w:vAlign w:val="center"/>
                </w:tcPr>
                <w:p w14:paraId="349C46A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核定排放量t/a</w:t>
                  </w:r>
                </w:p>
              </w:tc>
            </w:tr>
            <w:tr w14:paraId="014C5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43" w:type="pct"/>
                  <w:vMerge w:val="restart"/>
                  <w:tcBorders>
                    <w:tl2br w:val="nil"/>
                    <w:tr2bl w:val="nil"/>
                  </w:tcBorders>
                  <w:noWrap w:val="0"/>
                  <w:vAlign w:val="center"/>
                </w:tcPr>
                <w:p w14:paraId="46A77F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w:t>
                  </w:r>
                </w:p>
              </w:tc>
              <w:tc>
                <w:tcPr>
                  <w:tcW w:w="1941" w:type="pct"/>
                  <w:tcBorders>
                    <w:tl2br w:val="nil"/>
                    <w:tr2bl w:val="nil"/>
                  </w:tcBorders>
                  <w:noWrap w:val="0"/>
                  <w:vAlign w:val="center"/>
                </w:tcPr>
                <w:p w14:paraId="5B23F0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w:t>
                  </w:r>
                </w:p>
              </w:tc>
              <w:tc>
                <w:tcPr>
                  <w:tcW w:w="1279" w:type="pct"/>
                  <w:tcBorders>
                    <w:tl2br w:val="nil"/>
                    <w:tr2bl w:val="nil"/>
                  </w:tcBorders>
                  <w:noWrap w:val="0"/>
                  <w:vAlign w:val="center"/>
                </w:tcPr>
                <w:p w14:paraId="0FD879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w:t>
                  </w:r>
                  <w:r>
                    <w:rPr>
                      <w:rFonts w:hint="eastAsia" w:ascii="Times New Roman" w:hAnsi="Times New Roman" w:eastAsia="宋体" w:cs="Times New Roman"/>
                      <w:color w:val="FF0000"/>
                      <w:sz w:val="21"/>
                      <w:szCs w:val="21"/>
                      <w:highlight w:val="none"/>
                      <w:lang w:val="en-US" w:eastAsia="zh-CN"/>
                    </w:rPr>
                    <w:t>491</w:t>
                  </w:r>
                </w:p>
              </w:tc>
              <w:tc>
                <w:tcPr>
                  <w:tcW w:w="1135" w:type="pct"/>
                  <w:tcBorders>
                    <w:tl2br w:val="nil"/>
                    <w:tr2bl w:val="nil"/>
                  </w:tcBorders>
                  <w:noWrap w:val="0"/>
                  <w:vAlign w:val="center"/>
                </w:tcPr>
                <w:p w14:paraId="616296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1.764</w:t>
                  </w:r>
                </w:p>
              </w:tc>
            </w:tr>
            <w:tr w14:paraId="12790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43" w:type="pct"/>
                  <w:vMerge w:val="continue"/>
                  <w:tcBorders>
                    <w:tl2br w:val="nil"/>
                    <w:tr2bl w:val="nil"/>
                  </w:tcBorders>
                  <w:noWrap w:val="0"/>
                  <w:vAlign w:val="center"/>
                </w:tcPr>
                <w:p w14:paraId="2B8748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941" w:type="pct"/>
                  <w:tcBorders>
                    <w:tl2br w:val="nil"/>
                    <w:tr2bl w:val="nil"/>
                  </w:tcBorders>
                  <w:noWrap w:val="0"/>
                  <w:vAlign w:val="center"/>
                </w:tcPr>
                <w:p w14:paraId="10AEDD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氨氮</w:t>
                  </w:r>
                </w:p>
              </w:tc>
              <w:tc>
                <w:tcPr>
                  <w:tcW w:w="1279" w:type="pct"/>
                  <w:tcBorders>
                    <w:tl2br w:val="nil"/>
                    <w:tr2bl w:val="nil"/>
                  </w:tcBorders>
                  <w:noWrap w:val="0"/>
                  <w:vAlign w:val="center"/>
                </w:tcPr>
                <w:p w14:paraId="64BA85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0.01</w:t>
                  </w:r>
                  <w:r>
                    <w:rPr>
                      <w:rFonts w:hint="eastAsia" w:ascii="Times New Roman" w:hAnsi="Times New Roman" w:eastAsia="宋体" w:cs="Times New Roman"/>
                      <w:color w:val="FF0000"/>
                      <w:sz w:val="21"/>
                      <w:szCs w:val="21"/>
                      <w:highlight w:val="none"/>
                      <w:lang w:val="en-US" w:eastAsia="zh-CN"/>
                    </w:rPr>
                    <w:t>8</w:t>
                  </w:r>
                </w:p>
              </w:tc>
              <w:tc>
                <w:tcPr>
                  <w:tcW w:w="1135" w:type="pct"/>
                  <w:tcBorders>
                    <w:tl2br w:val="nil"/>
                    <w:tr2bl w:val="nil"/>
                  </w:tcBorders>
                  <w:noWrap w:val="0"/>
                  <w:vAlign w:val="center"/>
                </w:tcPr>
                <w:p w14:paraId="3D0509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w:t>
                  </w:r>
                  <w:r>
                    <w:rPr>
                      <w:rFonts w:hint="eastAsia" w:ascii="Times New Roman" w:hAnsi="Times New Roman" w:eastAsia="宋体" w:cs="Times New Roman"/>
                      <w:color w:val="FF0000"/>
                      <w:sz w:val="21"/>
                      <w:szCs w:val="21"/>
                      <w:highlight w:val="none"/>
                      <w:lang w:val="en-US" w:eastAsia="zh-CN"/>
                    </w:rPr>
                    <w:t>126</w:t>
                  </w:r>
                </w:p>
              </w:tc>
            </w:tr>
            <w:tr w14:paraId="12D7F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43" w:type="pct"/>
                  <w:tcBorders>
                    <w:tl2br w:val="nil"/>
                    <w:tr2bl w:val="nil"/>
                  </w:tcBorders>
                  <w:noWrap w:val="0"/>
                  <w:vAlign w:val="center"/>
                </w:tcPr>
                <w:p w14:paraId="4A2F87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p>
              </w:tc>
              <w:tc>
                <w:tcPr>
                  <w:tcW w:w="1941" w:type="pct"/>
                  <w:tcBorders>
                    <w:tl2br w:val="nil"/>
                    <w:tr2bl w:val="nil"/>
                  </w:tcBorders>
                  <w:noWrap w:val="0"/>
                  <w:vAlign w:val="center"/>
                </w:tcPr>
                <w:p w14:paraId="28CB4B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1279" w:type="pct"/>
                  <w:tcBorders>
                    <w:tl2br w:val="nil"/>
                    <w:tr2bl w:val="nil"/>
                  </w:tcBorders>
                  <w:noWrap w:val="0"/>
                  <w:vAlign w:val="center"/>
                </w:tcPr>
                <w:p w14:paraId="5F04A9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0.00255</w:t>
                  </w:r>
                </w:p>
              </w:tc>
              <w:tc>
                <w:tcPr>
                  <w:tcW w:w="1135" w:type="pct"/>
                  <w:tcBorders>
                    <w:tl2br w:val="nil"/>
                    <w:tr2bl w:val="nil"/>
                  </w:tcBorders>
                  <w:noWrap w:val="0"/>
                  <w:vAlign w:val="center"/>
                </w:tcPr>
                <w:p w14:paraId="7E3CD4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0.00255</w:t>
                  </w:r>
                </w:p>
              </w:tc>
            </w:tr>
          </w:tbl>
          <w:p w14:paraId="107ED61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highlight w:val="none"/>
                <w14:textFill>
                  <w14:solidFill>
                    <w14:schemeClr w14:val="tx1"/>
                  </w14:solidFill>
                </w14:textFill>
              </w:rPr>
            </w:pPr>
          </w:p>
        </w:tc>
      </w:tr>
    </w:tbl>
    <w:p w14:paraId="2194ECA1">
      <w:pPr>
        <w:widowControl/>
        <w:spacing w:before="100" w:beforeAutospacing="1" w:after="100" w:afterAutospacing="1"/>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bookmarkStart w:id="9" w:name="_Toc140683754"/>
      <w:bookmarkStart w:id="10" w:name="_Toc127456159"/>
      <w:r>
        <w:rPr>
          <w:rFonts w:hint="default" w:ascii="Times New Roman" w:hAnsi="Times New Roman" w:eastAsia="宋体" w:cs="Times New Roman"/>
          <w:snapToGrid w:val="0"/>
          <w:color w:val="000000" w:themeColor="text1"/>
          <w:kern w:val="0"/>
          <w:sz w:val="36"/>
          <w:szCs w:val="36"/>
          <w:highlight w:val="none"/>
          <w:lang w:val="en-US" w:eastAsia="zh-CN" w:bidi="ar-SA"/>
          <w14:textFill>
            <w14:solidFill>
              <w14:schemeClr w14:val="tx1"/>
            </w14:solidFill>
          </w14:textFill>
        </w:rPr>
        <w:br w:type="page"/>
      </w:r>
      <w:bookmarkStart w:id="27" w:name="_GoBack"/>
      <w:bookmarkEnd w:id="27"/>
      <w:bookmarkStart w:id="11" w:name="_Toc138577284"/>
      <w:bookmarkStart w:id="12" w:name="_Toc140683753"/>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四、主要环境影响和保护措施</w:t>
      </w:r>
      <w:bookmarkEnd w:id="11"/>
      <w:bookmarkEnd w:id="12"/>
    </w:p>
    <w:tbl>
      <w:tblPr>
        <w:tblStyle w:val="1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4"/>
        <w:gridCol w:w="8477"/>
      </w:tblGrid>
      <w:tr w14:paraId="1853A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504" w:type="dxa"/>
            <w:tcMar>
              <w:left w:w="28" w:type="dxa"/>
              <w:right w:w="28" w:type="dxa"/>
            </w:tcMar>
            <w:vAlign w:val="center"/>
          </w:tcPr>
          <w:p w14:paraId="4E0F33C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施工</w:t>
            </w:r>
          </w:p>
          <w:p w14:paraId="23756D1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期环</w:t>
            </w:r>
          </w:p>
          <w:p w14:paraId="1417715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境保</w:t>
            </w:r>
          </w:p>
          <w:p w14:paraId="65DD6D5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护措</w:t>
            </w:r>
          </w:p>
          <w:p w14:paraId="6EF10C5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施</w:t>
            </w:r>
          </w:p>
        </w:tc>
        <w:tc>
          <w:tcPr>
            <w:tcW w:w="8477" w:type="dxa"/>
            <w:vAlign w:val="center"/>
          </w:tcPr>
          <w:p w14:paraId="67567B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本项目利用已建成厂房进行建设，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施工期主要污染物为施工噪声，同时产生少量粉尘、装修垃圾、运输扬尘。</w:t>
            </w:r>
          </w:p>
          <w:p w14:paraId="1F5671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本项目施工使用低噪声设备、设备加强维护，以降低使用时产生的噪声，夜间（22:00-次日6:00）不进行施工。</w:t>
            </w:r>
          </w:p>
          <w:p w14:paraId="5B1F8DF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施工过程中施工材料、垃圾暂存于厂房内，边施工边清理。施工垃圾集中堆放，定期清运</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至建筑垃圾填埋场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0BFDBE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运输车辆采取苫盖及封闭运输等方式，运输过程中路过居民区减速慢行，尽量减少对周围居民的影响，随着施工期结束，施工影响会随之消失。</w:t>
            </w:r>
          </w:p>
          <w:p w14:paraId="5C86E7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施工过程中要求施工场地应保持一定湿度，要定时洒水，防止粉尘及二次扬尘污染施工场地周围环境空气质量，有效降低施工期扬尘对周围环境空气的影响。</w:t>
            </w:r>
          </w:p>
        </w:tc>
      </w:tr>
      <w:tr w14:paraId="18B675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4" w:type="dxa"/>
            <w:tcMar>
              <w:left w:w="28" w:type="dxa"/>
              <w:right w:w="28" w:type="dxa"/>
            </w:tcMar>
            <w:vAlign w:val="center"/>
          </w:tcPr>
          <w:p w14:paraId="43446D5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运营</w:t>
            </w:r>
          </w:p>
          <w:p w14:paraId="45C3DF8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期环</w:t>
            </w:r>
          </w:p>
          <w:p w14:paraId="78AB5D8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境影</w:t>
            </w:r>
          </w:p>
          <w:p w14:paraId="0861D19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响和</w:t>
            </w:r>
          </w:p>
          <w:p w14:paraId="7E17BE8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保护</w:t>
            </w:r>
          </w:p>
          <w:p w14:paraId="64BC9D9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措施</w:t>
            </w:r>
          </w:p>
        </w:tc>
        <w:tc>
          <w:tcPr>
            <w:tcW w:w="8477" w:type="dxa"/>
            <w:vAlign w:val="center"/>
          </w:tcPr>
          <w:p w14:paraId="2643D2A1">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一、废气</w:t>
            </w:r>
          </w:p>
          <w:p w14:paraId="13D79F9C">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1、废气源强核算</w:t>
            </w:r>
          </w:p>
          <w:p w14:paraId="54134099">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本项目废气主要来自投料过程中产生的少量面粉粉尘、污水处理站产生的恶臭气体、热加工间产生的油烟。</w:t>
            </w:r>
          </w:p>
          <w:p w14:paraId="454082F1">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（1）拆袋、和面粉尘</w:t>
            </w:r>
          </w:p>
          <w:p w14:paraId="3C9CA746">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使用的面粉为袋装，且物料含内包装塑料袋，原料由汽车运输至车间外，再由人工转运至面粉库，转运距离较短，使用时由人工搬运至和面间使用，拆袋由人工拆线，拆袋均在和面间进行，因此粉状物料转运、拆袋粉尘产生量极少，此处不做定量核算；和面工序在真空和面机内进行，和面时关闭上盖，使物料在密闭空间内进行充分混合，可有效减少粉尘外溢，因此和面过程颗粒物产生量极少，不做定量分析。</w:t>
            </w:r>
          </w:p>
          <w:p w14:paraId="7C46C9EC">
            <w:pPr>
              <w:pStyle w:val="35"/>
              <w:numPr>
                <w:ilvl w:val="0"/>
                <w:numId w:val="0"/>
              </w:numPr>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（2）投料粉尘</w:t>
            </w:r>
          </w:p>
          <w:p w14:paraId="77447611">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投料过程中会产生颗粒物。参考《排放源统计调查产排污核算方法和系数手册》-“131谷物磨制行业系数手册”中小麦粉生产工艺产污系数为0.085kg/t原料，本项目面粉年使用量为300t，则项目面粉投料产生量为0.0255t/a，产生速率约为0.0425kg/h（投料工序每天1小时）。</w:t>
            </w:r>
          </w:p>
          <w:p w14:paraId="3CD7C685">
            <w:pPr>
              <w:widowControl/>
              <w:spacing w:beforeLines="0" w:afterLines="0" w:line="360" w:lineRule="auto"/>
              <w:ind w:firstLine="480" w:firstLineChars="20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采取降低投料高度和速度措施后能将粉尘产生量降至最低，同时项目和面间密闭，有利于粉尘在车间内沉降，沉降粉尘约为90%，即0.02295t/a，每天进行清扫。无法沉降的少量粉尘经车间阻隔后无组织排放，投料粉尘经物理沉降和车间阻隔后，约10%粉尘无组织排放，则投料无组织粉尘排放量为 0.00255t/a，排放速率为 0.0085kg/h。</w:t>
            </w:r>
          </w:p>
          <w:p w14:paraId="166F45F1">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（3）污水处理站废气                  </w:t>
            </w:r>
          </w:p>
          <w:p w14:paraId="54F3C896">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本项目的臭气浓度主要源自污水处理站运行过程中产生的异味，刺激嗅觉器官引起人们不愉快及损坏生活环境的气体物质（以“臭气浓度”表征）。臭气浓度的组成复杂，是一个很难定量和定性的复杂物质。</w:t>
            </w:r>
            <w:r>
              <w:rPr>
                <w:rFonts w:hint="default" w:ascii="Times New Roman" w:hAnsi="Times New Roman" w:eastAsia="宋体" w:cs="Times New Roman"/>
                <w:color w:val="FF0000"/>
                <w:kern w:val="2"/>
                <w:sz w:val="24"/>
                <w:szCs w:val="24"/>
                <w:highlight w:val="none"/>
                <w:lang w:val="en-US" w:eastAsia="zh-CN" w:bidi="ar-SA"/>
              </w:rPr>
              <w:t>由于项目恶臭产生量不稳定，较难定量，因此本次评价不做定量分析</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拟对污水处理站产生的污泥及时清理；加强污水处理站周边卫生，定时清扫，并定期喷洒除臭剂，则本项目排放的无组织臭气浓度满足《恶臭污染物排放标准》（GB14554- 1993）表1恶臭污染物厂界标准值（20无量纲）的要求。</w:t>
            </w:r>
          </w:p>
          <w:p w14:paraId="2E98FD77">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FF0000"/>
                <w:kern w:val="2"/>
                <w:sz w:val="24"/>
                <w:szCs w:val="24"/>
                <w:highlight w:val="none"/>
                <w:lang w:val="en-US" w:eastAsia="zh-CN" w:bidi="ar-SA"/>
              </w:rPr>
              <w:t>根据相关资料，废气主要是氨、硫化氢和甲硫醇、三甲胺等多组分、低浓度化学物质形成的混合物。臭气污染源源强采用美国EPA（环境保护署）对城市污水处理厂恶臭污染物产生情况的研究，每去除1g的BOD</w:t>
            </w:r>
            <w:r>
              <w:rPr>
                <w:rFonts w:hint="default" w:ascii="Times New Roman" w:hAnsi="Times New Roman" w:eastAsia="宋体" w:cs="Times New Roman"/>
                <w:color w:val="FF0000"/>
                <w:kern w:val="2"/>
                <w:sz w:val="24"/>
                <w:szCs w:val="24"/>
                <w:highlight w:val="none"/>
                <w:vertAlign w:val="subscript"/>
                <w:lang w:val="en-US" w:eastAsia="zh-CN" w:bidi="ar-SA"/>
              </w:rPr>
              <w:t>5</w:t>
            </w:r>
            <w:r>
              <w:rPr>
                <w:rFonts w:hint="default" w:ascii="Times New Roman" w:hAnsi="Times New Roman" w:eastAsia="宋体" w:cs="Times New Roman"/>
                <w:color w:val="FF0000"/>
                <w:kern w:val="2"/>
                <w:sz w:val="24"/>
                <w:szCs w:val="24"/>
                <w:highlight w:val="none"/>
                <w:lang w:val="en-US" w:eastAsia="zh-CN" w:bidi="ar-SA"/>
              </w:rPr>
              <w:t>（生化需氧量）会产生0.0031g的NH</w:t>
            </w:r>
            <w:r>
              <w:rPr>
                <w:rFonts w:hint="default" w:ascii="Times New Roman" w:hAnsi="Times New Roman" w:eastAsia="宋体" w:cs="Times New Roman"/>
                <w:color w:val="FF0000"/>
                <w:kern w:val="2"/>
                <w:sz w:val="24"/>
                <w:szCs w:val="24"/>
                <w:highlight w:val="none"/>
                <w:vertAlign w:val="subscript"/>
                <w:lang w:val="en-US" w:eastAsia="zh-CN" w:bidi="ar-SA"/>
              </w:rPr>
              <w:t>3</w:t>
            </w:r>
            <w:r>
              <w:rPr>
                <w:rFonts w:hint="default" w:ascii="Times New Roman" w:hAnsi="Times New Roman" w:eastAsia="宋体" w:cs="Times New Roman"/>
                <w:color w:val="FF0000"/>
                <w:kern w:val="2"/>
                <w:sz w:val="24"/>
                <w:szCs w:val="24"/>
                <w:highlight w:val="none"/>
                <w:lang w:val="en-US" w:eastAsia="zh-CN" w:bidi="ar-SA"/>
              </w:rPr>
              <w:t>（氨气）和0.00012g的H</w:t>
            </w:r>
            <w:r>
              <w:rPr>
                <w:rFonts w:hint="default" w:ascii="Times New Roman" w:hAnsi="Times New Roman" w:eastAsia="宋体" w:cs="Times New Roman"/>
                <w:color w:val="FF0000"/>
                <w:kern w:val="2"/>
                <w:sz w:val="24"/>
                <w:szCs w:val="24"/>
                <w:highlight w:val="none"/>
                <w:vertAlign w:val="subscript"/>
                <w:lang w:val="en-US" w:eastAsia="zh-CN" w:bidi="ar-SA"/>
              </w:rPr>
              <w:t>2</w:t>
            </w:r>
            <w:r>
              <w:rPr>
                <w:rFonts w:hint="default" w:ascii="Times New Roman" w:hAnsi="Times New Roman" w:eastAsia="宋体" w:cs="Times New Roman"/>
                <w:color w:val="FF0000"/>
                <w:kern w:val="2"/>
                <w:sz w:val="24"/>
                <w:szCs w:val="24"/>
                <w:highlight w:val="none"/>
                <w:lang w:val="en-US" w:eastAsia="zh-CN" w:bidi="ar-SA"/>
              </w:rPr>
              <w:t>S（硫化氢）</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32D92CF7">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本项目BOD</w:t>
            </w:r>
            <w:r>
              <w:rPr>
                <w:rFonts w:hint="default" w:ascii="Times New Roman" w:hAnsi="Times New Roman" w:eastAsia="宋体" w:cs="Times New Roman"/>
                <w:color w:val="FF0000"/>
                <w:kern w:val="2"/>
                <w:sz w:val="24"/>
                <w:szCs w:val="24"/>
                <w:highlight w:val="none"/>
                <w:vertAlign w:val="subscript"/>
                <w:lang w:val="en-US" w:eastAsia="zh-CN" w:bidi="ar-SA"/>
              </w:rPr>
              <w:t>5</w:t>
            </w:r>
            <w:r>
              <w:rPr>
                <w:rFonts w:hint="default" w:ascii="Times New Roman" w:hAnsi="Times New Roman" w:eastAsia="宋体" w:cs="Times New Roman"/>
                <w:color w:val="FF0000"/>
                <w:kern w:val="2"/>
                <w:sz w:val="24"/>
                <w:szCs w:val="24"/>
                <w:highlight w:val="none"/>
                <w:lang w:val="en-US" w:eastAsia="zh-CN" w:bidi="ar-SA"/>
              </w:rPr>
              <w:t>的处理量为1.632t/a，则NH</w:t>
            </w:r>
            <w:r>
              <w:rPr>
                <w:rFonts w:hint="default" w:ascii="Times New Roman" w:hAnsi="Times New Roman" w:eastAsia="宋体" w:cs="Times New Roman"/>
                <w:color w:val="FF0000"/>
                <w:kern w:val="2"/>
                <w:sz w:val="24"/>
                <w:szCs w:val="24"/>
                <w:highlight w:val="none"/>
                <w:vertAlign w:val="subscript"/>
                <w:lang w:val="en-US" w:eastAsia="zh-CN" w:bidi="ar-SA"/>
              </w:rPr>
              <w:t>3</w:t>
            </w:r>
            <w:r>
              <w:rPr>
                <w:rFonts w:hint="default" w:ascii="Times New Roman" w:hAnsi="Times New Roman" w:eastAsia="宋体" w:cs="Times New Roman"/>
                <w:color w:val="FF0000"/>
                <w:kern w:val="2"/>
                <w:sz w:val="24"/>
                <w:szCs w:val="24"/>
                <w:highlight w:val="none"/>
                <w:lang w:val="en-US" w:eastAsia="zh-CN" w:bidi="ar-SA"/>
              </w:rPr>
              <w:t>的产生量为0.005059t/a，产生速率为0.002108kg/h，H</w:t>
            </w:r>
            <w:r>
              <w:rPr>
                <w:rFonts w:hint="default" w:ascii="Times New Roman" w:hAnsi="Times New Roman" w:eastAsia="宋体" w:cs="Times New Roman"/>
                <w:color w:val="FF0000"/>
                <w:kern w:val="2"/>
                <w:sz w:val="24"/>
                <w:szCs w:val="24"/>
                <w:highlight w:val="none"/>
                <w:vertAlign w:val="subscript"/>
                <w:lang w:val="en-US" w:eastAsia="zh-CN" w:bidi="ar-SA"/>
              </w:rPr>
              <w:t>2</w:t>
            </w:r>
            <w:r>
              <w:rPr>
                <w:rFonts w:hint="default" w:ascii="Times New Roman" w:hAnsi="Times New Roman" w:eastAsia="宋体" w:cs="Times New Roman"/>
                <w:color w:val="FF0000"/>
                <w:kern w:val="2"/>
                <w:sz w:val="24"/>
                <w:szCs w:val="24"/>
                <w:highlight w:val="none"/>
                <w:lang w:val="en-US" w:eastAsia="zh-CN" w:bidi="ar-SA"/>
              </w:rPr>
              <w:t>S的产生量为0.000196t/a，产生速率为0.000082kg/h。</w:t>
            </w:r>
          </w:p>
          <w:p w14:paraId="619F197D">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本项目污水处理站恶臭气体以无组织排放，恶臭气体产生的池体均加盖处理，并定期喷洒除臭剂，</w:t>
            </w:r>
            <w:r>
              <w:rPr>
                <w:rFonts w:hint="default" w:ascii="Times New Roman" w:hAnsi="Times New Roman" w:eastAsia="宋体" w:cs="Times New Roman"/>
                <w:color w:val="FF0000"/>
                <w:kern w:val="2"/>
                <w:sz w:val="24"/>
                <w:szCs w:val="24"/>
                <w:highlight w:val="none"/>
                <w:lang w:val="en-US" w:eastAsia="zh-CN" w:bidi="ar-SA"/>
              </w:rPr>
              <w:t>加强周边绿化。</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恶臭气体去除效率为60%。</w:t>
            </w:r>
            <w:r>
              <w:rPr>
                <w:rFonts w:hint="default" w:ascii="Times New Roman" w:hAnsi="Times New Roman" w:eastAsia="宋体" w:cs="Times New Roman"/>
                <w:color w:val="FF0000"/>
                <w:kern w:val="2"/>
                <w:sz w:val="24"/>
                <w:szCs w:val="24"/>
                <w:highlight w:val="none"/>
                <w:lang w:val="en-US" w:eastAsia="zh-CN" w:bidi="ar-SA"/>
              </w:rPr>
              <w:t>则本项目NH</w:t>
            </w:r>
            <w:r>
              <w:rPr>
                <w:rFonts w:hint="default" w:ascii="Times New Roman" w:hAnsi="Times New Roman" w:eastAsia="宋体" w:cs="Times New Roman"/>
                <w:color w:val="FF0000"/>
                <w:kern w:val="2"/>
                <w:sz w:val="24"/>
                <w:szCs w:val="24"/>
                <w:highlight w:val="none"/>
                <w:vertAlign w:val="subscript"/>
                <w:lang w:val="en-US" w:eastAsia="zh-CN" w:bidi="ar-SA"/>
              </w:rPr>
              <w:t>3</w:t>
            </w:r>
            <w:r>
              <w:rPr>
                <w:rFonts w:hint="default" w:ascii="Times New Roman" w:hAnsi="Times New Roman" w:eastAsia="宋体" w:cs="Times New Roman"/>
                <w:color w:val="FF0000"/>
                <w:kern w:val="2"/>
                <w:sz w:val="24"/>
                <w:szCs w:val="24"/>
                <w:highlight w:val="none"/>
                <w:lang w:val="en-US" w:eastAsia="zh-CN" w:bidi="ar-SA"/>
              </w:rPr>
              <w:t>无组织排放量为0.002024t/a，排放速率为0.000843kg/h，H</w:t>
            </w:r>
            <w:r>
              <w:rPr>
                <w:rFonts w:hint="default" w:ascii="Times New Roman" w:hAnsi="Times New Roman" w:eastAsia="宋体" w:cs="Times New Roman"/>
                <w:color w:val="FF0000"/>
                <w:kern w:val="2"/>
                <w:sz w:val="24"/>
                <w:szCs w:val="24"/>
                <w:highlight w:val="none"/>
                <w:vertAlign w:val="subscript"/>
                <w:lang w:val="en-US" w:eastAsia="zh-CN" w:bidi="ar-SA"/>
              </w:rPr>
              <w:t>2</w:t>
            </w:r>
            <w:r>
              <w:rPr>
                <w:rFonts w:hint="default" w:ascii="Times New Roman" w:hAnsi="Times New Roman" w:eastAsia="宋体" w:cs="Times New Roman"/>
                <w:color w:val="FF0000"/>
                <w:kern w:val="2"/>
                <w:sz w:val="24"/>
                <w:szCs w:val="24"/>
                <w:highlight w:val="none"/>
                <w:lang w:val="en-US" w:eastAsia="zh-CN" w:bidi="ar-SA"/>
              </w:rPr>
              <w:t>S无组织排放量为0.000078t/a，排放速率为0.000033kg/h。</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项目无组织NH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S排放浓度和速率浓度满足《恶臭污染物排放标准》（GB14554-1993）中的二级厂界排放标准。</w:t>
            </w:r>
          </w:p>
          <w:p w14:paraId="2AB83A63">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（4）油烟</w:t>
            </w:r>
          </w:p>
          <w:p w14:paraId="14662C20">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本项目基准炉头共计5个，3用2备。单个炉头的额定风量设计为2000m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/h，则生产时总风机风量为6000m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/h。炒蛋工序年工作日60天，每天工作2小时，年工作时间为120h，则油烟废气产生量为72万m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/a。</w:t>
            </w:r>
          </w:p>
          <w:p w14:paraId="0CA84010">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根据《废气处理工程技术手册》（主编：王纯、张殿印，化学工业出版社）中第十章第十节饮食业油烟污染净化技术可知，3~5眼灶的实测油烟浓度为2.3~7.0mg/m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，静电法的油烟去除率为75%~85%；本项目油烟产生浓度按照7.0mg/m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计，油烟去除率按75%计。油烟废气经收集后引入油烟净化器处理达标后经生产车间顶部排放，具体产排情况见下表。</w:t>
            </w:r>
          </w:p>
          <w:p w14:paraId="3F831F92">
            <w:pPr>
              <w:pStyle w:val="35"/>
              <w:keepNext/>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表4-1油烟产生一览表</w:t>
            </w:r>
          </w:p>
          <w:tbl>
            <w:tblPr>
              <w:tblStyle w:val="14"/>
              <w:tblW w:w="826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1180"/>
              <w:gridCol w:w="1518"/>
              <w:gridCol w:w="1282"/>
              <w:gridCol w:w="1404"/>
              <w:gridCol w:w="1697"/>
            </w:tblGrid>
            <w:tr w14:paraId="50CE08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0" w:type="dxa"/>
                  <w:tcBorders>
                    <w:tl2br w:val="nil"/>
                    <w:tr2bl w:val="nil"/>
                  </w:tcBorders>
                  <w:vAlign w:val="center"/>
                </w:tcPr>
                <w:p w14:paraId="52E0E9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烟气量 </w:t>
                  </w:r>
                </w:p>
                <w:p w14:paraId="2301D1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 /a）</w:t>
                  </w:r>
                </w:p>
              </w:tc>
              <w:tc>
                <w:tcPr>
                  <w:tcW w:w="1180" w:type="dxa"/>
                  <w:tcBorders>
                    <w:tl2br w:val="nil"/>
                    <w:tr2bl w:val="nil"/>
                  </w:tcBorders>
                  <w:vAlign w:val="center"/>
                </w:tcPr>
                <w:p w14:paraId="6D828E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产生浓度 </w:t>
                  </w:r>
                </w:p>
                <w:p w14:paraId="57ADDB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518" w:type="dxa"/>
                  <w:tcBorders>
                    <w:tl2br w:val="nil"/>
                    <w:tr2bl w:val="nil"/>
                  </w:tcBorders>
                  <w:vAlign w:val="center"/>
                </w:tcPr>
                <w:p w14:paraId="09B336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油烟产生量 </w:t>
                  </w:r>
                </w:p>
                <w:p w14:paraId="086CB3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1282" w:type="dxa"/>
                  <w:tcBorders>
                    <w:tl2br w:val="nil"/>
                    <w:tr2bl w:val="nil"/>
                  </w:tcBorders>
                  <w:vAlign w:val="center"/>
                </w:tcPr>
                <w:p w14:paraId="677F33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净化效率</w:t>
                  </w:r>
                </w:p>
              </w:tc>
              <w:tc>
                <w:tcPr>
                  <w:tcW w:w="1404" w:type="dxa"/>
                  <w:tcBorders>
                    <w:tl2br w:val="nil"/>
                    <w:tr2bl w:val="nil"/>
                  </w:tcBorders>
                  <w:vAlign w:val="center"/>
                </w:tcPr>
                <w:p w14:paraId="3AFC55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油烟排放量 </w:t>
                  </w:r>
                </w:p>
                <w:p w14:paraId="3C37CC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1697" w:type="dxa"/>
                  <w:tcBorders>
                    <w:tl2br w:val="nil"/>
                    <w:tr2bl w:val="nil"/>
                  </w:tcBorders>
                  <w:vAlign w:val="center"/>
                </w:tcPr>
                <w:p w14:paraId="2FF122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排放浓度 </w:t>
                  </w:r>
                </w:p>
                <w:p w14:paraId="571795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44457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0" w:type="dxa"/>
                  <w:tcBorders>
                    <w:tl2br w:val="nil"/>
                    <w:tr2bl w:val="nil"/>
                  </w:tcBorders>
                  <w:vAlign w:val="center"/>
                </w:tcPr>
                <w:p w14:paraId="6C2A8A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720000</w:t>
                  </w:r>
                </w:p>
              </w:tc>
              <w:tc>
                <w:tcPr>
                  <w:tcW w:w="1180" w:type="dxa"/>
                  <w:tcBorders>
                    <w:tl2br w:val="nil"/>
                    <w:tr2bl w:val="nil"/>
                  </w:tcBorders>
                  <w:vAlign w:val="center"/>
                </w:tcPr>
                <w:p w14:paraId="717939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1518" w:type="dxa"/>
                  <w:tcBorders>
                    <w:tl2br w:val="nil"/>
                    <w:tr2bl w:val="nil"/>
                  </w:tcBorders>
                  <w:vAlign w:val="center"/>
                </w:tcPr>
                <w:p w14:paraId="79F986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0.00504</w:t>
                  </w:r>
                </w:p>
              </w:tc>
              <w:tc>
                <w:tcPr>
                  <w:tcW w:w="1282" w:type="dxa"/>
                  <w:tcBorders>
                    <w:tl2br w:val="nil"/>
                    <w:tr2bl w:val="nil"/>
                  </w:tcBorders>
                  <w:vAlign w:val="center"/>
                </w:tcPr>
                <w:p w14:paraId="57335A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75</w:t>
                  </w:r>
                </w:p>
              </w:tc>
              <w:tc>
                <w:tcPr>
                  <w:tcW w:w="1404" w:type="dxa"/>
                  <w:tcBorders>
                    <w:tl2br w:val="nil"/>
                    <w:tr2bl w:val="nil"/>
                  </w:tcBorders>
                  <w:vAlign w:val="center"/>
                </w:tcPr>
                <w:p w14:paraId="3B4787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0.00126</w:t>
                  </w:r>
                </w:p>
              </w:tc>
              <w:tc>
                <w:tcPr>
                  <w:tcW w:w="1697" w:type="dxa"/>
                  <w:tcBorders>
                    <w:tl2br w:val="nil"/>
                    <w:tr2bl w:val="nil"/>
                  </w:tcBorders>
                  <w:vAlign w:val="center"/>
                </w:tcPr>
                <w:p w14:paraId="3DDC79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1.75</w:t>
                  </w:r>
                </w:p>
              </w:tc>
            </w:tr>
          </w:tbl>
          <w:p w14:paraId="02148AB5">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（5）检验室检验废气</w:t>
            </w:r>
          </w:p>
          <w:p w14:paraId="31507544">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本项目配备检验室，用于开展食品脂肪含量测定。检验过程中使用乙醇、冰乙酸、石油醚等试剂，因此在使用过程中会产生少量的有机废气（以非甲烷总烃）。由于检验室废气为间歇性排放，且试剂使用量很少，有机废气的产生量极少，本次评价不对其进行定量分析。检验过程在通风橱内进行，废气经检验室换风系统排出，经大气稀释扩散和绿化吸收后对周围环境无明显影响。</w:t>
            </w:r>
          </w:p>
          <w:p w14:paraId="67FB9ECA">
            <w:pPr>
              <w:pStyle w:val="35"/>
              <w:keepNext/>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表4-2废气污染源源强核算结果及相关参数表</w:t>
            </w:r>
          </w:p>
          <w:tbl>
            <w:tblPr>
              <w:tblStyle w:val="13"/>
              <w:tblW w:w="498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500"/>
              <w:gridCol w:w="465"/>
              <w:gridCol w:w="665"/>
              <w:gridCol w:w="442"/>
              <w:gridCol w:w="720"/>
              <w:gridCol w:w="847"/>
              <w:gridCol w:w="752"/>
              <w:gridCol w:w="1299"/>
              <w:gridCol w:w="570"/>
              <w:gridCol w:w="915"/>
              <w:gridCol w:w="654"/>
              <w:gridCol w:w="415"/>
            </w:tblGrid>
            <w:tr w14:paraId="04C18613">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vMerge w:val="restart"/>
                  <w:tcBorders>
                    <w:tl2br w:val="nil"/>
                    <w:tr2bl w:val="nil"/>
                  </w:tcBorders>
                  <w:noWrap w:val="0"/>
                  <w:vAlign w:val="center"/>
                </w:tcPr>
                <w:p w14:paraId="1C93F97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污染源</w:t>
                  </w:r>
                </w:p>
              </w:tc>
              <w:tc>
                <w:tcPr>
                  <w:tcW w:w="282" w:type="pct"/>
                  <w:vMerge w:val="restart"/>
                  <w:tcBorders>
                    <w:tl2br w:val="nil"/>
                    <w:tr2bl w:val="nil"/>
                  </w:tcBorders>
                  <w:noWrap w:val="0"/>
                  <w:vAlign w:val="center"/>
                </w:tcPr>
                <w:p w14:paraId="6933D3B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排放形式</w:t>
                  </w:r>
                </w:p>
              </w:tc>
              <w:tc>
                <w:tcPr>
                  <w:tcW w:w="403" w:type="pct"/>
                  <w:vMerge w:val="restart"/>
                  <w:tcBorders>
                    <w:tl2br w:val="nil"/>
                    <w:tr2bl w:val="nil"/>
                  </w:tcBorders>
                  <w:noWrap w:val="0"/>
                  <w:vAlign w:val="center"/>
                </w:tcPr>
                <w:p w14:paraId="394C606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w:t>
                  </w:r>
                </w:p>
              </w:tc>
              <w:tc>
                <w:tcPr>
                  <w:tcW w:w="1674" w:type="pct"/>
                  <w:gridSpan w:val="4"/>
                  <w:tcBorders>
                    <w:tl2br w:val="nil"/>
                    <w:tr2bl w:val="nil"/>
                  </w:tcBorders>
                  <w:noWrap w:val="0"/>
                  <w:vAlign w:val="center"/>
                </w:tcPr>
                <w:p w14:paraId="7AB3B9E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污染物产生</w:t>
                  </w:r>
                </w:p>
              </w:tc>
              <w:tc>
                <w:tcPr>
                  <w:tcW w:w="1133" w:type="pct"/>
                  <w:gridSpan w:val="2"/>
                  <w:tcBorders>
                    <w:tl2br w:val="nil"/>
                    <w:tr2bl w:val="nil"/>
                  </w:tcBorders>
                  <w:noWrap w:val="0"/>
                  <w:vAlign w:val="center"/>
                </w:tcPr>
                <w:p w14:paraId="0335ECF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治理措施</w:t>
                  </w:r>
                </w:p>
              </w:tc>
              <w:tc>
                <w:tcPr>
                  <w:tcW w:w="951" w:type="pct"/>
                  <w:gridSpan w:val="2"/>
                  <w:tcBorders>
                    <w:tl2br w:val="nil"/>
                    <w:tr2bl w:val="nil"/>
                  </w:tcBorders>
                  <w:noWrap w:val="0"/>
                  <w:vAlign w:val="center"/>
                </w:tcPr>
                <w:p w14:paraId="4AD10CC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污染物排放</w:t>
                  </w:r>
                </w:p>
              </w:tc>
              <w:tc>
                <w:tcPr>
                  <w:tcW w:w="251" w:type="pct"/>
                  <w:vMerge w:val="restart"/>
                  <w:tcBorders>
                    <w:tl2br w:val="nil"/>
                    <w:tr2bl w:val="nil"/>
                  </w:tcBorders>
                  <w:noWrap w:val="0"/>
                  <w:vAlign w:val="center"/>
                </w:tcPr>
                <w:p w14:paraId="3160B61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w:t>
                  </w:r>
                </w:p>
                <w:p w14:paraId="5FC3703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时间h</w:t>
                  </w:r>
                </w:p>
              </w:tc>
            </w:tr>
            <w:tr w14:paraId="078C63E4">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vMerge w:val="continue"/>
                  <w:tcBorders>
                    <w:tl2br w:val="nil"/>
                    <w:tr2bl w:val="nil"/>
                  </w:tcBorders>
                  <w:noWrap w:val="0"/>
                  <w:vAlign w:val="center"/>
                </w:tcPr>
                <w:p w14:paraId="4CC529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82" w:type="pct"/>
                  <w:vMerge w:val="continue"/>
                  <w:tcBorders>
                    <w:tl2br w:val="nil"/>
                    <w:tr2bl w:val="nil"/>
                  </w:tcBorders>
                  <w:noWrap w:val="0"/>
                  <w:vAlign w:val="center"/>
                </w:tcPr>
                <w:p w14:paraId="741435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03" w:type="pct"/>
                  <w:vMerge w:val="continue"/>
                  <w:tcBorders>
                    <w:tl2br w:val="nil"/>
                    <w:tr2bl w:val="nil"/>
                  </w:tcBorders>
                  <w:noWrap w:val="0"/>
                  <w:vAlign w:val="center"/>
                </w:tcPr>
                <w:p w14:paraId="4C12D0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68" w:type="pct"/>
                  <w:tcBorders>
                    <w:tl2br w:val="nil"/>
                    <w:tr2bl w:val="nil"/>
                  </w:tcBorders>
                  <w:noWrap w:val="0"/>
                  <w:vAlign w:val="center"/>
                </w:tcPr>
                <w:p w14:paraId="3B297F7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核算方法</w:t>
                  </w:r>
                </w:p>
              </w:tc>
              <w:tc>
                <w:tcPr>
                  <w:tcW w:w="436" w:type="pct"/>
                  <w:tcBorders>
                    <w:tl2br w:val="nil"/>
                    <w:tr2bl w:val="nil"/>
                  </w:tcBorders>
                  <w:noWrap w:val="0"/>
                  <w:vAlign w:val="center"/>
                </w:tcPr>
                <w:p w14:paraId="4C28CDD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废气产生量m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/h</w:t>
                  </w:r>
                </w:p>
              </w:tc>
              <w:tc>
                <w:tcPr>
                  <w:tcW w:w="513" w:type="pct"/>
                  <w:tcBorders>
                    <w:tl2br w:val="nil"/>
                    <w:tr2bl w:val="nil"/>
                  </w:tcBorders>
                  <w:noWrap w:val="0"/>
                  <w:vAlign w:val="center"/>
                </w:tcPr>
                <w:p w14:paraId="7325E6B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产生浓度mg/m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p>
              </w:tc>
              <w:tc>
                <w:tcPr>
                  <w:tcW w:w="456" w:type="pct"/>
                  <w:tcBorders>
                    <w:tl2br w:val="nil"/>
                    <w:tr2bl w:val="nil"/>
                  </w:tcBorders>
                  <w:noWrap w:val="0"/>
                  <w:vAlign w:val="center"/>
                </w:tcPr>
                <w:p w14:paraId="7111757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产生量t/a</w:t>
                  </w:r>
                </w:p>
              </w:tc>
              <w:tc>
                <w:tcPr>
                  <w:tcW w:w="787" w:type="pct"/>
                  <w:tcBorders>
                    <w:tl2br w:val="nil"/>
                    <w:tr2bl w:val="nil"/>
                  </w:tcBorders>
                  <w:noWrap w:val="0"/>
                  <w:vAlign w:val="center"/>
                </w:tcPr>
                <w:p w14:paraId="5F708A4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工艺</w:t>
                  </w:r>
                </w:p>
              </w:tc>
              <w:tc>
                <w:tcPr>
                  <w:tcW w:w="345" w:type="pct"/>
                  <w:tcBorders>
                    <w:tl2br w:val="nil"/>
                    <w:tr2bl w:val="nil"/>
                  </w:tcBorders>
                  <w:noWrap w:val="0"/>
                  <w:vAlign w:val="center"/>
                </w:tcPr>
                <w:p w14:paraId="67E2FDF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处理效率%</w:t>
                  </w:r>
                </w:p>
              </w:tc>
              <w:tc>
                <w:tcPr>
                  <w:tcW w:w="554" w:type="pct"/>
                  <w:tcBorders>
                    <w:tl2br w:val="nil"/>
                    <w:tr2bl w:val="nil"/>
                  </w:tcBorders>
                  <w:noWrap w:val="0"/>
                  <w:vAlign w:val="center"/>
                </w:tcPr>
                <w:p w14:paraId="40953C6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排放浓度mg/m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p>
              </w:tc>
              <w:tc>
                <w:tcPr>
                  <w:tcW w:w="396" w:type="pct"/>
                  <w:tcBorders>
                    <w:tl2br w:val="nil"/>
                    <w:tr2bl w:val="nil"/>
                  </w:tcBorders>
                  <w:noWrap w:val="0"/>
                  <w:vAlign w:val="center"/>
                </w:tcPr>
                <w:p w14:paraId="186703F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排放量</w:t>
                  </w:r>
                </w:p>
                <w:p w14:paraId="075050E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t/a</w:t>
                  </w:r>
                </w:p>
              </w:tc>
              <w:tc>
                <w:tcPr>
                  <w:tcW w:w="251" w:type="pct"/>
                  <w:vMerge w:val="continue"/>
                  <w:tcBorders>
                    <w:tl2br w:val="nil"/>
                    <w:tr2bl w:val="nil"/>
                  </w:tcBorders>
                  <w:noWrap w:val="0"/>
                  <w:vAlign w:val="center"/>
                </w:tcPr>
                <w:p w14:paraId="36BB81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3F70CDC1">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tcBorders>
                    <w:tl2br w:val="nil"/>
                    <w:tr2bl w:val="nil"/>
                  </w:tcBorders>
                  <w:noWrap w:val="0"/>
                  <w:vAlign w:val="center"/>
                </w:tcPr>
                <w:p w14:paraId="54D732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投料粉尘</w:t>
                  </w:r>
                </w:p>
              </w:tc>
              <w:tc>
                <w:tcPr>
                  <w:tcW w:w="282" w:type="pct"/>
                  <w:tcBorders>
                    <w:tl2br w:val="nil"/>
                    <w:tr2bl w:val="nil"/>
                  </w:tcBorders>
                  <w:noWrap w:val="0"/>
                  <w:vAlign w:val="center"/>
                </w:tcPr>
                <w:p w14:paraId="5F27A5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无组织排放</w:t>
                  </w:r>
                </w:p>
              </w:tc>
              <w:tc>
                <w:tcPr>
                  <w:tcW w:w="403" w:type="pct"/>
                  <w:tcBorders>
                    <w:tl2br w:val="nil"/>
                    <w:tr2bl w:val="nil"/>
                  </w:tcBorders>
                  <w:noWrap w:val="0"/>
                  <w:vAlign w:val="center"/>
                </w:tcPr>
                <w:p w14:paraId="3822C210">
                  <w:pPr>
                    <w:spacing w:beforeLines="0" w:afterLine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268" w:type="pct"/>
                  <w:tcBorders>
                    <w:tl2br w:val="nil"/>
                    <w:tr2bl w:val="nil"/>
                  </w:tcBorders>
                  <w:noWrap w:val="0"/>
                  <w:vAlign w:val="center"/>
                </w:tcPr>
                <w:p w14:paraId="0E1DF4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产污系数法</w:t>
                  </w:r>
                </w:p>
              </w:tc>
              <w:tc>
                <w:tcPr>
                  <w:tcW w:w="436" w:type="pct"/>
                  <w:tcBorders>
                    <w:tl2br w:val="nil"/>
                    <w:tr2bl w:val="nil"/>
                  </w:tcBorders>
                  <w:noWrap w:val="0"/>
                  <w:vAlign w:val="center"/>
                </w:tcPr>
                <w:p w14:paraId="2CF72A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13" w:type="pct"/>
                  <w:tcBorders>
                    <w:tl2br w:val="nil"/>
                    <w:tr2bl w:val="nil"/>
                  </w:tcBorders>
                  <w:noWrap w:val="0"/>
                  <w:vAlign w:val="center"/>
                </w:tcPr>
                <w:p w14:paraId="53879EDD">
                  <w:pPr>
                    <w:spacing w:beforeLines="0" w:afterLine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56" w:type="pct"/>
                  <w:tcBorders>
                    <w:tl2br w:val="nil"/>
                    <w:tr2bl w:val="nil"/>
                  </w:tcBorders>
                  <w:noWrap w:val="0"/>
                  <w:vAlign w:val="center"/>
                </w:tcPr>
                <w:p w14:paraId="354EB5B3">
                  <w:pPr>
                    <w:spacing w:beforeLines="0" w:afterLine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0.0255</w:t>
                  </w:r>
                </w:p>
              </w:tc>
              <w:tc>
                <w:tcPr>
                  <w:tcW w:w="787" w:type="pct"/>
                  <w:tcBorders>
                    <w:tl2br w:val="nil"/>
                    <w:tr2bl w:val="nil"/>
                  </w:tcBorders>
                  <w:noWrap w:val="0"/>
                  <w:vAlign w:val="center"/>
                </w:tcPr>
                <w:p w14:paraId="70F0E5A9">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和面车间密闭，采用真空和面机和面，人员搬运物料时注意轻拿轻放，投料时降低面粉投料高度，减小投料速度，沉降在车间内部的粉尘，每天进行清扫。</w:t>
                  </w:r>
                </w:p>
              </w:tc>
              <w:tc>
                <w:tcPr>
                  <w:tcW w:w="345" w:type="pct"/>
                  <w:tcBorders>
                    <w:tl2br w:val="nil"/>
                    <w:tr2bl w:val="nil"/>
                  </w:tcBorders>
                  <w:noWrap w:val="0"/>
                  <w:vAlign w:val="center"/>
                </w:tcPr>
                <w:p w14:paraId="242238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w:t>
                  </w:r>
                </w:p>
              </w:tc>
              <w:tc>
                <w:tcPr>
                  <w:tcW w:w="554" w:type="pct"/>
                  <w:tcBorders>
                    <w:tl2br w:val="nil"/>
                    <w:tr2bl w:val="nil"/>
                  </w:tcBorders>
                  <w:noWrap w:val="0"/>
                  <w:vAlign w:val="center"/>
                </w:tcPr>
                <w:p w14:paraId="6D3BE6E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396" w:type="pct"/>
                  <w:tcBorders>
                    <w:tl2br w:val="nil"/>
                    <w:tr2bl w:val="nil"/>
                  </w:tcBorders>
                  <w:noWrap w:val="0"/>
                  <w:vAlign w:val="center"/>
                </w:tcPr>
                <w:p w14:paraId="2498D62E">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0.00255</w:t>
                  </w:r>
                </w:p>
              </w:tc>
              <w:tc>
                <w:tcPr>
                  <w:tcW w:w="251" w:type="pct"/>
                  <w:tcBorders>
                    <w:tl2br w:val="nil"/>
                    <w:tr2bl w:val="nil"/>
                  </w:tcBorders>
                  <w:noWrap w:val="0"/>
                  <w:vAlign w:val="center"/>
                </w:tcPr>
                <w:p w14:paraId="0D25D2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w:t>
                  </w:r>
                </w:p>
              </w:tc>
            </w:tr>
            <w:tr w14:paraId="4297F2E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vMerge w:val="restart"/>
                  <w:tcBorders>
                    <w:tl2br w:val="nil"/>
                    <w:tr2bl w:val="nil"/>
                  </w:tcBorders>
                  <w:noWrap w:val="0"/>
                  <w:vAlign w:val="center"/>
                </w:tcPr>
                <w:p w14:paraId="329064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污水处理站废气</w:t>
                  </w:r>
                </w:p>
              </w:tc>
              <w:tc>
                <w:tcPr>
                  <w:tcW w:w="282" w:type="pct"/>
                  <w:vMerge w:val="restart"/>
                  <w:tcBorders>
                    <w:tl2br w:val="nil"/>
                    <w:tr2bl w:val="nil"/>
                  </w:tcBorders>
                  <w:noWrap w:val="0"/>
                  <w:vAlign w:val="center"/>
                </w:tcPr>
                <w:p w14:paraId="7ED44A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无组织排放</w:t>
                  </w:r>
                </w:p>
              </w:tc>
              <w:tc>
                <w:tcPr>
                  <w:tcW w:w="403" w:type="pct"/>
                  <w:tcBorders>
                    <w:tl2br w:val="nil"/>
                    <w:tr2bl w:val="nil"/>
                  </w:tcBorders>
                  <w:noWrap w:val="0"/>
                  <w:vAlign w:val="center"/>
                </w:tcPr>
                <w:p w14:paraId="679B76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p>
              </w:tc>
              <w:tc>
                <w:tcPr>
                  <w:tcW w:w="268" w:type="pct"/>
                  <w:tcBorders>
                    <w:tl2br w:val="nil"/>
                    <w:tr2bl w:val="nil"/>
                  </w:tcBorders>
                  <w:noWrap w:val="0"/>
                  <w:vAlign w:val="center"/>
                </w:tcPr>
                <w:p w14:paraId="41B35F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产污系数法</w:t>
                  </w:r>
                </w:p>
              </w:tc>
              <w:tc>
                <w:tcPr>
                  <w:tcW w:w="436" w:type="pct"/>
                  <w:tcBorders>
                    <w:tl2br w:val="nil"/>
                    <w:tr2bl w:val="nil"/>
                  </w:tcBorders>
                  <w:noWrap w:val="0"/>
                  <w:vAlign w:val="center"/>
                </w:tcPr>
                <w:p w14:paraId="1419F0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13" w:type="pct"/>
                  <w:tcBorders>
                    <w:tl2br w:val="nil"/>
                    <w:tr2bl w:val="nil"/>
                  </w:tcBorders>
                  <w:noWrap w:val="0"/>
                  <w:vAlign w:val="center"/>
                </w:tcPr>
                <w:p w14:paraId="668202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456" w:type="pct"/>
                  <w:tcBorders>
                    <w:tl2br w:val="nil"/>
                    <w:tr2bl w:val="nil"/>
                  </w:tcBorders>
                  <w:noWrap w:val="0"/>
                  <w:vAlign w:val="center"/>
                </w:tcPr>
                <w:p w14:paraId="15B1B0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0.005059</w:t>
                  </w:r>
                </w:p>
              </w:tc>
              <w:tc>
                <w:tcPr>
                  <w:tcW w:w="787" w:type="pct"/>
                  <w:vMerge w:val="restart"/>
                  <w:tcBorders>
                    <w:tl2br w:val="nil"/>
                    <w:tr2bl w:val="nil"/>
                  </w:tcBorders>
                  <w:noWrap w:val="0"/>
                  <w:vAlign w:val="center"/>
                </w:tcPr>
                <w:p w14:paraId="5190071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恶臭气体产生的池体均加盖处理，并定期喷洒除臭剂，</w:t>
                  </w:r>
                  <w:r>
                    <w:rPr>
                      <w:rFonts w:hint="default" w:ascii="Times New Roman" w:hAnsi="Times New Roman" w:eastAsia="宋体" w:cs="Times New Roman"/>
                      <w:color w:val="FF0000"/>
                      <w:sz w:val="21"/>
                      <w:szCs w:val="21"/>
                      <w:highlight w:val="none"/>
                      <w:lang w:val="en-US" w:eastAsia="zh-CN"/>
                    </w:rPr>
                    <w:t>加强周边绿化。</w:t>
                  </w:r>
                </w:p>
              </w:tc>
              <w:tc>
                <w:tcPr>
                  <w:tcW w:w="345" w:type="pct"/>
                  <w:tcBorders>
                    <w:tl2br w:val="nil"/>
                    <w:tr2bl w:val="nil"/>
                  </w:tcBorders>
                  <w:noWrap w:val="0"/>
                  <w:vAlign w:val="center"/>
                </w:tcPr>
                <w:p w14:paraId="59FDE9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554" w:type="pct"/>
                  <w:tcBorders>
                    <w:tl2br w:val="nil"/>
                    <w:tr2bl w:val="nil"/>
                  </w:tcBorders>
                  <w:noWrap w:val="0"/>
                  <w:vAlign w:val="center"/>
                </w:tcPr>
                <w:p w14:paraId="29E1423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96" w:type="pct"/>
                  <w:tcBorders>
                    <w:tl2br w:val="nil"/>
                    <w:tr2bl w:val="nil"/>
                  </w:tcBorders>
                  <w:noWrap w:val="0"/>
                  <w:vAlign w:val="center"/>
                </w:tcPr>
                <w:p w14:paraId="483BB4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0.002024</w:t>
                  </w:r>
                </w:p>
              </w:tc>
              <w:tc>
                <w:tcPr>
                  <w:tcW w:w="251" w:type="pct"/>
                  <w:vMerge w:val="restart"/>
                  <w:tcBorders>
                    <w:tl2br w:val="nil"/>
                    <w:tr2bl w:val="nil"/>
                  </w:tcBorders>
                  <w:noWrap w:val="0"/>
                  <w:vAlign w:val="center"/>
                </w:tcPr>
                <w:p w14:paraId="5C0ADA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2400</w:t>
                  </w:r>
                </w:p>
              </w:tc>
            </w:tr>
            <w:tr w14:paraId="240156A9">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vMerge w:val="continue"/>
                  <w:tcBorders>
                    <w:tl2br w:val="nil"/>
                    <w:tr2bl w:val="nil"/>
                  </w:tcBorders>
                  <w:noWrap w:val="0"/>
                  <w:vAlign w:val="center"/>
                </w:tcPr>
                <w:p w14:paraId="1FB9ED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82" w:type="pct"/>
                  <w:vMerge w:val="continue"/>
                  <w:tcBorders>
                    <w:tl2br w:val="nil"/>
                    <w:tr2bl w:val="nil"/>
                  </w:tcBorders>
                  <w:noWrap w:val="0"/>
                  <w:vAlign w:val="center"/>
                </w:tcPr>
                <w:p w14:paraId="3B47C7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03" w:type="pct"/>
                  <w:tcBorders>
                    <w:tl2br w:val="nil"/>
                    <w:tr2bl w:val="nil"/>
                  </w:tcBorders>
                  <w:noWrap w:val="0"/>
                  <w:vAlign w:val="center"/>
                </w:tcPr>
                <w:p w14:paraId="07A559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t>
                  </w:r>
                </w:p>
              </w:tc>
              <w:tc>
                <w:tcPr>
                  <w:tcW w:w="268" w:type="pct"/>
                  <w:tcBorders>
                    <w:tl2br w:val="nil"/>
                    <w:tr2bl w:val="nil"/>
                  </w:tcBorders>
                  <w:noWrap w:val="0"/>
                  <w:vAlign w:val="center"/>
                </w:tcPr>
                <w:p w14:paraId="1C3B42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产污系数法</w:t>
                  </w:r>
                </w:p>
              </w:tc>
              <w:tc>
                <w:tcPr>
                  <w:tcW w:w="436" w:type="pct"/>
                  <w:tcBorders>
                    <w:tl2br w:val="nil"/>
                    <w:tr2bl w:val="nil"/>
                  </w:tcBorders>
                  <w:noWrap w:val="0"/>
                  <w:vAlign w:val="center"/>
                </w:tcPr>
                <w:p w14:paraId="489B0D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13" w:type="pct"/>
                  <w:tcBorders>
                    <w:tl2br w:val="nil"/>
                    <w:tr2bl w:val="nil"/>
                  </w:tcBorders>
                  <w:noWrap w:val="0"/>
                  <w:vAlign w:val="center"/>
                </w:tcPr>
                <w:p w14:paraId="22F22E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456" w:type="pct"/>
                  <w:tcBorders>
                    <w:tl2br w:val="nil"/>
                    <w:tr2bl w:val="nil"/>
                  </w:tcBorders>
                  <w:noWrap w:val="0"/>
                  <w:vAlign w:val="center"/>
                </w:tcPr>
                <w:p w14:paraId="4A3400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0.000196</w:t>
                  </w:r>
                </w:p>
              </w:tc>
              <w:tc>
                <w:tcPr>
                  <w:tcW w:w="787" w:type="pct"/>
                  <w:vMerge w:val="continue"/>
                  <w:tcBorders>
                    <w:tl2br w:val="nil"/>
                    <w:tr2bl w:val="nil"/>
                  </w:tcBorders>
                  <w:noWrap w:val="0"/>
                  <w:vAlign w:val="center"/>
                </w:tcPr>
                <w:p w14:paraId="6D2321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5" w:type="pct"/>
                  <w:tcBorders>
                    <w:tl2br w:val="nil"/>
                    <w:tr2bl w:val="nil"/>
                  </w:tcBorders>
                  <w:noWrap w:val="0"/>
                  <w:vAlign w:val="center"/>
                </w:tcPr>
                <w:p w14:paraId="064545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554" w:type="pct"/>
                  <w:tcBorders>
                    <w:tl2br w:val="nil"/>
                    <w:tr2bl w:val="nil"/>
                  </w:tcBorders>
                  <w:noWrap w:val="0"/>
                  <w:vAlign w:val="center"/>
                </w:tcPr>
                <w:p w14:paraId="1B52D5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96" w:type="pct"/>
                  <w:tcBorders>
                    <w:tl2br w:val="nil"/>
                    <w:tr2bl w:val="nil"/>
                  </w:tcBorders>
                  <w:noWrap w:val="0"/>
                  <w:vAlign w:val="center"/>
                </w:tcPr>
                <w:p w14:paraId="6584B3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0.000078</w:t>
                  </w:r>
                </w:p>
              </w:tc>
              <w:tc>
                <w:tcPr>
                  <w:tcW w:w="251" w:type="pct"/>
                  <w:vMerge w:val="continue"/>
                  <w:tcBorders>
                    <w:tl2br w:val="nil"/>
                    <w:tr2bl w:val="nil"/>
                  </w:tcBorders>
                  <w:noWrap w:val="0"/>
                  <w:vAlign w:val="center"/>
                </w:tcPr>
                <w:p w14:paraId="368C9D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59F3EEA1">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0" w:hRule="atLeast"/>
                <w:jc w:val="center"/>
              </w:trPr>
              <w:tc>
                <w:tcPr>
                  <w:tcW w:w="303" w:type="pct"/>
                  <w:tcBorders>
                    <w:tl2br w:val="nil"/>
                    <w:tr2bl w:val="nil"/>
                  </w:tcBorders>
                  <w:noWrap w:val="0"/>
                  <w:vAlign w:val="center"/>
                </w:tcPr>
                <w:p w14:paraId="7347B5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w:t>
                  </w:r>
                </w:p>
              </w:tc>
              <w:tc>
                <w:tcPr>
                  <w:tcW w:w="282" w:type="pct"/>
                  <w:tcBorders>
                    <w:tl2br w:val="nil"/>
                    <w:tr2bl w:val="nil"/>
                  </w:tcBorders>
                  <w:noWrap w:val="0"/>
                  <w:vAlign w:val="center"/>
                </w:tcPr>
                <w:p w14:paraId="5DEE13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有组织排放</w:t>
                  </w:r>
                </w:p>
              </w:tc>
              <w:tc>
                <w:tcPr>
                  <w:tcW w:w="403" w:type="pct"/>
                  <w:tcBorders>
                    <w:tl2br w:val="nil"/>
                    <w:tr2bl w:val="nil"/>
                  </w:tcBorders>
                  <w:noWrap w:val="0"/>
                  <w:vAlign w:val="center"/>
                </w:tcPr>
                <w:p w14:paraId="1177CF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w:t>
                  </w:r>
                </w:p>
              </w:tc>
              <w:tc>
                <w:tcPr>
                  <w:tcW w:w="268" w:type="pct"/>
                  <w:tcBorders>
                    <w:tl2br w:val="nil"/>
                    <w:tr2bl w:val="nil"/>
                  </w:tcBorders>
                  <w:noWrap w:val="0"/>
                  <w:vAlign w:val="center"/>
                </w:tcPr>
                <w:p w14:paraId="331733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产污系数法</w:t>
                  </w:r>
                </w:p>
              </w:tc>
              <w:tc>
                <w:tcPr>
                  <w:tcW w:w="436" w:type="pct"/>
                  <w:tcBorders>
                    <w:tl2br w:val="nil"/>
                    <w:tr2bl w:val="nil"/>
                  </w:tcBorders>
                  <w:noWrap w:val="0"/>
                  <w:vAlign w:val="center"/>
                </w:tcPr>
                <w:p w14:paraId="5BB38C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720000</w:t>
                  </w:r>
                </w:p>
              </w:tc>
              <w:tc>
                <w:tcPr>
                  <w:tcW w:w="513" w:type="pct"/>
                  <w:tcBorders>
                    <w:tl2br w:val="nil"/>
                    <w:tr2bl w:val="nil"/>
                  </w:tcBorders>
                  <w:noWrap w:val="0"/>
                  <w:vAlign w:val="center"/>
                </w:tcPr>
                <w:p w14:paraId="2FBBE81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456" w:type="pct"/>
                  <w:tcBorders>
                    <w:tl2br w:val="nil"/>
                    <w:tr2bl w:val="nil"/>
                  </w:tcBorders>
                  <w:noWrap w:val="0"/>
                  <w:vAlign w:val="center"/>
                </w:tcPr>
                <w:p w14:paraId="27D4EF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0.00504</w:t>
                  </w:r>
                </w:p>
              </w:tc>
              <w:tc>
                <w:tcPr>
                  <w:tcW w:w="787" w:type="pct"/>
                  <w:tcBorders>
                    <w:tl2br w:val="nil"/>
                    <w:tr2bl w:val="nil"/>
                  </w:tcBorders>
                  <w:noWrap w:val="0"/>
                  <w:vAlign w:val="center"/>
                </w:tcPr>
                <w:p w14:paraId="577D24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油烟废气经收集后引入油烟净化器处理达标后经生产车间顶部排放。</w:t>
                  </w:r>
                </w:p>
              </w:tc>
              <w:tc>
                <w:tcPr>
                  <w:tcW w:w="345" w:type="pct"/>
                  <w:tcBorders>
                    <w:tl2br w:val="nil"/>
                    <w:tr2bl w:val="nil"/>
                  </w:tcBorders>
                  <w:noWrap w:val="0"/>
                  <w:vAlign w:val="center"/>
                </w:tcPr>
                <w:p w14:paraId="183035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75</w:t>
                  </w:r>
                </w:p>
              </w:tc>
              <w:tc>
                <w:tcPr>
                  <w:tcW w:w="554" w:type="pct"/>
                  <w:tcBorders>
                    <w:tl2br w:val="nil"/>
                    <w:tr2bl w:val="nil"/>
                  </w:tcBorders>
                  <w:noWrap w:val="0"/>
                  <w:vAlign w:val="center"/>
                </w:tcPr>
                <w:p w14:paraId="7E0676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1.75</w:t>
                  </w:r>
                </w:p>
              </w:tc>
              <w:tc>
                <w:tcPr>
                  <w:tcW w:w="396" w:type="pct"/>
                  <w:tcBorders>
                    <w:tl2br w:val="nil"/>
                    <w:tr2bl w:val="nil"/>
                  </w:tcBorders>
                  <w:noWrap w:val="0"/>
                  <w:vAlign w:val="center"/>
                </w:tcPr>
                <w:p w14:paraId="367BE7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0.00126</w:t>
                  </w:r>
                </w:p>
              </w:tc>
              <w:tc>
                <w:tcPr>
                  <w:tcW w:w="251" w:type="pct"/>
                  <w:tcBorders>
                    <w:tl2br w:val="nil"/>
                    <w:tr2bl w:val="nil"/>
                  </w:tcBorders>
                  <w:noWrap w:val="0"/>
                  <w:vAlign w:val="center"/>
                </w:tcPr>
                <w:p w14:paraId="3C8DD2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120</w:t>
                  </w:r>
                </w:p>
              </w:tc>
            </w:tr>
          </w:tbl>
          <w:p w14:paraId="64EE03BE">
            <w:pPr>
              <w:pStyle w:val="35"/>
              <w:adjustRightInd w:val="0"/>
              <w:snapToGrid w:val="0"/>
              <w:spacing w:beforeLines="0" w:afterLines="0" w:line="360" w:lineRule="auto"/>
              <w:ind w:left="0" w:leftChars="0" w:firstLine="0" w:firstLineChars="0"/>
              <w:rPr>
                <w:rFonts w:hint="default"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p>
          <w:p w14:paraId="5003AD22">
            <w:pPr>
              <w:pStyle w:val="35"/>
              <w:adjustRightInd w:val="0"/>
              <w:snapToGrid w:val="0"/>
              <w:spacing w:beforeLines="0" w:afterLines="0" w:line="360" w:lineRule="auto"/>
              <w:ind w:firstLine="48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2、废气处理措施可行性分析</w:t>
            </w:r>
          </w:p>
          <w:p w14:paraId="6AA03202">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①和面粉尘</w:t>
            </w:r>
          </w:p>
          <w:p w14:paraId="29AE99F1">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通过对照《排污许可证申请与核发技术规范食品制造工业—方便食品、食品及饲料添加剂制造工业》（HJ1030.3—2019），参照其“表3-1方便食品制造工业排污单位废气产污环节、污染控制项目、排放形式及污染防治设施一览表”中速冻食品生产-和面废气（颗粒物）的排放形式为无组织，采取的污染防治设施名称及工艺为“加强密封或密闭；收集送除尘装置处理后排放；其他”。本项目和面工序在真空和面机内进行，和面时关闭上盖，使物料在密闭空间内进行充分混合，可有效减少粉尘外溢，因此和面过程无组织颗粒物产生量极少。本项目所采取的废气防治措施以及排放形式均满足《排污许可证申请与核发技术规范食品制造工业—方便食品、食品及饲料添加剂制造工业》（HJ1030.3—2019）相关要求，污染防治措施可行。</w:t>
            </w:r>
          </w:p>
          <w:p w14:paraId="0BA612F4">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②投料粉尘</w:t>
            </w:r>
          </w:p>
          <w:p w14:paraId="0B00606A">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通过对照《排污许可证申请与核发技术规范食品制造工业—方便食品、食品及饲料添加剂制造工业》（HJ1030.3—2019），参照其“表3-1方便食品制造工业排污单位废气产污环节、污染控制项目、排放形式及污染防治设施一览表”中速冻食品生产-装卸料废气（颗粒物）的排放形式为无组织，采取的污染防治设施名称及工艺为“加强密封或密闭；收集送除尘装置处理后排放；其他”。本项目和面车间密闭，采用真空和面机和面，人员搬运物料时注意轻拿轻放，投料时降低面粉投料高度，减小投料速度，投料粉尘无组织排放，沉降在车间内部的粉尘，每天进行清扫，本项目所采取的废气防治措施以及排放形式均满足《排污许可证申请与核发技术规范食品制造工业—方便食品、食品及饲料添加剂制造工业》（HJ1030.3—2019）相关要求，污染防治措施可行。</w:t>
            </w:r>
          </w:p>
          <w:p w14:paraId="3974B7F9">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③污水处理站废气</w:t>
            </w:r>
          </w:p>
          <w:p w14:paraId="0AF67624">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通过对照《排污许可证申请与核发技术规范食品制造工业—方便食品、食品及饲料添加剂制造工业》（HJ1030.3—2019），参照其“表3-1方便食品制造工业排污单位废气产污环节、污染控制项目、排放形式及污染防治设施一览表”中公用单元-污水处理站废气排放形式为无组织，采取的污染防治设施名称及工艺为“产生恶臭区域加罩或加盖；投放除臭剂；集中收集恶臭气体经处理(喷淋塔除臭、活性炭吸附、生物除臭等)后排放；其他”。</w:t>
            </w:r>
            <w:r>
              <w:rPr>
                <w:rFonts w:hint="default" w:ascii="Times New Roman" w:hAnsi="Times New Roman" w:eastAsia="宋体" w:cs="Times New Roman"/>
                <w:color w:val="FF0000"/>
                <w:kern w:val="2"/>
                <w:sz w:val="24"/>
                <w:szCs w:val="24"/>
                <w:highlight w:val="none"/>
                <w:lang w:val="en-US" w:eastAsia="zh-CN" w:bidi="ar-SA"/>
              </w:rPr>
              <w:t>本项目污水处理站恶臭气体以无组织排放，恶臭气体产生的池体均加盖处理，并定期喷洒除臭剂，加强周边绿化。本项目所采取的废气防治措施以及排放形式均满足《排污许可证申请与核发技术规范食品制造工业—方便食品、食品及饲料添加剂制造工业》（HJ1030.3—2019）相关要求，污染防治措施可行。</w:t>
            </w:r>
          </w:p>
          <w:p w14:paraId="198ED3D1">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④油烟</w:t>
            </w:r>
          </w:p>
          <w:p w14:paraId="73686008">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通过对照《排污许可证申请与核发技术规范食品制造工业—方便食品、食品及饲料添加剂制造工业》（HJ1030.3—2019），参照其“表3-1方便食品制造工业排污单位废气产污环节、污染控制项目、排放形式及污染防治设施一览表”中方便面、其他方便食品生产-油炸设备、烹饪设备废气排放形式为有组织，采取的污染防治设施名称及工艺为“静电油烟处理器；湿法油烟处理器(油烟滤清机、水浴式油烟处理器、旋流板塔油烟处理器、文式管油烟处理器)：其他”。本项目油烟废气经收集后引入油烟净化器处理后经 DA001 排放有组织排放，本项目所采取的废气防治措施以及排放形式均满足《排污许可证申请与核发技术规范食品制造工业—方便食品、食品及饲料添加剂制造工业》（HJ1030.3—2019）相关要求，污染防治措施可行。</w:t>
            </w:r>
          </w:p>
          <w:p w14:paraId="5A3C57B3">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3、达标情况分析</w:t>
            </w:r>
          </w:p>
          <w:p w14:paraId="01F0CA33">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投料粉尘：本项目和面间封闭结构有利于粉尘沉降，投料粉尘以无组织形式排放，无组织排放量0.0255t/a，排放速率0.0425kg/h。厂界粉尘（颗粒物）浓度满足《大气污染物综合排放标准》（GB16297-1996）表2无组织排放监控浓度限值要求。</w:t>
            </w:r>
          </w:p>
          <w:p w14:paraId="50C7682B">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污水处理站废气：本项目污水处理站恶臭气体产生的池体均加盖处理，并定期喷洒除臭剂，</w:t>
            </w:r>
            <w:r>
              <w:rPr>
                <w:rFonts w:hint="default" w:ascii="Times New Roman" w:hAnsi="Times New Roman" w:eastAsia="宋体" w:cs="Times New Roman"/>
                <w:color w:val="FF0000"/>
                <w:kern w:val="2"/>
                <w:sz w:val="24"/>
                <w:szCs w:val="24"/>
                <w:highlight w:val="none"/>
                <w:lang w:val="en-US" w:eastAsia="zh-CN" w:bidi="ar-SA"/>
              </w:rPr>
              <w:t>加强周边绿化，</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可以使污水处理站恶臭影响降到最低。本项目污水处理站无组织排放NH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S、臭气浓度满足《恶臭污染物排放标准》(GB14554-1993)表1新扩改建二级标准。</w:t>
            </w:r>
          </w:p>
          <w:p w14:paraId="43A94D4E">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油烟：本项目油烟废气经收集后引入油烟净化器处理后经 DA001 排放有组织排放，油烟排放满足《饮食业油烟排放标准》（试行）（GB18483-2001）中型规模标准限值。</w:t>
            </w:r>
          </w:p>
          <w:p w14:paraId="50AF0392">
            <w:pPr>
              <w:pStyle w:val="35"/>
              <w:adjustRightInd w:val="0"/>
              <w:snapToGrid w:val="0"/>
              <w:spacing w:beforeLines="0" w:afterLines="0" w:line="360" w:lineRule="auto"/>
              <w:ind w:firstLine="48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4、非正常工况排放</w:t>
            </w:r>
          </w:p>
          <w:p w14:paraId="5895B45B">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污染物非正常排放情况为：油烟净化装置发生故障，废气未经处理直接排放。油烟净化装置故障每年发生次数不超过5次。</w:t>
            </w:r>
          </w:p>
          <w:p w14:paraId="0C18F2EC">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大气污染物源强非正常排放核算下表。</w:t>
            </w:r>
          </w:p>
          <w:p w14:paraId="730F5C41">
            <w:pPr>
              <w:spacing w:beforeLines="0" w:afterLine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14:textFill>
                  <w14:solidFill>
                    <w14:schemeClr w14:val="tx1"/>
                  </w14:solidFill>
                </w14:textFill>
              </w:rPr>
              <w:t>大气污染源非正常工况排放核算表</w:t>
            </w:r>
          </w:p>
          <w:tbl>
            <w:tblPr>
              <w:tblStyle w:val="13"/>
              <w:tblW w:w="4998" w:type="pct"/>
              <w:tblInd w:w="-5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747"/>
              <w:gridCol w:w="1502"/>
              <w:gridCol w:w="813"/>
              <w:gridCol w:w="1421"/>
              <w:gridCol w:w="922"/>
              <w:gridCol w:w="1044"/>
              <w:gridCol w:w="809"/>
            </w:tblGrid>
            <w:tr w14:paraId="0CC7F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1057" w:type="pct"/>
                  <w:tcBorders>
                    <w:top w:val="single" w:color="auto" w:sz="12" w:space="0"/>
                    <w:left w:val="nil"/>
                    <w:bottom w:val="single" w:color="auto" w:sz="4" w:space="0"/>
                    <w:right w:val="single" w:color="auto" w:sz="4" w:space="0"/>
                    <w:tl2br w:val="nil"/>
                    <w:tr2bl w:val="nil"/>
                  </w:tcBorders>
                  <w:noWrap w:val="0"/>
                  <w:vAlign w:val="center"/>
                </w:tcPr>
                <w:p w14:paraId="10E0B81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污染源</w:t>
                  </w:r>
                </w:p>
              </w:tc>
              <w:tc>
                <w:tcPr>
                  <w:tcW w:w="909"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2B689C9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非正常排放</w:t>
                  </w:r>
                </w:p>
                <w:p w14:paraId="3219DC9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原因</w:t>
                  </w:r>
                </w:p>
              </w:tc>
              <w:tc>
                <w:tcPr>
                  <w:tcW w:w="492"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2E45E58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w:t>
                  </w:r>
                </w:p>
              </w:tc>
              <w:tc>
                <w:tcPr>
                  <w:tcW w:w="860"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0120D05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非正常排放浓度mg/m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p>
              </w:tc>
              <w:tc>
                <w:tcPr>
                  <w:tcW w:w="558"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4D9BB17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单次持续时间</w:t>
                  </w:r>
                </w:p>
              </w:tc>
              <w:tc>
                <w:tcPr>
                  <w:tcW w:w="632"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3230F3A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年发生</w:t>
                  </w:r>
                </w:p>
                <w:p w14:paraId="732ECF5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频次</w:t>
                  </w:r>
                </w:p>
              </w:tc>
              <w:tc>
                <w:tcPr>
                  <w:tcW w:w="489" w:type="pct"/>
                  <w:tcBorders>
                    <w:top w:val="single" w:color="auto" w:sz="12" w:space="0"/>
                    <w:left w:val="single" w:color="auto" w:sz="4" w:space="0"/>
                    <w:bottom w:val="single" w:color="auto" w:sz="4" w:space="0"/>
                    <w:right w:val="nil"/>
                    <w:tl2br w:val="nil"/>
                    <w:tr2bl w:val="nil"/>
                  </w:tcBorders>
                  <w:noWrap w:val="0"/>
                  <w:vAlign w:val="center"/>
                </w:tcPr>
                <w:p w14:paraId="4E3BEEC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应对</w:t>
                  </w:r>
                </w:p>
                <w:p w14:paraId="2C38A68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措施</w:t>
                  </w:r>
                </w:p>
              </w:tc>
            </w:tr>
            <w:tr w14:paraId="0B870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1057" w:type="pct"/>
                  <w:tcBorders>
                    <w:top w:val="single" w:color="auto" w:sz="4" w:space="0"/>
                    <w:left w:val="nil"/>
                    <w:bottom w:val="single" w:color="auto" w:sz="12" w:space="0"/>
                    <w:right w:val="single" w:color="auto" w:sz="4" w:space="0"/>
                    <w:tl2br w:val="nil"/>
                    <w:tr2bl w:val="nil"/>
                  </w:tcBorders>
                  <w:noWrap w:val="0"/>
                  <w:vAlign w:val="center"/>
                </w:tcPr>
                <w:p w14:paraId="563392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w:t>
                  </w:r>
                </w:p>
              </w:tc>
              <w:tc>
                <w:tcPr>
                  <w:tcW w:w="909"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7E6483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油烟净化器</w:t>
                  </w:r>
                </w:p>
              </w:tc>
              <w:tc>
                <w:tcPr>
                  <w:tcW w:w="492"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4B0609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w:t>
                  </w:r>
                </w:p>
              </w:tc>
              <w:tc>
                <w:tcPr>
                  <w:tcW w:w="860"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64A4CC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558"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12E1C7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≤1h</w:t>
                  </w:r>
                </w:p>
              </w:tc>
              <w:tc>
                <w:tcPr>
                  <w:tcW w:w="632"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6EFF12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≤5次</w:t>
                  </w:r>
                </w:p>
              </w:tc>
              <w:tc>
                <w:tcPr>
                  <w:tcW w:w="489" w:type="pct"/>
                  <w:tcBorders>
                    <w:top w:val="single" w:color="auto" w:sz="4" w:space="0"/>
                    <w:left w:val="single" w:color="auto" w:sz="4" w:space="0"/>
                    <w:bottom w:val="single" w:color="auto" w:sz="12" w:space="0"/>
                    <w:right w:val="nil"/>
                    <w:tl2br w:val="nil"/>
                    <w:tr2bl w:val="nil"/>
                  </w:tcBorders>
                  <w:noWrap w:val="0"/>
                  <w:vAlign w:val="center"/>
                </w:tcPr>
                <w:p w14:paraId="2C8318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加强日常检修</w:t>
                  </w:r>
                </w:p>
              </w:tc>
            </w:tr>
          </w:tbl>
          <w:p w14:paraId="4C67F59D">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14:paraId="44560B08">
            <w:pPr>
              <w:pStyle w:val="35"/>
              <w:adjustRightInd w:val="0"/>
              <w:snapToGrid w:val="0"/>
              <w:spacing w:beforeLines="0" w:afterLines="0" w:line="360" w:lineRule="auto"/>
              <w:ind w:firstLine="48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5、排放口基本情况</w:t>
            </w:r>
          </w:p>
          <w:p w14:paraId="544180F1">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本项目废气排放口的基本信息见下表。</w:t>
            </w:r>
          </w:p>
          <w:p w14:paraId="6DD7594B">
            <w:pPr>
              <w:adjustRightInd w:val="0"/>
              <w:snapToGrid w:val="0"/>
              <w:spacing w:beforeLines="0" w:afterLine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color w:val="000000" w:themeColor="text1"/>
                <w:sz w:val="24"/>
                <w:szCs w:val="24"/>
                <w14:textFill>
                  <w14:solidFill>
                    <w14:schemeClr w14:val="tx1"/>
                  </w14:solidFill>
                </w14:textFill>
              </w:rPr>
              <w:t>项目废气排放口基本情况表</w:t>
            </w:r>
          </w:p>
          <w:tbl>
            <w:tblPr>
              <w:tblStyle w:val="1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861"/>
              <w:gridCol w:w="512"/>
              <w:gridCol w:w="694"/>
              <w:gridCol w:w="1470"/>
              <w:gridCol w:w="1515"/>
              <w:gridCol w:w="720"/>
              <w:gridCol w:w="930"/>
              <w:gridCol w:w="690"/>
              <w:gridCol w:w="428"/>
            </w:tblGrid>
            <w:tr w14:paraId="37BDF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4" w:type="pct"/>
                  <w:vMerge w:val="restart"/>
                  <w:tcBorders>
                    <w:tl2br w:val="nil"/>
                    <w:tr2bl w:val="nil"/>
                  </w:tcBorders>
                  <w:noWrap w:val="0"/>
                  <w:vAlign w:val="center"/>
                </w:tcPr>
                <w:p w14:paraId="392D2A7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序号</w:t>
                  </w:r>
                </w:p>
              </w:tc>
              <w:tc>
                <w:tcPr>
                  <w:tcW w:w="521" w:type="pct"/>
                  <w:vMerge w:val="restart"/>
                  <w:tcBorders>
                    <w:tl2br w:val="nil"/>
                    <w:tr2bl w:val="nil"/>
                  </w:tcBorders>
                  <w:noWrap w:val="0"/>
                  <w:vAlign w:val="center"/>
                </w:tcPr>
                <w:p w14:paraId="71A447C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排放口编号</w:t>
                  </w:r>
                </w:p>
              </w:tc>
              <w:tc>
                <w:tcPr>
                  <w:tcW w:w="310" w:type="pct"/>
                  <w:vMerge w:val="restart"/>
                  <w:tcBorders>
                    <w:tl2br w:val="nil"/>
                    <w:tr2bl w:val="nil"/>
                  </w:tcBorders>
                  <w:noWrap w:val="0"/>
                  <w:vAlign w:val="center"/>
                </w:tcPr>
                <w:p w14:paraId="1357EFF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排放口名称</w:t>
                  </w:r>
                </w:p>
              </w:tc>
              <w:tc>
                <w:tcPr>
                  <w:tcW w:w="420" w:type="pct"/>
                  <w:vMerge w:val="restart"/>
                  <w:tcBorders>
                    <w:tl2br w:val="nil"/>
                    <w:tr2bl w:val="nil"/>
                  </w:tcBorders>
                  <w:noWrap w:val="0"/>
                  <w:vAlign w:val="center"/>
                </w:tcPr>
                <w:p w14:paraId="3065A1B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污染物种类</w:t>
                  </w:r>
                </w:p>
              </w:tc>
              <w:tc>
                <w:tcPr>
                  <w:tcW w:w="1807" w:type="pct"/>
                  <w:gridSpan w:val="2"/>
                  <w:tcBorders>
                    <w:tl2br w:val="nil"/>
                    <w:tr2bl w:val="nil"/>
                  </w:tcBorders>
                  <w:noWrap w:val="0"/>
                  <w:vAlign w:val="center"/>
                </w:tcPr>
                <w:p w14:paraId="10B2723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排放口地理坐标</w:t>
                  </w:r>
                </w:p>
              </w:tc>
              <w:tc>
                <w:tcPr>
                  <w:tcW w:w="436" w:type="pct"/>
                  <w:vMerge w:val="restart"/>
                  <w:tcBorders>
                    <w:tl2br w:val="nil"/>
                    <w:tr2bl w:val="nil"/>
                  </w:tcBorders>
                  <w:noWrap w:val="0"/>
                  <w:vAlign w:val="center"/>
                </w:tcPr>
                <w:p w14:paraId="13669B9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排气筒高度</w:t>
                  </w:r>
                </w:p>
                <w:p w14:paraId="531C433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（m）</w:t>
                  </w:r>
                </w:p>
              </w:tc>
              <w:tc>
                <w:tcPr>
                  <w:tcW w:w="563" w:type="pct"/>
                  <w:vMerge w:val="restart"/>
                  <w:tcBorders>
                    <w:tl2br w:val="nil"/>
                    <w:tr2bl w:val="nil"/>
                  </w:tcBorders>
                  <w:noWrap w:val="0"/>
                  <w:vAlign w:val="center"/>
                </w:tcPr>
                <w:p w14:paraId="4ED3295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排气筒出口内径（m）</w:t>
                  </w:r>
                </w:p>
              </w:tc>
              <w:tc>
                <w:tcPr>
                  <w:tcW w:w="417" w:type="pct"/>
                  <w:vMerge w:val="restart"/>
                  <w:tcBorders>
                    <w:tl2br w:val="nil"/>
                    <w:tr2bl w:val="nil"/>
                  </w:tcBorders>
                  <w:noWrap w:val="0"/>
                  <w:vAlign w:val="center"/>
                </w:tcPr>
                <w:p w14:paraId="160FFA4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排气温度</w:t>
                  </w:r>
                </w:p>
                <w:p w14:paraId="48DE11D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w:t>
                  </w:r>
                </w:p>
              </w:tc>
              <w:tc>
                <w:tcPr>
                  <w:tcW w:w="259" w:type="pct"/>
                  <w:vMerge w:val="restart"/>
                  <w:tcBorders>
                    <w:tl2br w:val="nil"/>
                    <w:tr2bl w:val="nil"/>
                  </w:tcBorders>
                  <w:noWrap w:val="0"/>
                  <w:vAlign w:val="center"/>
                </w:tcPr>
                <w:p w14:paraId="7EDB3F8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其他信息</w:t>
                  </w:r>
                </w:p>
              </w:tc>
            </w:tr>
            <w:tr w14:paraId="287BE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4" w:type="pct"/>
                  <w:vMerge w:val="continue"/>
                  <w:tcBorders>
                    <w:tl2br w:val="nil"/>
                    <w:tr2bl w:val="nil"/>
                  </w:tcBorders>
                  <w:noWrap w:val="0"/>
                  <w:vAlign w:val="center"/>
                </w:tcPr>
                <w:p w14:paraId="77A19CD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p>
              </w:tc>
              <w:tc>
                <w:tcPr>
                  <w:tcW w:w="521" w:type="pct"/>
                  <w:vMerge w:val="continue"/>
                  <w:tcBorders>
                    <w:tl2br w:val="nil"/>
                    <w:tr2bl w:val="nil"/>
                  </w:tcBorders>
                  <w:noWrap w:val="0"/>
                  <w:vAlign w:val="center"/>
                </w:tcPr>
                <w:p w14:paraId="3115662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p>
              </w:tc>
              <w:tc>
                <w:tcPr>
                  <w:tcW w:w="310" w:type="pct"/>
                  <w:vMerge w:val="continue"/>
                  <w:tcBorders>
                    <w:tl2br w:val="nil"/>
                    <w:tr2bl w:val="nil"/>
                  </w:tcBorders>
                  <w:noWrap w:val="0"/>
                  <w:vAlign w:val="center"/>
                </w:tcPr>
                <w:p w14:paraId="3D71372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p>
              </w:tc>
              <w:tc>
                <w:tcPr>
                  <w:tcW w:w="420" w:type="pct"/>
                  <w:vMerge w:val="continue"/>
                  <w:tcBorders>
                    <w:tl2br w:val="nil"/>
                    <w:tr2bl w:val="nil"/>
                  </w:tcBorders>
                  <w:noWrap w:val="0"/>
                  <w:vAlign w:val="center"/>
                </w:tcPr>
                <w:p w14:paraId="2D81632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p>
              </w:tc>
              <w:tc>
                <w:tcPr>
                  <w:tcW w:w="890" w:type="pct"/>
                  <w:tcBorders>
                    <w:tl2br w:val="nil"/>
                    <w:tr2bl w:val="nil"/>
                  </w:tcBorders>
                  <w:noWrap w:val="0"/>
                  <w:vAlign w:val="center"/>
                </w:tcPr>
                <w:p w14:paraId="7D9E863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经度</w:t>
                  </w:r>
                </w:p>
              </w:tc>
              <w:tc>
                <w:tcPr>
                  <w:tcW w:w="917" w:type="pct"/>
                  <w:tcBorders>
                    <w:tl2br w:val="nil"/>
                    <w:tr2bl w:val="nil"/>
                  </w:tcBorders>
                  <w:noWrap w:val="0"/>
                  <w:vAlign w:val="center"/>
                </w:tcPr>
                <w:p w14:paraId="0DEDC54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纬度</w:t>
                  </w:r>
                </w:p>
              </w:tc>
              <w:tc>
                <w:tcPr>
                  <w:tcW w:w="436" w:type="pct"/>
                  <w:vMerge w:val="continue"/>
                  <w:tcBorders>
                    <w:tl2br w:val="nil"/>
                    <w:tr2bl w:val="nil"/>
                  </w:tcBorders>
                  <w:noWrap w:val="0"/>
                  <w:vAlign w:val="center"/>
                </w:tcPr>
                <w:p w14:paraId="1C406A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63" w:type="pct"/>
                  <w:vMerge w:val="continue"/>
                  <w:tcBorders>
                    <w:tl2br w:val="nil"/>
                    <w:tr2bl w:val="nil"/>
                  </w:tcBorders>
                  <w:noWrap w:val="0"/>
                  <w:vAlign w:val="center"/>
                </w:tcPr>
                <w:p w14:paraId="0DA9FC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17" w:type="pct"/>
                  <w:vMerge w:val="continue"/>
                  <w:tcBorders>
                    <w:tl2br w:val="nil"/>
                    <w:tr2bl w:val="nil"/>
                  </w:tcBorders>
                  <w:noWrap w:val="0"/>
                  <w:vAlign w:val="center"/>
                </w:tcPr>
                <w:p w14:paraId="2D9771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59" w:type="pct"/>
                  <w:vMerge w:val="continue"/>
                  <w:tcBorders>
                    <w:tl2br w:val="nil"/>
                    <w:tr2bl w:val="nil"/>
                  </w:tcBorders>
                  <w:noWrap w:val="0"/>
                  <w:vAlign w:val="center"/>
                </w:tcPr>
                <w:p w14:paraId="3C06BF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16FED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64" w:type="pct"/>
                  <w:tcBorders>
                    <w:tl2br w:val="nil"/>
                    <w:tr2bl w:val="nil"/>
                  </w:tcBorders>
                  <w:noWrap w:val="0"/>
                  <w:vAlign w:val="center"/>
                </w:tcPr>
                <w:p w14:paraId="711806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521" w:type="pct"/>
                  <w:tcBorders>
                    <w:tl2br w:val="nil"/>
                    <w:tr2bl w:val="nil"/>
                  </w:tcBorders>
                  <w:noWrap w:val="0"/>
                  <w:vAlign w:val="center"/>
                </w:tcPr>
                <w:p w14:paraId="2AA8FC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DA001</w:t>
                  </w:r>
                </w:p>
              </w:tc>
              <w:tc>
                <w:tcPr>
                  <w:tcW w:w="310" w:type="pct"/>
                  <w:tcBorders>
                    <w:tl2br w:val="nil"/>
                    <w:tr2bl w:val="nil"/>
                  </w:tcBorders>
                  <w:noWrap w:val="0"/>
                  <w:vAlign w:val="center"/>
                </w:tcPr>
                <w:p w14:paraId="787272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排气筒</w:t>
                  </w:r>
                </w:p>
              </w:tc>
              <w:tc>
                <w:tcPr>
                  <w:tcW w:w="420" w:type="pct"/>
                  <w:tcBorders>
                    <w:tl2br w:val="nil"/>
                    <w:tr2bl w:val="nil"/>
                  </w:tcBorders>
                  <w:noWrap w:val="0"/>
                  <w:vAlign w:val="center"/>
                </w:tcPr>
                <w:p w14:paraId="0FD528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油烟</w:t>
                  </w:r>
                </w:p>
              </w:tc>
              <w:tc>
                <w:tcPr>
                  <w:tcW w:w="890" w:type="pct"/>
                  <w:tcBorders>
                    <w:tl2br w:val="nil"/>
                    <w:tr2bl w:val="nil"/>
                  </w:tcBorders>
                  <w:noWrap w:val="0"/>
                  <w:vAlign w:val="center"/>
                </w:tcPr>
                <w:p w14:paraId="66F7C2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131.14590168</w:t>
                  </w:r>
                </w:p>
              </w:tc>
              <w:tc>
                <w:tcPr>
                  <w:tcW w:w="917" w:type="pct"/>
                  <w:tcBorders>
                    <w:tl2br w:val="nil"/>
                    <w:tr2bl w:val="nil"/>
                  </w:tcBorders>
                  <w:noWrap w:val="0"/>
                  <w:vAlign w:val="center"/>
                </w:tcPr>
                <w:p w14:paraId="670BF6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46.55054920</w:t>
                  </w:r>
                </w:p>
              </w:tc>
              <w:tc>
                <w:tcPr>
                  <w:tcW w:w="436" w:type="pct"/>
                  <w:tcBorders>
                    <w:tl2br w:val="nil"/>
                    <w:tr2bl w:val="nil"/>
                  </w:tcBorders>
                  <w:noWrap w:val="0"/>
                  <w:vAlign w:val="center"/>
                </w:tcPr>
                <w:p w14:paraId="21D2BC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563" w:type="pct"/>
                  <w:tcBorders>
                    <w:tl2br w:val="nil"/>
                    <w:tr2bl w:val="nil"/>
                  </w:tcBorders>
                  <w:noWrap w:val="0"/>
                  <w:vAlign w:val="center"/>
                </w:tcPr>
                <w:p w14:paraId="5303B2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w:t>
                  </w:r>
                </w:p>
              </w:tc>
              <w:tc>
                <w:tcPr>
                  <w:tcW w:w="417" w:type="pct"/>
                  <w:tcBorders>
                    <w:tl2br w:val="nil"/>
                    <w:tr2bl w:val="nil"/>
                  </w:tcBorders>
                  <w:noWrap w:val="0"/>
                  <w:vAlign w:val="center"/>
                </w:tcPr>
                <w:p w14:paraId="3E4560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259" w:type="pct"/>
                  <w:tcBorders>
                    <w:tl2br w:val="nil"/>
                    <w:tr2bl w:val="nil"/>
                  </w:tcBorders>
                  <w:noWrap w:val="0"/>
                  <w:vAlign w:val="center"/>
                </w:tcPr>
                <w:p w14:paraId="730F81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bl>
          <w:p w14:paraId="4A7A34C7">
            <w:pPr>
              <w:pStyle w:val="35"/>
              <w:adjustRightInd w:val="0"/>
              <w:snapToGrid w:val="0"/>
              <w:spacing w:beforeLines="0" w:afterLines="0" w:line="360" w:lineRule="auto"/>
              <w:ind w:firstLine="48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6、监测计划</w:t>
            </w:r>
          </w:p>
          <w:p w14:paraId="2B607420">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根据《排污许可证申请与核发技术规范 食品制造工业—方便食品、食品及 </w:t>
            </w:r>
          </w:p>
          <w:p w14:paraId="0D70F7EF">
            <w:pPr>
              <w:pStyle w:val="35"/>
              <w:adjustRightInd w:val="0"/>
              <w:snapToGrid w:val="0"/>
              <w:spacing w:beforeLines="0" w:afterLines="0" w:line="360" w:lineRule="auto"/>
              <w:ind w:left="0" w:leftChars="0" w:firstLine="0" w:firstLineChars="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饲料添加剂制造工业》（HJ 1030.3—2019）及《排污单位自行监测技术指南总则》 （HJ 819-2017）、《排污单位自行监测技术指南 食品制造》（HJ1084-2020），</w:t>
            </w:r>
          </w:p>
          <w:p w14:paraId="66644BC5">
            <w:pPr>
              <w:pStyle w:val="35"/>
              <w:adjustRightInd w:val="0"/>
              <w:snapToGrid w:val="0"/>
              <w:spacing w:beforeLines="0" w:afterLines="0" w:line="360" w:lineRule="auto"/>
              <w:ind w:left="0" w:leftChars="0" w:firstLine="0" w:firstLineChars="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项目投入运行后，需定期项目污染源开展监测活动。本项目废气监测计划见下表。</w:t>
            </w:r>
          </w:p>
          <w:p w14:paraId="48963865">
            <w:pPr>
              <w:pStyle w:val="35"/>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表4-5本项目废气监测计划一览表</w:t>
            </w:r>
          </w:p>
          <w:tbl>
            <w:tblPr>
              <w:tblStyle w:val="13"/>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1940"/>
              <w:gridCol w:w="1306"/>
              <w:gridCol w:w="1322"/>
              <w:gridCol w:w="2677"/>
            </w:tblGrid>
            <w:tr w14:paraId="5A8CF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0" w:type="pct"/>
                  <w:tcBorders>
                    <w:top w:val="single" w:color="auto" w:sz="12" w:space="0"/>
                    <w:left w:val="nil"/>
                    <w:bottom w:val="single" w:color="auto" w:sz="4" w:space="0"/>
                    <w:right w:val="single" w:color="auto" w:sz="4" w:space="0"/>
                    <w:tl2br w:val="nil"/>
                    <w:tr2bl w:val="nil"/>
                  </w:tcBorders>
                  <w:noWrap/>
                  <w:vAlign w:val="center"/>
                </w:tcPr>
                <w:p w14:paraId="1AFCC38E">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类别</w:t>
                  </w:r>
                </w:p>
              </w:tc>
              <w:tc>
                <w:tcPr>
                  <w:tcW w:w="1175" w:type="pct"/>
                  <w:tcBorders>
                    <w:top w:val="single" w:color="auto" w:sz="12" w:space="0"/>
                    <w:left w:val="single" w:color="auto" w:sz="4" w:space="0"/>
                    <w:bottom w:val="single" w:color="auto" w:sz="4" w:space="0"/>
                    <w:right w:val="single" w:color="auto" w:sz="4" w:space="0"/>
                    <w:tl2br w:val="nil"/>
                    <w:tr2bl w:val="nil"/>
                  </w:tcBorders>
                  <w:noWrap/>
                  <w:vAlign w:val="center"/>
                </w:tcPr>
                <w:p w14:paraId="5D2B25F7">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w:t>
                  </w:r>
                </w:p>
              </w:tc>
              <w:tc>
                <w:tcPr>
                  <w:tcW w:w="791" w:type="pct"/>
                  <w:tcBorders>
                    <w:top w:val="single" w:color="auto" w:sz="12" w:space="0"/>
                    <w:left w:val="single" w:color="auto" w:sz="4" w:space="0"/>
                    <w:bottom w:val="single" w:color="auto" w:sz="4" w:space="0"/>
                    <w:right w:val="single" w:color="auto" w:sz="4" w:space="0"/>
                    <w:tl2br w:val="nil"/>
                    <w:tr2bl w:val="nil"/>
                  </w:tcBorders>
                  <w:noWrap/>
                  <w:vAlign w:val="center"/>
                </w:tcPr>
                <w:p w14:paraId="39358EDE">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监测频率</w:t>
                  </w:r>
                </w:p>
              </w:tc>
              <w:tc>
                <w:tcPr>
                  <w:tcW w:w="801" w:type="pct"/>
                  <w:tcBorders>
                    <w:top w:val="single" w:color="auto" w:sz="12" w:space="0"/>
                    <w:left w:val="single" w:color="auto" w:sz="4" w:space="0"/>
                    <w:bottom w:val="single" w:color="auto" w:sz="4" w:space="0"/>
                    <w:right w:val="single" w:color="auto" w:sz="4" w:space="0"/>
                    <w:tl2br w:val="nil"/>
                    <w:tr2bl w:val="nil"/>
                  </w:tcBorders>
                  <w:noWrap/>
                  <w:vAlign w:val="center"/>
                </w:tcPr>
                <w:p w14:paraId="214717B2">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监测方式</w:t>
                  </w:r>
                </w:p>
              </w:tc>
              <w:tc>
                <w:tcPr>
                  <w:tcW w:w="1622" w:type="pct"/>
                  <w:tcBorders>
                    <w:top w:val="single" w:color="auto" w:sz="12" w:space="0"/>
                    <w:left w:val="single" w:color="auto" w:sz="4" w:space="0"/>
                    <w:bottom w:val="single" w:color="auto" w:sz="4" w:space="0"/>
                    <w:right w:val="nil"/>
                    <w:tl2br w:val="nil"/>
                    <w:tr2bl w:val="nil"/>
                  </w:tcBorders>
                  <w:noWrap/>
                  <w:vAlign w:val="center"/>
                </w:tcPr>
                <w:p w14:paraId="16219BFB">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监测项目</w:t>
                  </w:r>
                </w:p>
              </w:tc>
            </w:tr>
            <w:tr w14:paraId="425574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0" w:type="pct"/>
                  <w:tcBorders>
                    <w:top w:val="single" w:color="auto" w:sz="4" w:space="0"/>
                    <w:left w:val="nil"/>
                    <w:bottom w:val="single" w:color="auto" w:sz="4" w:space="0"/>
                    <w:right w:val="single" w:color="auto" w:sz="4" w:space="0"/>
                    <w:tl2br w:val="nil"/>
                    <w:tr2bl w:val="nil"/>
                  </w:tcBorders>
                  <w:noWrap/>
                  <w:vAlign w:val="center"/>
                </w:tcPr>
                <w:p w14:paraId="53B88277">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有组织</w:t>
                  </w: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1175" w:type="pct"/>
                  <w:tcBorders>
                    <w:top w:val="single" w:color="auto" w:sz="4" w:space="0"/>
                    <w:left w:val="single" w:color="auto" w:sz="4" w:space="0"/>
                    <w:bottom w:val="single" w:color="auto" w:sz="4" w:space="0"/>
                    <w:right w:val="single" w:color="auto" w:sz="4" w:space="0"/>
                    <w:tl2br w:val="nil"/>
                    <w:tr2bl w:val="nil"/>
                  </w:tcBorders>
                  <w:noWrap/>
                  <w:vAlign w:val="center"/>
                </w:tcPr>
                <w:p w14:paraId="34E1E57A">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DA001</w:t>
                  </w:r>
                </w:p>
              </w:tc>
              <w:tc>
                <w:tcPr>
                  <w:tcW w:w="791" w:type="pct"/>
                  <w:tcBorders>
                    <w:top w:val="single" w:color="auto" w:sz="4" w:space="0"/>
                    <w:left w:val="single" w:color="auto" w:sz="4" w:space="0"/>
                    <w:bottom w:val="single" w:color="auto" w:sz="4" w:space="0"/>
                    <w:right w:val="single" w:color="auto" w:sz="4" w:space="0"/>
                    <w:tl2br w:val="nil"/>
                    <w:tr2bl w:val="nil"/>
                  </w:tcBorders>
                  <w:noWrap/>
                  <w:vAlign w:val="center"/>
                </w:tcPr>
                <w:p w14:paraId="4C2EDF99">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1次/</w:t>
                  </w:r>
                  <w:r>
                    <w:rPr>
                      <w:rFonts w:hint="default" w:ascii="Times New Roman" w:hAnsi="Times New Roman" w:eastAsia="宋体" w:cs="Times New Roman"/>
                      <w:color w:val="000000" w:themeColor="text1"/>
                      <w:sz w:val="21"/>
                      <w:szCs w:val="21"/>
                      <w:lang w:eastAsia="zh-CN"/>
                      <w14:textFill>
                        <w14:solidFill>
                          <w14:schemeClr w14:val="tx1"/>
                        </w14:solidFill>
                      </w14:textFill>
                    </w:rPr>
                    <w:t>半</w:t>
                  </w:r>
                  <w:r>
                    <w:rPr>
                      <w:rFonts w:hint="default" w:ascii="Times New Roman" w:hAnsi="Times New Roman" w:eastAsia="宋体" w:cs="Times New Roman"/>
                      <w:color w:val="000000" w:themeColor="text1"/>
                      <w:sz w:val="21"/>
                      <w:szCs w:val="21"/>
                      <w14:textFill>
                        <w14:solidFill>
                          <w14:schemeClr w14:val="tx1"/>
                        </w14:solidFill>
                      </w14:textFill>
                    </w:rPr>
                    <w:t>年</w:t>
                  </w:r>
                </w:p>
              </w:tc>
              <w:tc>
                <w:tcPr>
                  <w:tcW w:w="801" w:type="pct"/>
                  <w:tcBorders>
                    <w:top w:val="single" w:color="auto" w:sz="4" w:space="0"/>
                    <w:left w:val="single" w:color="auto" w:sz="4" w:space="0"/>
                    <w:bottom w:val="single" w:color="auto" w:sz="4" w:space="0"/>
                    <w:right w:val="single" w:color="auto" w:sz="4" w:space="0"/>
                    <w:tl2br w:val="nil"/>
                    <w:tr2bl w:val="nil"/>
                  </w:tcBorders>
                  <w:noWrap/>
                  <w:vAlign w:val="center"/>
                </w:tcPr>
                <w:p w14:paraId="0F7998AA">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手工监测</w:t>
                  </w:r>
                </w:p>
              </w:tc>
              <w:tc>
                <w:tcPr>
                  <w:tcW w:w="1622" w:type="pct"/>
                  <w:tcBorders>
                    <w:top w:val="single" w:color="auto" w:sz="4" w:space="0"/>
                    <w:left w:val="single" w:color="auto" w:sz="4" w:space="0"/>
                    <w:bottom w:val="single" w:color="auto" w:sz="4" w:space="0"/>
                    <w:right w:val="nil"/>
                    <w:tl2br w:val="nil"/>
                    <w:tr2bl w:val="nil"/>
                  </w:tcBorders>
                  <w:noWrap/>
                  <w:vAlign w:val="center"/>
                </w:tcPr>
                <w:p w14:paraId="13CD82AA">
                  <w:pPr>
                    <w:adjustRightInd w:val="0"/>
                    <w:snapToGrid w:val="0"/>
                    <w:spacing w:line="240" w:lineRule="atLeas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油烟</w:t>
                  </w:r>
                </w:p>
              </w:tc>
            </w:tr>
            <w:tr w14:paraId="640DB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0" w:type="pct"/>
                  <w:tcBorders>
                    <w:top w:val="single" w:color="auto" w:sz="4" w:space="0"/>
                    <w:left w:val="nil"/>
                    <w:bottom w:val="single" w:color="auto" w:sz="4" w:space="0"/>
                    <w:right w:val="single" w:color="auto" w:sz="4" w:space="0"/>
                    <w:tl2br w:val="nil"/>
                    <w:tr2bl w:val="nil"/>
                  </w:tcBorders>
                  <w:noWrap/>
                  <w:vAlign w:val="center"/>
                </w:tcPr>
                <w:p w14:paraId="457FFCC6">
                  <w:pPr>
                    <w:adjustRightInd w:val="0"/>
                    <w:snapToGrid w:val="0"/>
                    <w:spacing w:line="240" w:lineRule="atLeast"/>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无组织废气</w:t>
                  </w:r>
                </w:p>
              </w:tc>
              <w:tc>
                <w:tcPr>
                  <w:tcW w:w="1175" w:type="pct"/>
                  <w:tcBorders>
                    <w:top w:val="single" w:color="auto" w:sz="4" w:space="0"/>
                    <w:left w:val="single" w:color="auto" w:sz="4" w:space="0"/>
                    <w:bottom w:val="single" w:color="auto" w:sz="4" w:space="0"/>
                    <w:right w:val="single" w:color="auto" w:sz="4" w:space="0"/>
                    <w:tl2br w:val="nil"/>
                    <w:tr2bl w:val="nil"/>
                  </w:tcBorders>
                  <w:noWrap/>
                  <w:vAlign w:val="center"/>
                </w:tcPr>
                <w:p w14:paraId="3245D26A">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上风向 1 个监测点，下风向 3 个监测点</w:t>
                  </w:r>
                </w:p>
              </w:tc>
              <w:tc>
                <w:tcPr>
                  <w:tcW w:w="791" w:type="pct"/>
                  <w:tcBorders>
                    <w:top w:val="single" w:color="auto" w:sz="4" w:space="0"/>
                    <w:left w:val="single" w:color="auto" w:sz="4" w:space="0"/>
                    <w:bottom w:val="single" w:color="auto" w:sz="4" w:space="0"/>
                    <w:right w:val="single" w:color="auto" w:sz="4" w:space="0"/>
                    <w:tl2br w:val="nil"/>
                    <w:tr2bl w:val="nil"/>
                  </w:tcBorders>
                  <w:noWrap/>
                  <w:vAlign w:val="center"/>
                </w:tcPr>
                <w:p w14:paraId="79D2E4F6">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1次/</w:t>
                  </w:r>
                  <w:r>
                    <w:rPr>
                      <w:rFonts w:hint="default" w:ascii="Times New Roman" w:hAnsi="Times New Roman" w:eastAsia="宋体" w:cs="Times New Roman"/>
                      <w:color w:val="000000" w:themeColor="text1"/>
                      <w:sz w:val="21"/>
                      <w:szCs w:val="21"/>
                      <w:lang w:eastAsia="zh-CN"/>
                      <w14:textFill>
                        <w14:solidFill>
                          <w14:schemeClr w14:val="tx1"/>
                        </w14:solidFill>
                      </w14:textFill>
                    </w:rPr>
                    <w:t>半</w:t>
                  </w:r>
                  <w:r>
                    <w:rPr>
                      <w:rFonts w:hint="default" w:ascii="Times New Roman" w:hAnsi="Times New Roman" w:eastAsia="宋体" w:cs="Times New Roman"/>
                      <w:color w:val="000000" w:themeColor="text1"/>
                      <w:sz w:val="21"/>
                      <w:szCs w:val="21"/>
                      <w14:textFill>
                        <w14:solidFill>
                          <w14:schemeClr w14:val="tx1"/>
                        </w14:solidFill>
                      </w14:textFill>
                    </w:rPr>
                    <w:t>年</w:t>
                  </w:r>
                </w:p>
              </w:tc>
              <w:tc>
                <w:tcPr>
                  <w:tcW w:w="801" w:type="pct"/>
                  <w:tcBorders>
                    <w:top w:val="single" w:color="auto" w:sz="4" w:space="0"/>
                    <w:left w:val="single" w:color="auto" w:sz="4" w:space="0"/>
                    <w:bottom w:val="single" w:color="auto" w:sz="4" w:space="0"/>
                    <w:right w:val="single" w:color="auto" w:sz="4" w:space="0"/>
                    <w:tl2br w:val="nil"/>
                    <w:tr2bl w:val="nil"/>
                  </w:tcBorders>
                  <w:noWrap/>
                  <w:vAlign w:val="center"/>
                </w:tcPr>
                <w:p w14:paraId="20CD957F">
                  <w:pPr>
                    <w:adjustRightInd w:val="0"/>
                    <w:snapToGrid w:val="0"/>
                    <w:spacing w:line="240" w:lineRule="atLeas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手工监测</w:t>
                  </w:r>
                </w:p>
              </w:tc>
              <w:tc>
                <w:tcPr>
                  <w:tcW w:w="1622" w:type="pct"/>
                  <w:tcBorders>
                    <w:top w:val="single" w:color="auto" w:sz="4" w:space="0"/>
                    <w:left w:val="single" w:color="auto" w:sz="4" w:space="0"/>
                    <w:bottom w:val="single" w:color="auto" w:sz="4" w:space="0"/>
                    <w:right w:val="nil"/>
                    <w:tl2br w:val="nil"/>
                    <w:tr2bl w:val="nil"/>
                  </w:tcBorders>
                  <w:noWrap/>
                  <w:vAlign w:val="center"/>
                </w:tcPr>
                <w:p w14:paraId="75A520AE">
                  <w:pPr>
                    <w:adjustRightInd w:val="0"/>
                    <w:snapToGrid w:val="0"/>
                    <w:spacing w:line="240" w:lineRule="atLeas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颗粒物、臭气浓度、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r>
                    <w:rPr>
                      <w:rFonts w:hint="default" w:ascii="Times New Roman" w:hAnsi="Times New Roman" w:eastAsia="宋体" w:cs="Times New Roman"/>
                      <w:color w:val="FF0000"/>
                      <w:sz w:val="21"/>
                      <w:szCs w:val="21"/>
                      <w:vertAlign w:val="baseline"/>
                      <w:lang w:val="en-US" w:eastAsia="zh-CN"/>
                    </w:rPr>
                    <w:t>非甲烷总烃</w:t>
                  </w:r>
                </w:p>
              </w:tc>
            </w:tr>
            <w:tr w14:paraId="29358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0" w:type="pct"/>
                  <w:tcBorders>
                    <w:top w:val="single" w:color="auto" w:sz="4" w:space="0"/>
                    <w:left w:val="nil"/>
                    <w:bottom w:val="single" w:color="auto" w:sz="12" w:space="0"/>
                    <w:right w:val="single" w:color="auto" w:sz="4" w:space="0"/>
                    <w:tl2br w:val="nil"/>
                    <w:tr2bl w:val="nil"/>
                  </w:tcBorders>
                  <w:noWrap/>
                  <w:vAlign w:val="center"/>
                </w:tcPr>
                <w:p w14:paraId="0B08B242">
                  <w:pPr>
                    <w:adjustRightInd w:val="0"/>
                    <w:snapToGrid w:val="0"/>
                    <w:spacing w:line="240" w:lineRule="atLeast"/>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无组织废气</w:t>
                  </w:r>
                </w:p>
              </w:tc>
              <w:tc>
                <w:tcPr>
                  <w:tcW w:w="1175" w:type="pct"/>
                  <w:tcBorders>
                    <w:top w:val="single" w:color="auto" w:sz="4" w:space="0"/>
                    <w:left w:val="single" w:color="auto" w:sz="4" w:space="0"/>
                    <w:bottom w:val="single" w:color="auto" w:sz="12" w:space="0"/>
                    <w:right w:val="single" w:color="auto" w:sz="4" w:space="0"/>
                    <w:tl2br w:val="nil"/>
                    <w:tr2bl w:val="nil"/>
                  </w:tcBorders>
                  <w:noWrap/>
                  <w:vAlign w:val="center"/>
                </w:tcPr>
                <w:p w14:paraId="4597EE73">
                  <w:pPr>
                    <w:adjustRightInd w:val="0"/>
                    <w:snapToGrid w:val="0"/>
                    <w:spacing w:line="240" w:lineRule="atLeast"/>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厂房外设置一个点位</w:t>
                  </w:r>
                </w:p>
              </w:tc>
              <w:tc>
                <w:tcPr>
                  <w:tcW w:w="791" w:type="pct"/>
                  <w:tcBorders>
                    <w:top w:val="single" w:color="auto" w:sz="4" w:space="0"/>
                    <w:left w:val="single" w:color="auto" w:sz="4" w:space="0"/>
                    <w:bottom w:val="single" w:color="auto" w:sz="12" w:space="0"/>
                    <w:right w:val="single" w:color="auto" w:sz="4" w:space="0"/>
                    <w:tl2br w:val="nil"/>
                    <w:tr2bl w:val="nil"/>
                  </w:tcBorders>
                  <w:noWrap/>
                  <w:vAlign w:val="center"/>
                </w:tcPr>
                <w:p w14:paraId="0A69F526">
                  <w:pPr>
                    <w:adjustRightInd w:val="0"/>
                    <w:snapToGrid w:val="0"/>
                    <w:spacing w:line="24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1次/年</w:t>
                  </w:r>
                </w:p>
              </w:tc>
              <w:tc>
                <w:tcPr>
                  <w:tcW w:w="801" w:type="pct"/>
                  <w:tcBorders>
                    <w:top w:val="single" w:color="auto" w:sz="4" w:space="0"/>
                    <w:left w:val="single" w:color="auto" w:sz="4" w:space="0"/>
                    <w:bottom w:val="single" w:color="auto" w:sz="12" w:space="0"/>
                    <w:right w:val="single" w:color="auto" w:sz="4" w:space="0"/>
                    <w:tl2br w:val="nil"/>
                    <w:tr2bl w:val="nil"/>
                  </w:tcBorders>
                  <w:noWrap/>
                  <w:vAlign w:val="center"/>
                </w:tcPr>
                <w:p w14:paraId="4E692738">
                  <w:pPr>
                    <w:adjustRightInd w:val="0"/>
                    <w:snapToGrid w:val="0"/>
                    <w:spacing w:line="24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手工监测</w:t>
                  </w:r>
                </w:p>
              </w:tc>
              <w:tc>
                <w:tcPr>
                  <w:tcW w:w="1622" w:type="pct"/>
                  <w:tcBorders>
                    <w:top w:val="single" w:color="auto" w:sz="4" w:space="0"/>
                    <w:left w:val="single" w:color="auto" w:sz="4" w:space="0"/>
                    <w:bottom w:val="single" w:color="auto" w:sz="12" w:space="0"/>
                    <w:right w:val="nil"/>
                    <w:tl2br w:val="nil"/>
                    <w:tr2bl w:val="nil"/>
                  </w:tcBorders>
                  <w:noWrap/>
                  <w:vAlign w:val="center"/>
                </w:tcPr>
                <w:p w14:paraId="56468FA7">
                  <w:pPr>
                    <w:adjustRightInd w:val="0"/>
                    <w:snapToGrid w:val="0"/>
                    <w:spacing w:line="240" w:lineRule="atLeast"/>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非甲烷总烃</w:t>
                  </w:r>
                </w:p>
              </w:tc>
            </w:tr>
          </w:tbl>
          <w:p w14:paraId="288421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p>
          <w:p w14:paraId="65C50ABC">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二、废水</w:t>
            </w:r>
          </w:p>
          <w:p w14:paraId="30757528">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1、源强分析</w:t>
            </w:r>
          </w:p>
          <w:p w14:paraId="3E2C2E7A">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（1）生活污水</w:t>
            </w:r>
          </w:p>
          <w:p w14:paraId="36AAEE08">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本项目生活污水按用水量80%计算，污水总量为0.96t/d，288t/a，生活污水主要污染物为COD、BOD</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、SS</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氨氮</w:t>
            </w:r>
            <w:r>
              <w:rPr>
                <w:rFonts w:hint="eastAsia" w:ascii="Times New Roman" w:hAnsi="Times New Roman" w:cs="Times New Roman"/>
                <w:color w:val="0000FF"/>
                <w:kern w:val="2"/>
                <w:sz w:val="24"/>
                <w:szCs w:val="24"/>
                <w:highlight w:val="none"/>
                <w:lang w:val="en-US" w:eastAsia="zh-CN" w:bidi="ar-SA"/>
              </w:rPr>
              <w:t>和LAS</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，污染物产生浓度分别为COD：300mg/L、NH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-N：25mg/L、BOD</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：150mg/L、SS：200mg/L</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FF"/>
                <w:kern w:val="2"/>
                <w:sz w:val="24"/>
                <w:szCs w:val="24"/>
                <w:highlight w:val="none"/>
                <w:lang w:val="en-US" w:eastAsia="zh-CN" w:bidi="ar-SA"/>
              </w:rPr>
              <w:t>LAS：20mg/L</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，则COD产生量为0.086t/a、BOD</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产生量为0.043t/a、SS产生量为0.058t/a、氨氮0.007t/a</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FF"/>
                <w:kern w:val="2"/>
                <w:sz w:val="24"/>
                <w:szCs w:val="24"/>
                <w:highlight w:val="none"/>
                <w:lang w:val="en-US" w:eastAsia="zh-CN" w:bidi="ar-SA"/>
              </w:rPr>
              <w:t>LAS为0.006t/a</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71938481">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（2）生产废水</w:t>
            </w:r>
          </w:p>
          <w:p w14:paraId="04C92ABC">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①肉类清洗、蔬菜清洗、设备清洗和地面清洗废水</w:t>
            </w:r>
          </w:p>
          <w:p w14:paraId="189BA6E8">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本项目清洗废水中COD、氨氮、总氮、总磷浓度参照《排放源统计调查产排污核算方法和系数手册》（生态环境部公告 2021年 第24号）中“1432 速冻食品制造行业系数手册”中1432速冻食品制造行业系数表。本项目年生产900吨速冻食品，规模等级属于“＜3万吨/年”，则本项目产污系数为：化学需氧量3528.93克/吨-产品；氨氮48.5克/吨-产品；总氮77.51克/吨-产品；总磷24.48克/吨-产品。</w:t>
            </w:r>
          </w:p>
          <w:p w14:paraId="2CD7F358">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本项目产品为900t速冻食品，清洗废水产生量为</w:t>
            </w:r>
            <w:r>
              <w:rPr>
                <w:rFonts w:hint="default" w:ascii="Times New Roman" w:hAnsi="Times New Roman" w:eastAsia="宋体" w:cs="Times New Roman"/>
                <w:color w:val="FF0000"/>
                <w:kern w:val="2"/>
                <w:sz w:val="24"/>
                <w:szCs w:val="24"/>
                <w:highlight w:val="none"/>
                <w:lang w:val="en-US" w:eastAsia="zh-CN" w:bidi="ar-SA"/>
              </w:rPr>
              <w:t>1876.5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t/a，经计算，污染物产生浓度化学需氧量</w:t>
            </w:r>
            <w:r>
              <w:rPr>
                <w:rFonts w:hint="default" w:ascii="Times New Roman" w:hAnsi="Times New Roman" w:eastAsia="宋体" w:cs="Times New Roman"/>
                <w:color w:val="FF0000"/>
                <w:kern w:val="2"/>
                <w:sz w:val="24"/>
                <w:szCs w:val="24"/>
                <w:highlight w:val="none"/>
                <w:lang w:val="en-US" w:eastAsia="zh-CN" w:bidi="ar-SA"/>
              </w:rPr>
              <w:t>1692.15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mg/L、氨氮</w:t>
            </w:r>
            <w:r>
              <w:rPr>
                <w:rFonts w:hint="default" w:ascii="Times New Roman" w:hAnsi="Times New Roman" w:eastAsia="宋体" w:cs="Times New Roman"/>
                <w:color w:val="FF0000"/>
                <w:kern w:val="2"/>
                <w:sz w:val="24"/>
                <w:szCs w:val="24"/>
                <w:highlight w:val="none"/>
                <w:lang w:val="en-US" w:eastAsia="zh-CN" w:bidi="ar-SA"/>
              </w:rPr>
              <w:t>23.448</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mg/L、总氮</w:t>
            </w:r>
            <w:r>
              <w:rPr>
                <w:rFonts w:hint="default" w:ascii="Times New Roman" w:hAnsi="Times New Roman" w:eastAsia="宋体" w:cs="Times New Roman"/>
                <w:color w:val="FF0000"/>
                <w:kern w:val="2"/>
                <w:sz w:val="24"/>
                <w:szCs w:val="24"/>
                <w:highlight w:val="none"/>
                <w:lang w:val="en-US" w:eastAsia="zh-CN" w:bidi="ar-SA"/>
              </w:rPr>
              <w:t>37.303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mg/L、总磷</w:t>
            </w:r>
            <w:r>
              <w:rPr>
                <w:rFonts w:hint="default" w:ascii="Times New Roman" w:hAnsi="Times New Roman" w:eastAsia="宋体" w:cs="Times New Roman"/>
                <w:color w:val="FF0000"/>
                <w:kern w:val="2"/>
                <w:sz w:val="24"/>
                <w:szCs w:val="24"/>
                <w:highlight w:val="none"/>
                <w:lang w:val="en-US" w:eastAsia="zh-CN" w:bidi="ar-SA"/>
              </w:rPr>
              <w:t>11.724</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mg/L；SS、BOD</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、动植物油</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产生情况参考《屠宰与肉类加工废水治理工程技术》（HJ2004-2010）肉类加工废水水质设计取值，SS1000mg/L、BOD</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1000mg/L、动植物油100mg/L。</w:t>
            </w:r>
          </w:p>
          <w:p w14:paraId="653972F7">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②实验室清洗废水：检验器皿清洗第3次以后的废水，废水产生量按用水量的0.9计，则检验室清洗废水量约0.009t/d，2.7t/a。该废水主要污染因子产生浓度为COD300mg/L，SS100mg/L，氨氮20mg/L。</w:t>
            </w:r>
          </w:p>
          <w:p w14:paraId="11DB83EB">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③纯水制备废水：本项目纯水制备效率为85%，产生15%的制备废水，新鲜水用水量为0.553t/d，165.9t/a。生产过程纯水制备废水产生量为0.083t/d，24.9t/a。该废水主要污染因子产生浓度为COD300mg/L，SS100mg/L，氨氮20mg/L。</w:t>
            </w:r>
          </w:p>
          <w:p w14:paraId="09FB9D1A">
            <w:pPr>
              <w:pStyle w:val="35"/>
              <w:adjustRightInd w:val="0"/>
              <w:snapToGrid w:val="0"/>
              <w:spacing w:beforeLines="0" w:afterLines="0" w:line="360" w:lineRule="auto"/>
              <w:ind w:firstLine="480"/>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本项目综合废水</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污染物处理效率参考《排放源统计调查产排污核算方法和系数手册》中1432速冻食品制造行业系数表中末端治理技术（物理处理法+A/0）中平均去除效率（COD：97.72%、NH</w:t>
            </w:r>
            <w:r>
              <w:rPr>
                <w:rFonts w:hint="default"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-N：94.11%、总氮：94.89%、总磷：62.05%、动植物油：80.72）。</w:t>
            </w:r>
            <w:r>
              <w:rPr>
                <w:rFonts w:hint="default" w:ascii="Times New Roman" w:hAnsi="Times New Roman" w:eastAsia="宋体" w:cs="Times New Roman"/>
                <w:color w:val="FF0000"/>
                <w:kern w:val="2"/>
                <w:sz w:val="24"/>
                <w:szCs w:val="24"/>
                <w:highlight w:val="none"/>
                <w:lang w:val="en-US" w:eastAsia="zh-CN" w:bidi="ar-SA"/>
              </w:rPr>
              <w:t>本项目对污水处理设施处理效率采取保守核算，同时结合《</w:t>
            </w:r>
            <w:r>
              <w:rPr>
                <w:rFonts w:hint="default" w:ascii="Times New Roman" w:hAnsi="Times New Roman" w:eastAsia="宋体" w:cs="Times New Roman"/>
                <w:color w:val="FF0000"/>
                <w:kern w:val="2"/>
                <w:sz w:val="24"/>
                <w:szCs w:val="24"/>
                <w:highlight w:val="none"/>
                <w:lang w:val="en-US" w:eastAsia="zh-CN" w:bidi="ar-SA"/>
              </w:rPr>
              <w:fldChar w:fldCharType="begin"/>
            </w:r>
            <w:r>
              <w:rPr>
                <w:rFonts w:hint="default" w:ascii="Times New Roman" w:hAnsi="Times New Roman" w:eastAsia="宋体" w:cs="Times New Roman"/>
                <w:color w:val="FF0000"/>
                <w:kern w:val="2"/>
                <w:sz w:val="24"/>
                <w:szCs w:val="24"/>
                <w:highlight w:val="none"/>
                <w:lang w:val="en-US" w:eastAsia="zh-CN" w:bidi="ar-SA"/>
              </w:rPr>
              <w:instrText xml:space="preserve"> HYPERLINK "http://www.baidu.com/link?url=0iLwuyOYYv3T2dkQIazIfGwSk5L3eaGoDjPQSGQ1aS6skDl6SSzJQN01u3JsPAAkDhOTDKKAa6mkzDlOh9dlQa" \t "https://www.baidu.com/_blank" </w:instrText>
            </w:r>
            <w:r>
              <w:rPr>
                <w:rFonts w:hint="default" w:ascii="Times New Roman" w:hAnsi="Times New Roman" w:eastAsia="宋体" w:cs="Times New Roman"/>
                <w:color w:val="FF0000"/>
                <w:kern w:val="2"/>
                <w:sz w:val="24"/>
                <w:szCs w:val="24"/>
                <w:highlight w:val="none"/>
                <w:lang w:val="en-US" w:eastAsia="zh-CN" w:bidi="ar-SA"/>
              </w:rPr>
              <w:fldChar w:fldCharType="separate"/>
            </w:r>
            <w:r>
              <w:rPr>
                <w:rFonts w:hint="default" w:ascii="Times New Roman" w:hAnsi="Times New Roman" w:eastAsia="宋体" w:cs="Times New Roman"/>
                <w:color w:val="FF0000"/>
                <w:kern w:val="2"/>
                <w:sz w:val="24"/>
                <w:szCs w:val="24"/>
                <w:highlight w:val="none"/>
                <w:lang w:val="en-US" w:eastAsia="zh-CN" w:bidi="ar-SA"/>
              </w:rPr>
              <w:t>厌氧缺氧好氧活性污泥法污水处理工程技术规范</w:t>
            </w:r>
            <w:r>
              <w:rPr>
                <w:rFonts w:hint="default" w:ascii="Times New Roman" w:hAnsi="Times New Roman" w:eastAsia="宋体" w:cs="Times New Roman"/>
                <w:color w:val="FF0000"/>
                <w:kern w:val="2"/>
                <w:sz w:val="24"/>
                <w:szCs w:val="24"/>
                <w:highlight w:val="none"/>
                <w:lang w:val="en-US" w:eastAsia="zh-CN" w:bidi="ar-SA"/>
              </w:rPr>
              <w:fldChar w:fldCharType="end"/>
            </w:r>
            <w:r>
              <w:rPr>
                <w:rFonts w:hint="default" w:ascii="Times New Roman" w:hAnsi="Times New Roman" w:eastAsia="宋体" w:cs="Times New Roman"/>
                <w:color w:val="FF0000"/>
                <w:kern w:val="2"/>
                <w:sz w:val="24"/>
                <w:szCs w:val="24"/>
                <w:highlight w:val="none"/>
                <w:lang w:val="en-US" w:eastAsia="zh-CN" w:bidi="ar-SA"/>
              </w:rPr>
              <w:t>》（HJ576-2011）中“表4缺氧好氧工艺主要设计参数”，本项目处理效率取值见下表。</w:t>
            </w:r>
          </w:p>
          <w:p w14:paraId="7F1DEE4B">
            <w:pPr>
              <w:pStyle w:val="35"/>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表4-6 污水处理站处理效率表</w:t>
            </w:r>
          </w:p>
          <w:tbl>
            <w:tblPr>
              <w:tblStyle w:val="14"/>
              <w:tblW w:w="49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6"/>
              <w:gridCol w:w="685"/>
              <w:gridCol w:w="866"/>
              <w:gridCol w:w="700"/>
              <w:gridCol w:w="1017"/>
              <w:gridCol w:w="817"/>
              <w:gridCol w:w="833"/>
              <w:gridCol w:w="841"/>
              <w:gridCol w:w="540"/>
            </w:tblGrid>
            <w:tr w14:paraId="762D8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147" w:type="pct"/>
                  <w:vMerge w:val="restart"/>
                  <w:noWrap w:val="0"/>
                  <w:vAlign w:val="center"/>
                </w:tcPr>
                <w:p w14:paraId="12A1DA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项目</w:t>
                  </w:r>
                </w:p>
              </w:tc>
              <w:tc>
                <w:tcPr>
                  <w:tcW w:w="3852" w:type="pct"/>
                  <w:gridSpan w:val="8"/>
                  <w:noWrap w:val="0"/>
                  <w:vAlign w:val="center"/>
                </w:tcPr>
                <w:p w14:paraId="2C688E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 xml:space="preserve">各污染物处理效率% </w:t>
                  </w:r>
                </w:p>
              </w:tc>
            </w:tr>
            <w:tr w14:paraId="619EB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pct"/>
                  <w:vMerge w:val="continue"/>
                  <w:noWrap w:val="0"/>
                  <w:vAlign w:val="center"/>
                </w:tcPr>
                <w:p w14:paraId="3B6D8C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p>
              </w:tc>
              <w:tc>
                <w:tcPr>
                  <w:tcW w:w="418" w:type="pct"/>
                  <w:noWrap w:val="0"/>
                  <w:vAlign w:val="center"/>
                </w:tcPr>
                <w:p w14:paraId="39EE52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COD</w:t>
                  </w:r>
                </w:p>
              </w:tc>
              <w:tc>
                <w:tcPr>
                  <w:tcW w:w="529" w:type="pct"/>
                  <w:noWrap w:val="0"/>
                  <w:vAlign w:val="center"/>
                </w:tcPr>
                <w:p w14:paraId="3FCDA2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BOD</w:t>
                  </w:r>
                  <w:r>
                    <w:rPr>
                      <w:rFonts w:hint="default" w:ascii="Times New Roman" w:hAnsi="Times New Roman" w:eastAsia="宋体" w:cs="Times New Roman"/>
                      <w:b w:val="0"/>
                      <w:bCs/>
                      <w:color w:val="FF0000"/>
                      <w:sz w:val="21"/>
                      <w:szCs w:val="21"/>
                      <w:vertAlign w:val="subscript"/>
                      <w:lang w:val="en-US" w:eastAsia="zh-CN"/>
                    </w:rPr>
                    <w:t>5</w:t>
                  </w:r>
                </w:p>
              </w:tc>
              <w:tc>
                <w:tcPr>
                  <w:tcW w:w="428" w:type="pct"/>
                  <w:noWrap w:val="0"/>
                  <w:vAlign w:val="center"/>
                </w:tcPr>
                <w:p w14:paraId="3CFA24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SS</w:t>
                  </w:r>
                </w:p>
              </w:tc>
              <w:tc>
                <w:tcPr>
                  <w:tcW w:w="622" w:type="pct"/>
                  <w:noWrap w:val="0"/>
                  <w:vAlign w:val="center"/>
                </w:tcPr>
                <w:p w14:paraId="49D7E0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NH</w:t>
                  </w:r>
                  <w:r>
                    <w:rPr>
                      <w:rFonts w:hint="default" w:ascii="Times New Roman" w:hAnsi="Times New Roman" w:eastAsia="宋体" w:cs="Times New Roman"/>
                      <w:b w:val="0"/>
                      <w:bCs/>
                      <w:color w:val="FF0000"/>
                      <w:sz w:val="21"/>
                      <w:szCs w:val="21"/>
                      <w:vertAlign w:val="subscript"/>
                      <w:lang w:val="en-US" w:eastAsia="zh-CN"/>
                    </w:rPr>
                    <w:t>3</w:t>
                  </w:r>
                  <w:r>
                    <w:rPr>
                      <w:rFonts w:hint="default" w:ascii="Times New Roman" w:hAnsi="Times New Roman" w:eastAsia="宋体" w:cs="Times New Roman"/>
                      <w:b w:val="0"/>
                      <w:bCs/>
                      <w:color w:val="FF0000"/>
                      <w:sz w:val="21"/>
                      <w:szCs w:val="21"/>
                      <w:vertAlign w:val="baseline"/>
                      <w:lang w:val="en-US" w:eastAsia="zh-CN"/>
                    </w:rPr>
                    <w:t>-N</w:t>
                  </w:r>
                </w:p>
              </w:tc>
              <w:tc>
                <w:tcPr>
                  <w:tcW w:w="499" w:type="pct"/>
                  <w:noWrap w:val="0"/>
                  <w:vAlign w:val="center"/>
                </w:tcPr>
                <w:p w14:paraId="14A6C6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TN</w:t>
                  </w:r>
                </w:p>
              </w:tc>
              <w:tc>
                <w:tcPr>
                  <w:tcW w:w="509" w:type="pct"/>
                  <w:noWrap w:val="0"/>
                  <w:vAlign w:val="center"/>
                </w:tcPr>
                <w:p w14:paraId="7579B9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TP</w:t>
                  </w:r>
                </w:p>
              </w:tc>
              <w:tc>
                <w:tcPr>
                  <w:tcW w:w="514" w:type="pct"/>
                  <w:noWrap w:val="0"/>
                  <w:vAlign w:val="center"/>
                </w:tcPr>
                <w:p w14:paraId="5E48C5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动植物油</w:t>
                  </w:r>
                </w:p>
              </w:tc>
              <w:tc>
                <w:tcPr>
                  <w:tcW w:w="330" w:type="pct"/>
                  <w:noWrap w:val="0"/>
                  <w:vAlign w:val="center"/>
                </w:tcPr>
                <w:p w14:paraId="4E3CB6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FF"/>
                      <w:sz w:val="21"/>
                      <w:szCs w:val="21"/>
                      <w:vertAlign w:val="baseline"/>
                      <w:lang w:val="en-US" w:eastAsia="zh-CN"/>
                    </w:rPr>
                  </w:pPr>
                  <w:r>
                    <w:rPr>
                      <w:rFonts w:hint="eastAsia" w:ascii="Times New Roman" w:hAnsi="Times New Roman" w:eastAsia="宋体" w:cs="Times New Roman"/>
                      <w:b w:val="0"/>
                      <w:bCs/>
                      <w:color w:val="0000FF"/>
                      <w:sz w:val="21"/>
                      <w:szCs w:val="21"/>
                      <w:vertAlign w:val="baseline"/>
                      <w:lang w:val="en-US" w:eastAsia="zh-CN"/>
                    </w:rPr>
                    <w:t>LAS</w:t>
                  </w:r>
                </w:p>
              </w:tc>
            </w:tr>
            <w:tr w14:paraId="7E884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147" w:type="pct"/>
                  <w:noWrap w:val="0"/>
                  <w:vAlign w:val="center"/>
                </w:tcPr>
                <w:p w14:paraId="658715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val="en-US" w:eastAsia="zh-CN"/>
                    </w:rPr>
                    <w:fldChar w:fldCharType="begin"/>
                  </w:r>
                  <w:r>
                    <w:rPr>
                      <w:rFonts w:hint="default" w:ascii="Times New Roman" w:hAnsi="Times New Roman" w:eastAsia="宋体" w:cs="Times New Roman"/>
                      <w:color w:val="FF0000"/>
                      <w:sz w:val="21"/>
                      <w:szCs w:val="21"/>
                      <w:lang w:val="en-US" w:eastAsia="zh-CN"/>
                    </w:rPr>
                    <w:instrText xml:space="preserve"> HYPERLINK "http://www.baidu.com/link?url=0iLwuyOYYv3T2dkQIazIfGwSk5L3eaGoDjPQSGQ1aS6skDl6SSzJQN01u3JsPAAkDhOTDKKAa6mkzDlOh9dlQa" \t "https://www.baidu.com/_blank" </w:instrText>
                  </w:r>
                  <w:r>
                    <w:rPr>
                      <w:rFonts w:hint="default" w:ascii="Times New Roman" w:hAnsi="Times New Roman" w:eastAsia="宋体" w:cs="Times New Roman"/>
                      <w:color w:val="FF0000"/>
                      <w:sz w:val="21"/>
                      <w:szCs w:val="21"/>
                      <w:lang w:val="en-US" w:eastAsia="zh-CN"/>
                    </w:rPr>
                    <w:fldChar w:fldCharType="separate"/>
                  </w:r>
                  <w:r>
                    <w:rPr>
                      <w:rFonts w:hint="default" w:ascii="Times New Roman" w:hAnsi="Times New Roman" w:eastAsia="宋体" w:cs="Times New Roman"/>
                      <w:color w:val="FF0000"/>
                      <w:sz w:val="21"/>
                      <w:szCs w:val="21"/>
                      <w:lang w:val="en-US" w:eastAsia="zh-CN"/>
                    </w:rPr>
                    <w:t>厌氧缺氧好氧活性污泥法污水处理工程技术规范</w:t>
                  </w:r>
                  <w:r>
                    <w:rPr>
                      <w:rFonts w:hint="default" w:ascii="Times New Roman" w:hAnsi="Times New Roman" w:eastAsia="宋体" w:cs="Times New Roman"/>
                      <w:color w:val="FF0000"/>
                      <w:sz w:val="21"/>
                      <w:szCs w:val="21"/>
                      <w:lang w:val="en-US" w:eastAsia="zh-CN"/>
                    </w:rPr>
                    <w:fldChar w:fldCharType="end"/>
                  </w:r>
                  <w:r>
                    <w:rPr>
                      <w:rFonts w:hint="default" w:ascii="Times New Roman" w:hAnsi="Times New Roman" w:eastAsia="宋体" w:cs="Times New Roman"/>
                      <w:color w:val="FF0000"/>
                      <w:sz w:val="21"/>
                      <w:szCs w:val="21"/>
                      <w:lang w:val="en-US" w:eastAsia="zh-CN"/>
                    </w:rPr>
                    <w:t>》（HJ576-2011）表4</w:t>
                  </w:r>
                </w:p>
              </w:tc>
              <w:tc>
                <w:tcPr>
                  <w:tcW w:w="418" w:type="pct"/>
                  <w:noWrap w:val="0"/>
                  <w:vAlign w:val="center"/>
                </w:tcPr>
                <w:p w14:paraId="7F69CA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w:t>
                  </w:r>
                </w:p>
              </w:tc>
              <w:tc>
                <w:tcPr>
                  <w:tcW w:w="529" w:type="pct"/>
                  <w:noWrap w:val="0"/>
                  <w:vAlign w:val="center"/>
                </w:tcPr>
                <w:p w14:paraId="5B9302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90~95</w:t>
                  </w:r>
                </w:p>
              </w:tc>
              <w:tc>
                <w:tcPr>
                  <w:tcW w:w="428" w:type="pct"/>
                  <w:noWrap w:val="0"/>
                  <w:vAlign w:val="center"/>
                </w:tcPr>
                <w:p w14:paraId="7AD91E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w:t>
                  </w:r>
                </w:p>
              </w:tc>
              <w:tc>
                <w:tcPr>
                  <w:tcW w:w="622" w:type="pct"/>
                  <w:noWrap w:val="0"/>
                  <w:vAlign w:val="center"/>
                </w:tcPr>
                <w:p w14:paraId="238C19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85~95</w:t>
                  </w:r>
                </w:p>
              </w:tc>
              <w:tc>
                <w:tcPr>
                  <w:tcW w:w="499" w:type="pct"/>
                  <w:noWrap w:val="0"/>
                  <w:vAlign w:val="center"/>
                </w:tcPr>
                <w:p w14:paraId="710F76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w:t>
                  </w:r>
                </w:p>
              </w:tc>
              <w:tc>
                <w:tcPr>
                  <w:tcW w:w="509" w:type="pct"/>
                  <w:noWrap w:val="0"/>
                  <w:vAlign w:val="center"/>
                </w:tcPr>
                <w:p w14:paraId="4FEF28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60~85</w:t>
                  </w:r>
                </w:p>
              </w:tc>
              <w:tc>
                <w:tcPr>
                  <w:tcW w:w="514" w:type="pct"/>
                  <w:noWrap w:val="0"/>
                  <w:vAlign w:val="center"/>
                </w:tcPr>
                <w:p w14:paraId="267EA1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w:t>
                  </w:r>
                </w:p>
              </w:tc>
              <w:tc>
                <w:tcPr>
                  <w:tcW w:w="330" w:type="pct"/>
                  <w:noWrap w:val="0"/>
                  <w:vAlign w:val="center"/>
                </w:tcPr>
                <w:p w14:paraId="31CB70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FF"/>
                      <w:sz w:val="21"/>
                      <w:szCs w:val="21"/>
                      <w:vertAlign w:val="baseline"/>
                      <w:lang w:val="en-US" w:eastAsia="zh-CN"/>
                    </w:rPr>
                  </w:pPr>
                  <w:r>
                    <w:rPr>
                      <w:rFonts w:hint="eastAsia" w:ascii="Times New Roman" w:hAnsi="Times New Roman" w:eastAsia="宋体" w:cs="Times New Roman"/>
                      <w:b w:val="0"/>
                      <w:bCs/>
                      <w:color w:val="0000FF"/>
                      <w:sz w:val="21"/>
                      <w:szCs w:val="21"/>
                      <w:vertAlign w:val="baseline"/>
                      <w:lang w:val="en-US" w:eastAsia="zh-CN"/>
                    </w:rPr>
                    <w:t>/</w:t>
                  </w:r>
                </w:p>
              </w:tc>
            </w:tr>
            <w:tr w14:paraId="36CEF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147" w:type="pct"/>
                  <w:noWrap w:val="0"/>
                  <w:vAlign w:val="center"/>
                </w:tcPr>
                <w:p w14:paraId="2086A5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排放源统计调查产排污核算方法和系数手册</w:t>
                  </w:r>
                </w:p>
              </w:tc>
              <w:tc>
                <w:tcPr>
                  <w:tcW w:w="418" w:type="pct"/>
                  <w:noWrap w:val="0"/>
                  <w:vAlign w:val="center"/>
                </w:tcPr>
                <w:p w14:paraId="524254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97.72</w:t>
                  </w:r>
                </w:p>
              </w:tc>
              <w:tc>
                <w:tcPr>
                  <w:tcW w:w="529" w:type="pct"/>
                  <w:noWrap w:val="0"/>
                  <w:vAlign w:val="center"/>
                </w:tcPr>
                <w:p w14:paraId="381686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c>
                <w:tcPr>
                  <w:tcW w:w="428" w:type="pct"/>
                  <w:noWrap w:val="0"/>
                  <w:vAlign w:val="center"/>
                </w:tcPr>
                <w:p w14:paraId="59E481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c>
                <w:tcPr>
                  <w:tcW w:w="622" w:type="pct"/>
                  <w:noWrap w:val="0"/>
                  <w:vAlign w:val="center"/>
                </w:tcPr>
                <w:p w14:paraId="17B132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94.11</w:t>
                  </w:r>
                </w:p>
              </w:tc>
              <w:tc>
                <w:tcPr>
                  <w:tcW w:w="499" w:type="pct"/>
                  <w:noWrap w:val="0"/>
                  <w:vAlign w:val="center"/>
                </w:tcPr>
                <w:p w14:paraId="52EA21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94.89</w:t>
                  </w:r>
                </w:p>
              </w:tc>
              <w:tc>
                <w:tcPr>
                  <w:tcW w:w="509" w:type="pct"/>
                  <w:noWrap w:val="0"/>
                  <w:vAlign w:val="center"/>
                </w:tcPr>
                <w:p w14:paraId="181352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62.05</w:t>
                  </w:r>
                </w:p>
              </w:tc>
              <w:tc>
                <w:tcPr>
                  <w:tcW w:w="514" w:type="pct"/>
                  <w:noWrap w:val="0"/>
                  <w:vAlign w:val="center"/>
                </w:tcPr>
                <w:p w14:paraId="6CFA1D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80.72</w:t>
                  </w:r>
                </w:p>
              </w:tc>
              <w:tc>
                <w:tcPr>
                  <w:tcW w:w="330" w:type="pct"/>
                  <w:noWrap w:val="0"/>
                  <w:vAlign w:val="center"/>
                </w:tcPr>
                <w:p w14:paraId="4CD2D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w:t>
                  </w:r>
                </w:p>
              </w:tc>
            </w:tr>
            <w:tr w14:paraId="62861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147" w:type="pct"/>
                  <w:noWrap w:val="0"/>
                  <w:vAlign w:val="center"/>
                </w:tcPr>
                <w:p w14:paraId="7071B6C8">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项目处理效率取值</w:t>
                  </w:r>
                </w:p>
              </w:tc>
              <w:tc>
                <w:tcPr>
                  <w:tcW w:w="418" w:type="pct"/>
                  <w:noWrap w:val="0"/>
                  <w:vAlign w:val="center"/>
                </w:tcPr>
                <w:p w14:paraId="0BEB2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85</w:t>
                  </w:r>
                </w:p>
              </w:tc>
              <w:tc>
                <w:tcPr>
                  <w:tcW w:w="529" w:type="pct"/>
                  <w:noWrap w:val="0"/>
                  <w:vAlign w:val="center"/>
                </w:tcPr>
                <w:p w14:paraId="292124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85</w:t>
                  </w:r>
                </w:p>
              </w:tc>
              <w:tc>
                <w:tcPr>
                  <w:tcW w:w="428" w:type="pct"/>
                  <w:noWrap w:val="0"/>
                  <w:vAlign w:val="center"/>
                </w:tcPr>
                <w:p w14:paraId="109DD9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85</w:t>
                  </w:r>
                </w:p>
              </w:tc>
              <w:tc>
                <w:tcPr>
                  <w:tcW w:w="622" w:type="pct"/>
                  <w:noWrap w:val="0"/>
                  <w:vAlign w:val="center"/>
                </w:tcPr>
                <w:p w14:paraId="38B737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65</w:t>
                  </w:r>
                </w:p>
              </w:tc>
              <w:tc>
                <w:tcPr>
                  <w:tcW w:w="499" w:type="pct"/>
                  <w:noWrap w:val="0"/>
                  <w:vAlign w:val="center"/>
                </w:tcPr>
                <w:p w14:paraId="465E45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65</w:t>
                  </w:r>
                </w:p>
              </w:tc>
              <w:tc>
                <w:tcPr>
                  <w:tcW w:w="509" w:type="pct"/>
                  <w:noWrap w:val="0"/>
                  <w:vAlign w:val="center"/>
                </w:tcPr>
                <w:p w14:paraId="518E17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62.05</w:t>
                  </w:r>
                </w:p>
              </w:tc>
              <w:tc>
                <w:tcPr>
                  <w:tcW w:w="514" w:type="pct"/>
                  <w:noWrap w:val="0"/>
                  <w:vAlign w:val="center"/>
                </w:tcPr>
                <w:p w14:paraId="4758EF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80.72</w:t>
                  </w:r>
                </w:p>
              </w:tc>
              <w:tc>
                <w:tcPr>
                  <w:tcW w:w="330" w:type="pct"/>
                  <w:noWrap w:val="0"/>
                  <w:vAlign w:val="center"/>
                </w:tcPr>
                <w:p w14:paraId="78711A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10</w:t>
                  </w:r>
                </w:p>
              </w:tc>
            </w:tr>
          </w:tbl>
          <w:p w14:paraId="4C358E5D">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项目废水经污水处理设备处理后产排情况见表4-7。</w:t>
            </w:r>
          </w:p>
          <w:p w14:paraId="099A0CDE">
            <w:pPr>
              <w:pStyle w:val="35"/>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表4-7运营期废水源强核算表</w:t>
            </w:r>
          </w:p>
          <w:tbl>
            <w:tblPr>
              <w:tblStyle w:val="14"/>
              <w:tblW w:w="81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1080"/>
              <w:gridCol w:w="809"/>
              <w:gridCol w:w="855"/>
              <w:gridCol w:w="735"/>
              <w:gridCol w:w="735"/>
              <w:gridCol w:w="792"/>
              <w:gridCol w:w="867"/>
              <w:gridCol w:w="728"/>
              <w:gridCol w:w="572"/>
            </w:tblGrid>
            <w:tr w14:paraId="6B7D4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2106" w:type="dxa"/>
                  <w:gridSpan w:val="2"/>
                  <w:vAlign w:val="center"/>
                </w:tcPr>
                <w:p w14:paraId="6945D85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废水</w:t>
                  </w:r>
                </w:p>
              </w:tc>
              <w:tc>
                <w:tcPr>
                  <w:tcW w:w="809" w:type="dxa"/>
                  <w:vAlign w:val="center"/>
                </w:tcPr>
                <w:p w14:paraId="7FEAD2A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COD</w:t>
                  </w:r>
                </w:p>
              </w:tc>
              <w:tc>
                <w:tcPr>
                  <w:tcW w:w="855" w:type="dxa"/>
                  <w:vAlign w:val="center"/>
                </w:tcPr>
                <w:p w14:paraId="5D7F59E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氨氮</w:t>
                  </w:r>
                </w:p>
              </w:tc>
              <w:tc>
                <w:tcPr>
                  <w:tcW w:w="735" w:type="dxa"/>
                  <w:vAlign w:val="center"/>
                </w:tcPr>
                <w:p w14:paraId="64B541F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总氮</w:t>
                  </w:r>
                </w:p>
              </w:tc>
              <w:tc>
                <w:tcPr>
                  <w:tcW w:w="735" w:type="dxa"/>
                  <w:vAlign w:val="center"/>
                </w:tcPr>
                <w:p w14:paraId="144C453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总磷</w:t>
                  </w:r>
                </w:p>
              </w:tc>
              <w:tc>
                <w:tcPr>
                  <w:tcW w:w="792" w:type="dxa"/>
                  <w:vAlign w:val="center"/>
                </w:tcPr>
                <w:p w14:paraId="474AFF1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BOD</w:t>
                  </w:r>
                  <w:r>
                    <w:rPr>
                      <w:rFonts w:hint="default" w:ascii="Times New Roman" w:hAnsi="Times New Roman" w:eastAsia="宋体" w:cs="Times New Roman"/>
                      <w:snapToGrid w:val="0"/>
                      <w:color w:val="FF0000"/>
                      <w:szCs w:val="21"/>
                      <w:vertAlign w:val="subscript"/>
                      <w:lang w:val="en-US" w:eastAsia="zh-CN"/>
                    </w:rPr>
                    <w:t>5</w:t>
                  </w:r>
                </w:p>
              </w:tc>
              <w:tc>
                <w:tcPr>
                  <w:tcW w:w="867" w:type="dxa"/>
                  <w:vAlign w:val="center"/>
                </w:tcPr>
                <w:p w14:paraId="697D1A2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SS</w:t>
                  </w:r>
                </w:p>
              </w:tc>
              <w:tc>
                <w:tcPr>
                  <w:tcW w:w="728" w:type="dxa"/>
                  <w:vAlign w:val="center"/>
                </w:tcPr>
                <w:p w14:paraId="6F5967A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动植物油</w:t>
                  </w:r>
                </w:p>
              </w:tc>
              <w:tc>
                <w:tcPr>
                  <w:tcW w:w="572" w:type="dxa"/>
                  <w:vAlign w:val="center"/>
                </w:tcPr>
                <w:p w14:paraId="5147AA53">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LAS</w:t>
                  </w:r>
                </w:p>
              </w:tc>
            </w:tr>
            <w:tr w14:paraId="438AB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restart"/>
                  <w:vAlign w:val="center"/>
                </w:tcPr>
                <w:p w14:paraId="1CCC7C5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清洗废水1876.5t/a</w:t>
                  </w:r>
                </w:p>
              </w:tc>
              <w:tc>
                <w:tcPr>
                  <w:tcW w:w="1080" w:type="dxa"/>
                  <w:vAlign w:val="center"/>
                </w:tcPr>
                <w:p w14:paraId="2B0251F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产生量（t/a）</w:t>
                  </w:r>
                </w:p>
              </w:tc>
              <w:tc>
                <w:tcPr>
                  <w:tcW w:w="809" w:type="dxa"/>
                  <w:vAlign w:val="center"/>
                </w:tcPr>
                <w:p w14:paraId="29C47BE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3.176</w:t>
                  </w:r>
                </w:p>
              </w:tc>
              <w:tc>
                <w:tcPr>
                  <w:tcW w:w="855" w:type="dxa"/>
                  <w:vAlign w:val="center"/>
                </w:tcPr>
                <w:p w14:paraId="32FB637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0.044</w:t>
                  </w:r>
                </w:p>
              </w:tc>
              <w:tc>
                <w:tcPr>
                  <w:tcW w:w="735" w:type="dxa"/>
                  <w:vAlign w:val="center"/>
                </w:tcPr>
                <w:p w14:paraId="4B80FE3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0.07</w:t>
                  </w:r>
                </w:p>
              </w:tc>
              <w:tc>
                <w:tcPr>
                  <w:tcW w:w="735" w:type="dxa"/>
                  <w:vAlign w:val="center"/>
                </w:tcPr>
                <w:p w14:paraId="6A0A393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0.022</w:t>
                  </w:r>
                </w:p>
              </w:tc>
              <w:tc>
                <w:tcPr>
                  <w:tcW w:w="792" w:type="dxa"/>
                  <w:vAlign w:val="center"/>
                </w:tcPr>
                <w:p w14:paraId="6BC1F85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1.877</w:t>
                  </w:r>
                </w:p>
              </w:tc>
              <w:tc>
                <w:tcPr>
                  <w:tcW w:w="867" w:type="dxa"/>
                  <w:vAlign w:val="center"/>
                </w:tcPr>
                <w:p w14:paraId="6CD8B30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1.877</w:t>
                  </w:r>
                </w:p>
              </w:tc>
              <w:tc>
                <w:tcPr>
                  <w:tcW w:w="728" w:type="dxa"/>
                  <w:vAlign w:val="center"/>
                </w:tcPr>
                <w:p w14:paraId="70A2617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0.188</w:t>
                  </w:r>
                </w:p>
              </w:tc>
              <w:tc>
                <w:tcPr>
                  <w:tcW w:w="572" w:type="dxa"/>
                  <w:vAlign w:val="center"/>
                </w:tcPr>
                <w:p w14:paraId="53A9BE6B">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442B8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22B684F8">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2CEC9A3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产生浓度（mg/L）</w:t>
                  </w:r>
                </w:p>
              </w:tc>
              <w:tc>
                <w:tcPr>
                  <w:tcW w:w="809" w:type="dxa"/>
                  <w:vAlign w:val="center"/>
                </w:tcPr>
                <w:p w14:paraId="07DFF0C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1692.513</w:t>
                  </w:r>
                </w:p>
              </w:tc>
              <w:tc>
                <w:tcPr>
                  <w:tcW w:w="855" w:type="dxa"/>
                  <w:vAlign w:val="center"/>
                </w:tcPr>
                <w:p w14:paraId="683C302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23.448</w:t>
                  </w:r>
                </w:p>
              </w:tc>
              <w:tc>
                <w:tcPr>
                  <w:tcW w:w="735" w:type="dxa"/>
                  <w:vAlign w:val="center"/>
                </w:tcPr>
                <w:p w14:paraId="3B203B2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37.303</w:t>
                  </w:r>
                </w:p>
              </w:tc>
              <w:tc>
                <w:tcPr>
                  <w:tcW w:w="735" w:type="dxa"/>
                  <w:vAlign w:val="center"/>
                </w:tcPr>
                <w:p w14:paraId="337063B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11.724</w:t>
                  </w:r>
                </w:p>
              </w:tc>
              <w:tc>
                <w:tcPr>
                  <w:tcW w:w="792" w:type="dxa"/>
                  <w:vAlign w:val="center"/>
                </w:tcPr>
                <w:p w14:paraId="4A242CD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1000</w:t>
                  </w:r>
                </w:p>
              </w:tc>
              <w:tc>
                <w:tcPr>
                  <w:tcW w:w="867" w:type="dxa"/>
                  <w:vAlign w:val="center"/>
                </w:tcPr>
                <w:p w14:paraId="309F295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1000</w:t>
                  </w:r>
                </w:p>
              </w:tc>
              <w:tc>
                <w:tcPr>
                  <w:tcW w:w="728" w:type="dxa"/>
                  <w:vAlign w:val="center"/>
                </w:tcPr>
                <w:p w14:paraId="3F5BB92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1000</w:t>
                  </w:r>
                </w:p>
              </w:tc>
              <w:tc>
                <w:tcPr>
                  <w:tcW w:w="572" w:type="dxa"/>
                  <w:vAlign w:val="center"/>
                </w:tcPr>
                <w:p w14:paraId="186A6A7D">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270C7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restart"/>
                  <w:vAlign w:val="center"/>
                </w:tcPr>
                <w:p w14:paraId="302D425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实验室清洗废水</w:t>
                  </w:r>
                </w:p>
                <w:p w14:paraId="621565E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2.7t/a</w:t>
                  </w:r>
                </w:p>
              </w:tc>
              <w:tc>
                <w:tcPr>
                  <w:tcW w:w="1080" w:type="dxa"/>
                  <w:vAlign w:val="center"/>
                </w:tcPr>
                <w:p w14:paraId="51F1F6A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产生量（t/a）</w:t>
                  </w:r>
                </w:p>
              </w:tc>
              <w:tc>
                <w:tcPr>
                  <w:tcW w:w="809" w:type="dxa"/>
                  <w:vAlign w:val="center"/>
                </w:tcPr>
                <w:p w14:paraId="232CA00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0.0008</w:t>
                  </w:r>
                </w:p>
              </w:tc>
              <w:tc>
                <w:tcPr>
                  <w:tcW w:w="855" w:type="dxa"/>
                  <w:vAlign w:val="center"/>
                </w:tcPr>
                <w:p w14:paraId="3B9850C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0.0001</w:t>
                  </w:r>
                </w:p>
              </w:tc>
              <w:tc>
                <w:tcPr>
                  <w:tcW w:w="735" w:type="dxa"/>
                  <w:vAlign w:val="center"/>
                </w:tcPr>
                <w:p w14:paraId="458C90B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3D3D3C5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77AFB9C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867" w:type="dxa"/>
                  <w:vAlign w:val="center"/>
                </w:tcPr>
                <w:p w14:paraId="17EA25E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0.0003</w:t>
                  </w:r>
                </w:p>
              </w:tc>
              <w:tc>
                <w:tcPr>
                  <w:tcW w:w="728" w:type="dxa"/>
                  <w:vAlign w:val="center"/>
                </w:tcPr>
                <w:p w14:paraId="6047154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3A09AB13">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76BDC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54B13875">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0390FB0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产生浓度（mg/L）</w:t>
                  </w:r>
                </w:p>
              </w:tc>
              <w:tc>
                <w:tcPr>
                  <w:tcW w:w="809" w:type="dxa"/>
                  <w:vAlign w:val="center"/>
                </w:tcPr>
                <w:p w14:paraId="7C29963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300</w:t>
                  </w:r>
                </w:p>
              </w:tc>
              <w:tc>
                <w:tcPr>
                  <w:tcW w:w="855" w:type="dxa"/>
                  <w:vAlign w:val="center"/>
                </w:tcPr>
                <w:p w14:paraId="4F5EE87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20</w:t>
                  </w:r>
                </w:p>
              </w:tc>
              <w:tc>
                <w:tcPr>
                  <w:tcW w:w="735" w:type="dxa"/>
                  <w:vAlign w:val="center"/>
                </w:tcPr>
                <w:p w14:paraId="28480D5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624BC05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7D46BB7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867" w:type="dxa"/>
                  <w:vAlign w:val="center"/>
                </w:tcPr>
                <w:p w14:paraId="6BC3CA0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w:t>
                  </w:r>
                </w:p>
              </w:tc>
              <w:tc>
                <w:tcPr>
                  <w:tcW w:w="728" w:type="dxa"/>
                  <w:vAlign w:val="center"/>
                </w:tcPr>
                <w:p w14:paraId="59FBB34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57BAC39D">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48BB9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restart"/>
                  <w:vAlign w:val="center"/>
                </w:tcPr>
                <w:p w14:paraId="54A6331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纯水制备废水</w:t>
                  </w:r>
                </w:p>
                <w:p w14:paraId="450DE3A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24.9t/a</w:t>
                  </w:r>
                </w:p>
              </w:tc>
              <w:tc>
                <w:tcPr>
                  <w:tcW w:w="1080" w:type="dxa"/>
                  <w:vAlign w:val="center"/>
                </w:tcPr>
                <w:p w14:paraId="4B501D1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产生量（t/a）</w:t>
                  </w:r>
                </w:p>
              </w:tc>
              <w:tc>
                <w:tcPr>
                  <w:tcW w:w="809" w:type="dxa"/>
                  <w:vAlign w:val="center"/>
                </w:tcPr>
                <w:p w14:paraId="361C130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0.0075</w:t>
                  </w:r>
                </w:p>
              </w:tc>
              <w:tc>
                <w:tcPr>
                  <w:tcW w:w="855" w:type="dxa"/>
                  <w:vAlign w:val="center"/>
                </w:tcPr>
                <w:p w14:paraId="496379B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0.0005</w:t>
                  </w:r>
                </w:p>
              </w:tc>
              <w:tc>
                <w:tcPr>
                  <w:tcW w:w="735" w:type="dxa"/>
                  <w:vAlign w:val="center"/>
                </w:tcPr>
                <w:p w14:paraId="2D3CB1D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76D32DC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73CB1D3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867" w:type="dxa"/>
                  <w:vAlign w:val="center"/>
                </w:tcPr>
                <w:p w14:paraId="46A36AF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0.0025</w:t>
                  </w:r>
                </w:p>
              </w:tc>
              <w:tc>
                <w:tcPr>
                  <w:tcW w:w="728" w:type="dxa"/>
                  <w:vAlign w:val="center"/>
                </w:tcPr>
                <w:p w14:paraId="7B8AEFC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090D6D8B">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0F8E1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663C904D">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17EC28E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产生浓度（mg/L）</w:t>
                  </w:r>
                </w:p>
              </w:tc>
              <w:tc>
                <w:tcPr>
                  <w:tcW w:w="809" w:type="dxa"/>
                  <w:vAlign w:val="center"/>
                </w:tcPr>
                <w:p w14:paraId="21147A0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300</w:t>
                  </w:r>
                </w:p>
              </w:tc>
              <w:tc>
                <w:tcPr>
                  <w:tcW w:w="855" w:type="dxa"/>
                  <w:vAlign w:val="center"/>
                </w:tcPr>
                <w:p w14:paraId="0BE32BE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20</w:t>
                  </w:r>
                </w:p>
              </w:tc>
              <w:tc>
                <w:tcPr>
                  <w:tcW w:w="735" w:type="dxa"/>
                  <w:vAlign w:val="center"/>
                </w:tcPr>
                <w:p w14:paraId="732C14B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71B3F9E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0C82749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867" w:type="dxa"/>
                  <w:vAlign w:val="center"/>
                </w:tcPr>
                <w:p w14:paraId="62DEB02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w:t>
                  </w:r>
                </w:p>
              </w:tc>
              <w:tc>
                <w:tcPr>
                  <w:tcW w:w="728" w:type="dxa"/>
                  <w:vAlign w:val="center"/>
                </w:tcPr>
                <w:p w14:paraId="31493E5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0603ACFF">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w:t>
                  </w:r>
                </w:p>
              </w:tc>
            </w:tr>
            <w:tr w14:paraId="3EAA4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restart"/>
                  <w:vAlign w:val="center"/>
                </w:tcPr>
                <w:p w14:paraId="69BDA4D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生活污水</w:t>
                  </w:r>
                </w:p>
                <w:p w14:paraId="6AEA482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288t/a</w:t>
                  </w:r>
                </w:p>
              </w:tc>
              <w:tc>
                <w:tcPr>
                  <w:tcW w:w="1080" w:type="dxa"/>
                  <w:vAlign w:val="center"/>
                </w:tcPr>
                <w:p w14:paraId="3C7EBCD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产生量（t/a）</w:t>
                  </w:r>
                </w:p>
              </w:tc>
              <w:tc>
                <w:tcPr>
                  <w:tcW w:w="809" w:type="dxa"/>
                  <w:vAlign w:val="center"/>
                </w:tcPr>
                <w:p w14:paraId="02A2206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0.086</w:t>
                  </w:r>
                </w:p>
              </w:tc>
              <w:tc>
                <w:tcPr>
                  <w:tcW w:w="855" w:type="dxa"/>
                  <w:vAlign w:val="center"/>
                </w:tcPr>
                <w:p w14:paraId="29FA6E3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0.007</w:t>
                  </w:r>
                </w:p>
              </w:tc>
              <w:tc>
                <w:tcPr>
                  <w:tcW w:w="735" w:type="dxa"/>
                  <w:vAlign w:val="center"/>
                </w:tcPr>
                <w:p w14:paraId="4F5E374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7E62056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1975304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0.043</w:t>
                  </w:r>
                </w:p>
              </w:tc>
              <w:tc>
                <w:tcPr>
                  <w:tcW w:w="867" w:type="dxa"/>
                  <w:vAlign w:val="center"/>
                </w:tcPr>
                <w:p w14:paraId="2C6C8D5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0.058</w:t>
                  </w:r>
                </w:p>
              </w:tc>
              <w:tc>
                <w:tcPr>
                  <w:tcW w:w="728" w:type="dxa"/>
                  <w:vAlign w:val="center"/>
                </w:tcPr>
                <w:p w14:paraId="19DB9DA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43FA3A93">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0.006</w:t>
                  </w:r>
                </w:p>
              </w:tc>
            </w:tr>
            <w:tr w14:paraId="35C22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74C8E016">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2BA9B0D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产生浓度（mg/L）</w:t>
                  </w:r>
                </w:p>
              </w:tc>
              <w:tc>
                <w:tcPr>
                  <w:tcW w:w="809" w:type="dxa"/>
                  <w:vAlign w:val="center"/>
                </w:tcPr>
                <w:p w14:paraId="38D42F6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300</w:t>
                  </w:r>
                </w:p>
              </w:tc>
              <w:tc>
                <w:tcPr>
                  <w:tcW w:w="855" w:type="dxa"/>
                  <w:vAlign w:val="center"/>
                </w:tcPr>
                <w:p w14:paraId="03BDFB3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25</w:t>
                  </w:r>
                </w:p>
              </w:tc>
              <w:tc>
                <w:tcPr>
                  <w:tcW w:w="735" w:type="dxa"/>
                  <w:vAlign w:val="center"/>
                </w:tcPr>
                <w:p w14:paraId="05381F6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35" w:type="dxa"/>
                  <w:vAlign w:val="center"/>
                </w:tcPr>
                <w:p w14:paraId="1CB7F64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792" w:type="dxa"/>
                  <w:vAlign w:val="center"/>
                </w:tcPr>
                <w:p w14:paraId="119BC3C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150</w:t>
                  </w:r>
                </w:p>
              </w:tc>
              <w:tc>
                <w:tcPr>
                  <w:tcW w:w="867" w:type="dxa"/>
                  <w:vAlign w:val="center"/>
                </w:tcPr>
                <w:p w14:paraId="2802058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200</w:t>
                  </w:r>
                </w:p>
              </w:tc>
              <w:tc>
                <w:tcPr>
                  <w:tcW w:w="728" w:type="dxa"/>
                  <w:vAlign w:val="center"/>
                </w:tcPr>
                <w:p w14:paraId="2D58B2D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w:t>
                  </w:r>
                </w:p>
              </w:tc>
              <w:tc>
                <w:tcPr>
                  <w:tcW w:w="572" w:type="dxa"/>
                  <w:vAlign w:val="center"/>
                </w:tcPr>
                <w:p w14:paraId="6E3AF92D">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20</w:t>
                  </w:r>
                </w:p>
              </w:tc>
            </w:tr>
            <w:tr w14:paraId="1A66A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restart"/>
                  <w:vAlign w:val="center"/>
                </w:tcPr>
                <w:p w14:paraId="25D75B7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综合废水2192.1t/a</w:t>
                  </w:r>
                </w:p>
              </w:tc>
              <w:tc>
                <w:tcPr>
                  <w:tcW w:w="1080" w:type="dxa"/>
                  <w:vAlign w:val="center"/>
                </w:tcPr>
                <w:p w14:paraId="14F0715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产生量（t/a）</w:t>
                  </w:r>
                </w:p>
              </w:tc>
              <w:tc>
                <w:tcPr>
                  <w:tcW w:w="809" w:type="dxa"/>
                  <w:vAlign w:val="center"/>
                </w:tcPr>
                <w:p w14:paraId="4E2CD55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3.2703</w:t>
                  </w:r>
                </w:p>
              </w:tc>
              <w:tc>
                <w:tcPr>
                  <w:tcW w:w="855" w:type="dxa"/>
                  <w:vAlign w:val="center"/>
                </w:tcPr>
                <w:p w14:paraId="2F037976">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0.0516</w:t>
                  </w:r>
                </w:p>
              </w:tc>
              <w:tc>
                <w:tcPr>
                  <w:tcW w:w="735" w:type="dxa"/>
                  <w:vAlign w:val="center"/>
                </w:tcPr>
                <w:p w14:paraId="78806A7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0.07</w:t>
                  </w:r>
                </w:p>
              </w:tc>
              <w:tc>
                <w:tcPr>
                  <w:tcW w:w="735" w:type="dxa"/>
                  <w:vAlign w:val="center"/>
                </w:tcPr>
                <w:p w14:paraId="24AA0A4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0.022</w:t>
                  </w:r>
                </w:p>
              </w:tc>
              <w:tc>
                <w:tcPr>
                  <w:tcW w:w="792" w:type="dxa"/>
                  <w:vAlign w:val="center"/>
                </w:tcPr>
                <w:p w14:paraId="1FA7B03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1.92</w:t>
                  </w:r>
                </w:p>
              </w:tc>
              <w:tc>
                <w:tcPr>
                  <w:tcW w:w="867" w:type="dxa"/>
                  <w:vAlign w:val="center"/>
                </w:tcPr>
                <w:p w14:paraId="579D656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1.9378</w:t>
                  </w:r>
                </w:p>
              </w:tc>
              <w:tc>
                <w:tcPr>
                  <w:tcW w:w="728" w:type="dxa"/>
                  <w:vAlign w:val="center"/>
                </w:tcPr>
                <w:p w14:paraId="75EDC7E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0.188</w:t>
                  </w:r>
                </w:p>
              </w:tc>
              <w:tc>
                <w:tcPr>
                  <w:tcW w:w="572" w:type="dxa"/>
                  <w:vAlign w:val="center"/>
                </w:tcPr>
                <w:p w14:paraId="147B1A12">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0.006</w:t>
                  </w:r>
                </w:p>
              </w:tc>
            </w:tr>
            <w:tr w14:paraId="15121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25AAE12A">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5B5B9D2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产生浓度（mg/L）</w:t>
                  </w:r>
                </w:p>
              </w:tc>
              <w:tc>
                <w:tcPr>
                  <w:tcW w:w="809" w:type="dxa"/>
                  <w:vAlign w:val="center"/>
                </w:tcPr>
                <w:p w14:paraId="48AB1D9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1491.857</w:t>
                  </w:r>
                </w:p>
              </w:tc>
              <w:tc>
                <w:tcPr>
                  <w:tcW w:w="855" w:type="dxa"/>
                  <w:vAlign w:val="center"/>
                </w:tcPr>
                <w:p w14:paraId="3B0B979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23.539</w:t>
                  </w:r>
                </w:p>
              </w:tc>
              <w:tc>
                <w:tcPr>
                  <w:tcW w:w="735" w:type="dxa"/>
                  <w:vAlign w:val="center"/>
                </w:tcPr>
                <w:p w14:paraId="155F4CD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31.933</w:t>
                  </w:r>
                </w:p>
              </w:tc>
              <w:tc>
                <w:tcPr>
                  <w:tcW w:w="735" w:type="dxa"/>
                  <w:vAlign w:val="center"/>
                </w:tcPr>
                <w:p w14:paraId="704489F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10.036</w:t>
                  </w:r>
                </w:p>
              </w:tc>
              <w:tc>
                <w:tcPr>
                  <w:tcW w:w="792" w:type="dxa"/>
                  <w:vAlign w:val="center"/>
                </w:tcPr>
                <w:p w14:paraId="3371C22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875.872</w:t>
                  </w:r>
                </w:p>
              </w:tc>
              <w:tc>
                <w:tcPr>
                  <w:tcW w:w="867" w:type="dxa"/>
                  <w:vAlign w:val="center"/>
                </w:tcPr>
                <w:p w14:paraId="30C8835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883.993</w:t>
                  </w:r>
                </w:p>
              </w:tc>
              <w:tc>
                <w:tcPr>
                  <w:tcW w:w="728" w:type="dxa"/>
                  <w:vAlign w:val="center"/>
                </w:tcPr>
                <w:p w14:paraId="043B084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85.763</w:t>
                  </w:r>
                </w:p>
              </w:tc>
              <w:tc>
                <w:tcPr>
                  <w:tcW w:w="572" w:type="dxa"/>
                  <w:vAlign w:val="center"/>
                </w:tcPr>
                <w:p w14:paraId="1E55BCAD">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2.737</w:t>
                  </w:r>
                </w:p>
              </w:tc>
            </w:tr>
            <w:tr w14:paraId="0E720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26" w:type="dxa"/>
                  <w:vMerge w:val="continue"/>
                  <w:vAlign w:val="center"/>
                </w:tcPr>
                <w:p w14:paraId="4B35FE3A">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539A3DF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治理措施</w:t>
                  </w:r>
                </w:p>
              </w:tc>
              <w:tc>
                <w:tcPr>
                  <w:tcW w:w="6093" w:type="dxa"/>
                  <w:gridSpan w:val="8"/>
                  <w:vAlign w:val="center"/>
                </w:tcPr>
                <w:p w14:paraId="64A9EB7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机械格栅+隔油调节池+气浮机+一体化污水处理设施（缺氧池+好氧池+沉淀池）</w:t>
                  </w:r>
                </w:p>
              </w:tc>
            </w:tr>
            <w:tr w14:paraId="2B3BE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26" w:type="dxa"/>
                  <w:vMerge w:val="continue"/>
                  <w:vAlign w:val="center"/>
                </w:tcPr>
                <w:p w14:paraId="05B4056F">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7141E47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治理效率%</w:t>
                  </w:r>
                </w:p>
              </w:tc>
              <w:tc>
                <w:tcPr>
                  <w:tcW w:w="809" w:type="dxa"/>
                  <w:vAlign w:val="center"/>
                </w:tcPr>
                <w:p w14:paraId="63B32DC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85</w:t>
                  </w:r>
                </w:p>
              </w:tc>
              <w:tc>
                <w:tcPr>
                  <w:tcW w:w="855" w:type="dxa"/>
                  <w:vAlign w:val="center"/>
                </w:tcPr>
                <w:p w14:paraId="1A36EE2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65</w:t>
                  </w:r>
                </w:p>
              </w:tc>
              <w:tc>
                <w:tcPr>
                  <w:tcW w:w="735" w:type="dxa"/>
                  <w:vAlign w:val="center"/>
                </w:tcPr>
                <w:p w14:paraId="519F7C8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65</w:t>
                  </w:r>
                </w:p>
              </w:tc>
              <w:tc>
                <w:tcPr>
                  <w:tcW w:w="735" w:type="dxa"/>
                  <w:vAlign w:val="center"/>
                </w:tcPr>
                <w:p w14:paraId="1B3F3FC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62.05</w:t>
                  </w:r>
                </w:p>
              </w:tc>
              <w:tc>
                <w:tcPr>
                  <w:tcW w:w="792" w:type="dxa"/>
                  <w:vAlign w:val="center"/>
                </w:tcPr>
                <w:p w14:paraId="581A6373">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85</w:t>
                  </w:r>
                </w:p>
              </w:tc>
              <w:tc>
                <w:tcPr>
                  <w:tcW w:w="867" w:type="dxa"/>
                  <w:vAlign w:val="center"/>
                </w:tcPr>
                <w:p w14:paraId="66A8728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85</w:t>
                  </w:r>
                </w:p>
              </w:tc>
              <w:tc>
                <w:tcPr>
                  <w:tcW w:w="728" w:type="dxa"/>
                  <w:vAlign w:val="center"/>
                </w:tcPr>
                <w:p w14:paraId="01926E5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80.72</w:t>
                  </w:r>
                </w:p>
              </w:tc>
              <w:tc>
                <w:tcPr>
                  <w:tcW w:w="572" w:type="dxa"/>
                  <w:vAlign w:val="center"/>
                </w:tcPr>
                <w:p w14:paraId="474527E6">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10</w:t>
                  </w:r>
                </w:p>
              </w:tc>
            </w:tr>
            <w:tr w14:paraId="5088E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25254490">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1F7CFE2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排放量（t/a）</w:t>
                  </w:r>
                </w:p>
              </w:tc>
              <w:tc>
                <w:tcPr>
                  <w:tcW w:w="809" w:type="dxa"/>
                  <w:vAlign w:val="center"/>
                </w:tcPr>
                <w:p w14:paraId="695AB0D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0.491</w:t>
                  </w:r>
                </w:p>
              </w:tc>
              <w:tc>
                <w:tcPr>
                  <w:tcW w:w="855" w:type="dxa"/>
                  <w:vAlign w:val="center"/>
                </w:tcPr>
                <w:p w14:paraId="635078C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0.018</w:t>
                  </w:r>
                </w:p>
              </w:tc>
              <w:tc>
                <w:tcPr>
                  <w:tcW w:w="735" w:type="dxa"/>
                  <w:vAlign w:val="center"/>
                </w:tcPr>
                <w:p w14:paraId="3C374EA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0.025</w:t>
                  </w:r>
                </w:p>
              </w:tc>
              <w:tc>
                <w:tcPr>
                  <w:tcW w:w="735" w:type="dxa"/>
                  <w:vAlign w:val="center"/>
                </w:tcPr>
                <w:p w14:paraId="6F8B532F">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0.008</w:t>
                  </w:r>
                </w:p>
              </w:tc>
              <w:tc>
                <w:tcPr>
                  <w:tcW w:w="792" w:type="dxa"/>
                  <w:vAlign w:val="center"/>
                </w:tcPr>
                <w:p w14:paraId="467CDF6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0.288</w:t>
                  </w:r>
                </w:p>
              </w:tc>
              <w:tc>
                <w:tcPr>
                  <w:tcW w:w="867" w:type="dxa"/>
                  <w:vAlign w:val="center"/>
                </w:tcPr>
                <w:p w14:paraId="36F058E5">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0.291</w:t>
                  </w:r>
                </w:p>
              </w:tc>
              <w:tc>
                <w:tcPr>
                  <w:tcW w:w="728" w:type="dxa"/>
                  <w:vAlign w:val="center"/>
                </w:tcPr>
                <w:p w14:paraId="2717CB0E">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0.036</w:t>
                  </w:r>
                </w:p>
              </w:tc>
              <w:tc>
                <w:tcPr>
                  <w:tcW w:w="572" w:type="dxa"/>
                  <w:vAlign w:val="center"/>
                </w:tcPr>
                <w:p w14:paraId="121F4C03">
                  <w:pPr>
                    <w:adjustRightInd w:val="0"/>
                    <w:snapToGrid w:val="0"/>
                    <w:jc w:val="center"/>
                    <w:rPr>
                      <w:rFonts w:hint="default" w:ascii="Times New Roman" w:hAnsi="Times New Roman" w:eastAsia="宋体" w:cs="Times New Roman"/>
                      <w:snapToGrid w:val="0"/>
                      <w:color w:val="0000FF"/>
                      <w:szCs w:val="21"/>
                      <w:lang w:val="en-US" w:eastAsia="zh-CN"/>
                    </w:rPr>
                  </w:pPr>
                  <w:r>
                    <w:rPr>
                      <w:rFonts w:hint="default" w:ascii="Times New Roman" w:hAnsi="Times New Roman" w:eastAsia="宋体" w:cs="Times New Roman"/>
                      <w:snapToGrid w:val="0"/>
                      <w:color w:val="0000FF"/>
                      <w:szCs w:val="21"/>
                      <w:lang w:val="en-US" w:eastAsia="zh-CN"/>
                    </w:rPr>
                    <w:t>0.00</w:t>
                  </w:r>
                  <w:r>
                    <w:rPr>
                      <w:rFonts w:hint="eastAsia" w:ascii="Times New Roman" w:hAnsi="Times New Roman" w:eastAsia="宋体" w:cs="Times New Roman"/>
                      <w:snapToGrid w:val="0"/>
                      <w:color w:val="0000FF"/>
                      <w:szCs w:val="21"/>
                      <w:lang w:val="en-US" w:eastAsia="zh-CN"/>
                    </w:rPr>
                    <w:t>5</w:t>
                  </w:r>
                </w:p>
              </w:tc>
            </w:tr>
            <w:tr w14:paraId="74BD3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26" w:type="dxa"/>
                  <w:vMerge w:val="continue"/>
                  <w:vAlign w:val="center"/>
                </w:tcPr>
                <w:p w14:paraId="6B114855">
                  <w:pPr>
                    <w:adjustRightInd w:val="0"/>
                    <w:snapToGrid w:val="0"/>
                    <w:jc w:val="center"/>
                    <w:rPr>
                      <w:rFonts w:hint="default" w:ascii="Times New Roman" w:hAnsi="Times New Roman" w:eastAsia="宋体" w:cs="Times New Roman"/>
                      <w:snapToGrid w:val="0"/>
                      <w:color w:val="FF0000"/>
                      <w:szCs w:val="21"/>
                      <w:lang w:val="en-US" w:eastAsia="zh-CN"/>
                    </w:rPr>
                  </w:pPr>
                </w:p>
              </w:tc>
              <w:tc>
                <w:tcPr>
                  <w:tcW w:w="1080" w:type="dxa"/>
                  <w:vAlign w:val="center"/>
                </w:tcPr>
                <w:p w14:paraId="0A597AA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排放浓度（mg/L）</w:t>
                  </w:r>
                </w:p>
              </w:tc>
              <w:tc>
                <w:tcPr>
                  <w:tcW w:w="809" w:type="dxa"/>
                  <w:vAlign w:val="center"/>
                </w:tcPr>
                <w:p w14:paraId="461C8A8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223.986</w:t>
                  </w:r>
                </w:p>
              </w:tc>
              <w:tc>
                <w:tcPr>
                  <w:tcW w:w="855" w:type="dxa"/>
                  <w:vAlign w:val="center"/>
                </w:tcPr>
                <w:p w14:paraId="1795F4F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8.211</w:t>
                  </w:r>
                </w:p>
              </w:tc>
              <w:tc>
                <w:tcPr>
                  <w:tcW w:w="735" w:type="dxa"/>
                  <w:vAlign w:val="center"/>
                </w:tcPr>
                <w:p w14:paraId="6DA2206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11.405</w:t>
                  </w:r>
                </w:p>
              </w:tc>
              <w:tc>
                <w:tcPr>
                  <w:tcW w:w="735" w:type="dxa"/>
                  <w:vAlign w:val="center"/>
                </w:tcPr>
                <w:p w14:paraId="4918194B">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3.649</w:t>
                  </w:r>
                </w:p>
              </w:tc>
              <w:tc>
                <w:tcPr>
                  <w:tcW w:w="792" w:type="dxa"/>
                  <w:vAlign w:val="center"/>
                </w:tcPr>
                <w:p w14:paraId="7A50B56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131.381</w:t>
                  </w:r>
                </w:p>
              </w:tc>
              <w:tc>
                <w:tcPr>
                  <w:tcW w:w="867" w:type="dxa"/>
                  <w:vAlign w:val="center"/>
                </w:tcPr>
                <w:p w14:paraId="06FE5EF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132.749</w:t>
                  </w:r>
                </w:p>
              </w:tc>
              <w:tc>
                <w:tcPr>
                  <w:tcW w:w="728" w:type="dxa"/>
                  <w:vAlign w:val="center"/>
                </w:tcPr>
                <w:p w14:paraId="2A28969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16.423</w:t>
                  </w:r>
                </w:p>
              </w:tc>
              <w:tc>
                <w:tcPr>
                  <w:tcW w:w="572" w:type="dxa"/>
                  <w:vAlign w:val="center"/>
                </w:tcPr>
                <w:p w14:paraId="3AC868AA">
                  <w:pPr>
                    <w:adjustRightInd w:val="0"/>
                    <w:snapToGrid w:val="0"/>
                    <w:jc w:val="center"/>
                    <w:rPr>
                      <w:rFonts w:hint="default" w:ascii="Times New Roman" w:hAnsi="Times New Roman" w:eastAsia="宋体" w:cs="Times New Roman"/>
                      <w:snapToGrid w:val="0"/>
                      <w:color w:val="0000FF"/>
                      <w:szCs w:val="21"/>
                      <w:lang w:val="en-US" w:eastAsia="zh-CN"/>
                    </w:rPr>
                  </w:pPr>
                  <w:r>
                    <w:rPr>
                      <w:rFonts w:hint="default" w:ascii="Times New Roman" w:hAnsi="Times New Roman" w:eastAsia="宋体" w:cs="Times New Roman"/>
                      <w:snapToGrid w:val="0"/>
                      <w:color w:val="0000FF"/>
                      <w:szCs w:val="21"/>
                      <w:lang w:val="en-US" w:eastAsia="zh-CN"/>
                    </w:rPr>
                    <w:t>2.</w:t>
                  </w:r>
                  <w:r>
                    <w:rPr>
                      <w:rFonts w:hint="eastAsia" w:ascii="Times New Roman" w:hAnsi="Times New Roman" w:eastAsia="宋体" w:cs="Times New Roman"/>
                      <w:snapToGrid w:val="0"/>
                      <w:color w:val="0000FF"/>
                      <w:szCs w:val="21"/>
                      <w:lang w:val="en-US" w:eastAsia="zh-CN"/>
                    </w:rPr>
                    <w:t>281</w:t>
                  </w:r>
                </w:p>
              </w:tc>
            </w:tr>
            <w:tr w14:paraId="04AF6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2106" w:type="dxa"/>
                  <w:gridSpan w:val="2"/>
                  <w:vAlign w:val="center"/>
                </w:tcPr>
                <w:p w14:paraId="50D056CD">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排放标准限值（mg/L）</w:t>
                  </w:r>
                </w:p>
              </w:tc>
              <w:tc>
                <w:tcPr>
                  <w:tcW w:w="809" w:type="dxa"/>
                  <w:vAlign w:val="center"/>
                </w:tcPr>
                <w:p w14:paraId="360EA08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350</w:t>
                  </w:r>
                </w:p>
              </w:tc>
              <w:tc>
                <w:tcPr>
                  <w:tcW w:w="855" w:type="dxa"/>
                  <w:vAlign w:val="center"/>
                </w:tcPr>
                <w:p w14:paraId="7AFF866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25</w:t>
                  </w:r>
                </w:p>
              </w:tc>
              <w:tc>
                <w:tcPr>
                  <w:tcW w:w="735" w:type="dxa"/>
                  <w:vAlign w:val="center"/>
                </w:tcPr>
                <w:p w14:paraId="35B91B6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40</w:t>
                  </w:r>
                </w:p>
              </w:tc>
              <w:tc>
                <w:tcPr>
                  <w:tcW w:w="735" w:type="dxa"/>
                  <w:vAlign w:val="center"/>
                </w:tcPr>
                <w:p w14:paraId="3663F0E9">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4</w:t>
                  </w:r>
                </w:p>
              </w:tc>
              <w:tc>
                <w:tcPr>
                  <w:tcW w:w="792" w:type="dxa"/>
                  <w:vAlign w:val="center"/>
                </w:tcPr>
                <w:p w14:paraId="5264E07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250</w:t>
                  </w:r>
                </w:p>
              </w:tc>
              <w:tc>
                <w:tcPr>
                  <w:tcW w:w="867" w:type="dxa"/>
                  <w:vAlign w:val="center"/>
                </w:tcPr>
                <w:p w14:paraId="7FCCB5E0">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300</w:t>
                  </w:r>
                </w:p>
              </w:tc>
              <w:tc>
                <w:tcPr>
                  <w:tcW w:w="728" w:type="dxa"/>
                  <w:vAlign w:val="center"/>
                </w:tcPr>
                <w:p w14:paraId="7E37F59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100</w:t>
                  </w:r>
                </w:p>
              </w:tc>
              <w:tc>
                <w:tcPr>
                  <w:tcW w:w="572" w:type="dxa"/>
                  <w:vAlign w:val="center"/>
                </w:tcPr>
                <w:p w14:paraId="4721708A">
                  <w:pPr>
                    <w:adjustRightInd w:val="0"/>
                    <w:snapToGrid w:val="0"/>
                    <w:jc w:val="center"/>
                    <w:rPr>
                      <w:rFonts w:hint="default"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20</w:t>
                  </w:r>
                </w:p>
              </w:tc>
            </w:tr>
            <w:tr w14:paraId="1B8B3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106" w:type="dxa"/>
                  <w:gridSpan w:val="2"/>
                  <w:vAlign w:val="center"/>
                </w:tcPr>
                <w:p w14:paraId="706626D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达标情况</w:t>
                  </w:r>
                </w:p>
              </w:tc>
              <w:tc>
                <w:tcPr>
                  <w:tcW w:w="809" w:type="dxa"/>
                  <w:vAlign w:val="center"/>
                </w:tcPr>
                <w:p w14:paraId="4292C48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855" w:type="dxa"/>
                  <w:vAlign w:val="center"/>
                </w:tcPr>
                <w:p w14:paraId="3964FEC1">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735" w:type="dxa"/>
                  <w:vAlign w:val="center"/>
                </w:tcPr>
                <w:p w14:paraId="45055E9C">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735" w:type="dxa"/>
                  <w:vAlign w:val="center"/>
                </w:tcPr>
                <w:p w14:paraId="169E368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792" w:type="dxa"/>
                  <w:vAlign w:val="center"/>
                </w:tcPr>
                <w:p w14:paraId="2A789392">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867" w:type="dxa"/>
                  <w:vAlign w:val="center"/>
                </w:tcPr>
                <w:p w14:paraId="0BC4471A">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728" w:type="dxa"/>
                  <w:vAlign w:val="center"/>
                </w:tcPr>
                <w:p w14:paraId="70ABE8F7">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达标</w:t>
                  </w:r>
                </w:p>
              </w:tc>
              <w:tc>
                <w:tcPr>
                  <w:tcW w:w="572" w:type="dxa"/>
                  <w:vAlign w:val="center"/>
                </w:tcPr>
                <w:p w14:paraId="7CE20A4A">
                  <w:pPr>
                    <w:adjustRightInd w:val="0"/>
                    <w:snapToGrid w:val="0"/>
                    <w:jc w:val="center"/>
                    <w:rPr>
                      <w:rFonts w:hint="eastAsia" w:ascii="Times New Roman" w:hAnsi="Times New Roman" w:eastAsia="宋体" w:cs="Times New Roman"/>
                      <w:snapToGrid w:val="0"/>
                      <w:color w:val="0000FF"/>
                      <w:szCs w:val="21"/>
                      <w:lang w:val="en-US" w:eastAsia="zh-CN"/>
                    </w:rPr>
                  </w:pPr>
                  <w:r>
                    <w:rPr>
                      <w:rFonts w:hint="eastAsia" w:ascii="Times New Roman" w:hAnsi="Times New Roman" w:eastAsia="宋体" w:cs="Times New Roman"/>
                      <w:snapToGrid w:val="0"/>
                      <w:color w:val="0000FF"/>
                      <w:szCs w:val="21"/>
                      <w:lang w:val="en-US" w:eastAsia="zh-CN"/>
                    </w:rPr>
                    <w:t>达标</w:t>
                  </w:r>
                </w:p>
              </w:tc>
            </w:tr>
            <w:tr w14:paraId="2EA0B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106" w:type="dxa"/>
                  <w:gridSpan w:val="2"/>
                  <w:vAlign w:val="center"/>
                </w:tcPr>
                <w:p w14:paraId="71A088E8">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排放时间h</w:t>
                  </w:r>
                </w:p>
              </w:tc>
              <w:tc>
                <w:tcPr>
                  <w:tcW w:w="6093" w:type="dxa"/>
                  <w:gridSpan w:val="8"/>
                  <w:vAlign w:val="center"/>
                </w:tcPr>
                <w:p w14:paraId="49A3A9A4">
                  <w:pPr>
                    <w:adjustRightInd w:val="0"/>
                    <w:snapToGrid w:val="0"/>
                    <w:jc w:val="center"/>
                    <w:rPr>
                      <w:rFonts w:hint="default" w:ascii="Times New Roman" w:hAnsi="Times New Roman" w:eastAsia="宋体" w:cs="Times New Roman"/>
                      <w:snapToGrid w:val="0"/>
                      <w:color w:val="FF0000"/>
                      <w:szCs w:val="21"/>
                      <w:lang w:val="en-US" w:eastAsia="zh-CN"/>
                    </w:rPr>
                  </w:pPr>
                  <w:r>
                    <w:rPr>
                      <w:rFonts w:hint="default" w:ascii="Times New Roman" w:hAnsi="Times New Roman" w:eastAsia="宋体" w:cs="Times New Roman"/>
                      <w:snapToGrid w:val="0"/>
                      <w:color w:val="FF0000"/>
                      <w:szCs w:val="21"/>
                      <w:lang w:val="en-US" w:eastAsia="zh-CN"/>
                    </w:rPr>
                    <w:t>2400</w:t>
                  </w:r>
                </w:p>
              </w:tc>
            </w:tr>
          </w:tbl>
          <w:p w14:paraId="6C082773">
            <w:pPr>
              <w:pStyle w:val="35"/>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表4-8 废水污染物排放执行标准表</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1"/>
              <w:gridCol w:w="1036"/>
              <w:gridCol w:w="1270"/>
              <w:gridCol w:w="2370"/>
              <w:gridCol w:w="1743"/>
              <w:gridCol w:w="1332"/>
            </w:tblGrid>
            <w:tr w14:paraId="132D2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vMerge w:val="restart"/>
                  <w:noWrap w:val="0"/>
                  <w:vAlign w:val="center"/>
                </w:tcPr>
                <w:p w14:paraId="51781407">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序号</w:t>
                  </w:r>
                </w:p>
              </w:tc>
              <w:tc>
                <w:tcPr>
                  <w:tcW w:w="1036" w:type="dxa"/>
                  <w:vMerge w:val="restart"/>
                  <w:noWrap w:val="0"/>
                  <w:vAlign w:val="center"/>
                </w:tcPr>
                <w:p w14:paraId="23C552AE">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排放口编号</w:t>
                  </w:r>
                </w:p>
              </w:tc>
              <w:tc>
                <w:tcPr>
                  <w:tcW w:w="1270" w:type="dxa"/>
                  <w:vMerge w:val="restart"/>
                  <w:noWrap w:val="0"/>
                  <w:vAlign w:val="center"/>
                </w:tcPr>
                <w:p w14:paraId="04D0460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污染物种类</w:t>
                  </w:r>
                </w:p>
              </w:tc>
              <w:tc>
                <w:tcPr>
                  <w:tcW w:w="5445" w:type="dxa"/>
                  <w:gridSpan w:val="3"/>
                  <w:noWrap w:val="0"/>
                  <w:vAlign w:val="center"/>
                </w:tcPr>
                <w:p w14:paraId="46581E5D">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国家或地方污染物排放标准及其他按规定商定的排放协议</w:t>
                  </w:r>
                </w:p>
              </w:tc>
            </w:tr>
            <w:tr w14:paraId="2DCD9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vMerge w:val="continue"/>
                  <w:noWrap w:val="0"/>
                  <w:vAlign w:val="center"/>
                </w:tcPr>
                <w:p w14:paraId="41E4AA0E">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036" w:type="dxa"/>
                  <w:vMerge w:val="continue"/>
                  <w:noWrap w:val="0"/>
                  <w:vAlign w:val="center"/>
                </w:tcPr>
                <w:p w14:paraId="28E9350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vMerge w:val="continue"/>
                  <w:noWrap w:val="0"/>
                  <w:vAlign w:val="center"/>
                </w:tcPr>
                <w:p w14:paraId="4A2F824C">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5445" w:type="dxa"/>
                  <w:gridSpan w:val="3"/>
                  <w:noWrap w:val="0"/>
                  <w:vAlign w:val="center"/>
                </w:tcPr>
                <w:p w14:paraId="39E13C07">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名称</w:t>
                  </w:r>
                </w:p>
              </w:tc>
            </w:tr>
            <w:tr w14:paraId="7C0B9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vMerge w:val="continue"/>
                  <w:noWrap w:val="0"/>
                  <w:vAlign w:val="center"/>
                </w:tcPr>
                <w:p w14:paraId="09818CB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036" w:type="dxa"/>
                  <w:vMerge w:val="continue"/>
                  <w:noWrap w:val="0"/>
                  <w:vAlign w:val="center"/>
                </w:tcPr>
                <w:p w14:paraId="2EF40CE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vMerge w:val="continue"/>
                  <w:noWrap w:val="0"/>
                  <w:vAlign w:val="center"/>
                </w:tcPr>
                <w:p w14:paraId="6754F438">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2370" w:type="dxa"/>
                  <w:noWrap w:val="0"/>
                  <w:vAlign w:val="center"/>
                </w:tcPr>
                <w:p w14:paraId="51AFF75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《污水综合排放标准》（GB8978-1996）表4中其他排污单位最高允许排放浓度三级标准</w:t>
                  </w:r>
                </w:p>
              </w:tc>
              <w:tc>
                <w:tcPr>
                  <w:tcW w:w="1743" w:type="dxa"/>
                  <w:noWrap w:val="0"/>
                  <w:vAlign w:val="center"/>
                </w:tcPr>
                <w:p w14:paraId="7AEC4518">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双鸭山污水处理厂入厂标准</w:t>
                  </w:r>
                </w:p>
              </w:tc>
              <w:tc>
                <w:tcPr>
                  <w:tcW w:w="1332" w:type="dxa"/>
                  <w:noWrap w:val="0"/>
                  <w:vAlign w:val="center"/>
                </w:tcPr>
                <w:p w14:paraId="5D043F7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从严</w:t>
                  </w:r>
                </w:p>
              </w:tc>
            </w:tr>
            <w:tr w14:paraId="5ABFC9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vMerge w:val="continue"/>
                  <w:noWrap w:val="0"/>
                  <w:vAlign w:val="center"/>
                </w:tcPr>
                <w:p w14:paraId="0D97C92A">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036" w:type="dxa"/>
                  <w:vMerge w:val="continue"/>
                  <w:noWrap w:val="0"/>
                  <w:vAlign w:val="center"/>
                </w:tcPr>
                <w:p w14:paraId="66143DA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vMerge w:val="continue"/>
                  <w:noWrap w:val="0"/>
                  <w:vAlign w:val="center"/>
                </w:tcPr>
                <w:p w14:paraId="2126D11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4113" w:type="dxa"/>
                  <w:gridSpan w:val="2"/>
                  <w:noWrap w:val="0"/>
                  <w:vAlign w:val="center"/>
                </w:tcPr>
                <w:p w14:paraId="1863F337">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浓度限值（mg/L）</w:t>
                  </w:r>
                </w:p>
              </w:tc>
              <w:tc>
                <w:tcPr>
                  <w:tcW w:w="1332" w:type="dxa"/>
                  <w:noWrap w:val="0"/>
                  <w:vAlign w:val="center"/>
                </w:tcPr>
                <w:p w14:paraId="6A2B662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r>
            <w:tr w14:paraId="642F3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noWrap w:val="0"/>
                  <w:vAlign w:val="center"/>
                </w:tcPr>
                <w:p w14:paraId="5BBCEDD0">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1</w:t>
                  </w:r>
                </w:p>
              </w:tc>
              <w:tc>
                <w:tcPr>
                  <w:tcW w:w="1036" w:type="dxa"/>
                  <w:vMerge w:val="restart"/>
                  <w:noWrap w:val="0"/>
                  <w:vAlign w:val="center"/>
                </w:tcPr>
                <w:p w14:paraId="7F182114">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DW001</w:t>
                  </w:r>
                </w:p>
              </w:tc>
              <w:tc>
                <w:tcPr>
                  <w:tcW w:w="1270" w:type="dxa"/>
                  <w:noWrap w:val="0"/>
                  <w:vAlign w:val="center"/>
                </w:tcPr>
                <w:p w14:paraId="04E9D0C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pH</w:t>
                  </w:r>
                </w:p>
              </w:tc>
              <w:tc>
                <w:tcPr>
                  <w:tcW w:w="2370" w:type="dxa"/>
                  <w:noWrap w:val="0"/>
                  <w:vAlign w:val="center"/>
                </w:tcPr>
                <w:p w14:paraId="1197C9DC">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6~9</w:t>
                  </w:r>
                </w:p>
              </w:tc>
              <w:tc>
                <w:tcPr>
                  <w:tcW w:w="1743" w:type="dxa"/>
                  <w:noWrap w:val="0"/>
                  <w:vAlign w:val="center"/>
                </w:tcPr>
                <w:p w14:paraId="32339B16">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w:t>
                  </w:r>
                </w:p>
              </w:tc>
              <w:tc>
                <w:tcPr>
                  <w:tcW w:w="1332" w:type="dxa"/>
                  <w:noWrap w:val="0"/>
                  <w:vAlign w:val="center"/>
                </w:tcPr>
                <w:p w14:paraId="350696A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6~9</w:t>
                  </w:r>
                </w:p>
              </w:tc>
            </w:tr>
            <w:tr w14:paraId="31D3D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noWrap w:val="0"/>
                  <w:vAlign w:val="center"/>
                </w:tcPr>
                <w:p w14:paraId="470E3C64">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w:t>
                  </w:r>
                </w:p>
              </w:tc>
              <w:tc>
                <w:tcPr>
                  <w:tcW w:w="1036" w:type="dxa"/>
                  <w:vMerge w:val="continue"/>
                  <w:tcBorders/>
                  <w:noWrap w:val="0"/>
                  <w:vAlign w:val="center"/>
                </w:tcPr>
                <w:p w14:paraId="3B448467">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0902DF3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化学需氧量</w:t>
                  </w:r>
                </w:p>
              </w:tc>
              <w:tc>
                <w:tcPr>
                  <w:tcW w:w="2370" w:type="dxa"/>
                  <w:noWrap w:val="0"/>
                  <w:vAlign w:val="center"/>
                </w:tcPr>
                <w:p w14:paraId="38E69FE6">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500</w:t>
                  </w:r>
                </w:p>
              </w:tc>
              <w:tc>
                <w:tcPr>
                  <w:tcW w:w="1743" w:type="dxa"/>
                  <w:noWrap w:val="0"/>
                  <w:vAlign w:val="center"/>
                </w:tcPr>
                <w:p w14:paraId="4161A51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350</w:t>
                  </w:r>
                </w:p>
              </w:tc>
              <w:tc>
                <w:tcPr>
                  <w:tcW w:w="1332" w:type="dxa"/>
                  <w:noWrap w:val="0"/>
                  <w:vAlign w:val="center"/>
                </w:tcPr>
                <w:p w14:paraId="46D74865">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350</w:t>
                  </w:r>
                </w:p>
              </w:tc>
            </w:tr>
            <w:tr w14:paraId="4C184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11" w:type="dxa"/>
                  <w:noWrap w:val="0"/>
                  <w:vAlign w:val="center"/>
                </w:tcPr>
                <w:p w14:paraId="46220FFD">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w:t>
                  </w:r>
                </w:p>
              </w:tc>
              <w:tc>
                <w:tcPr>
                  <w:tcW w:w="1036" w:type="dxa"/>
                  <w:vMerge w:val="continue"/>
                  <w:tcBorders/>
                  <w:noWrap w:val="0"/>
                  <w:vAlign w:val="center"/>
                </w:tcPr>
                <w:p w14:paraId="4A72A4DA">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64BF5111">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生化需氧量</w:t>
                  </w:r>
                </w:p>
              </w:tc>
              <w:tc>
                <w:tcPr>
                  <w:tcW w:w="2370" w:type="dxa"/>
                  <w:noWrap w:val="0"/>
                  <w:vAlign w:val="center"/>
                </w:tcPr>
                <w:p w14:paraId="093A7D06">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300</w:t>
                  </w:r>
                </w:p>
              </w:tc>
              <w:tc>
                <w:tcPr>
                  <w:tcW w:w="1743" w:type="dxa"/>
                  <w:noWrap w:val="0"/>
                  <w:vAlign w:val="center"/>
                </w:tcPr>
                <w:p w14:paraId="5A7A4B61">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250</w:t>
                  </w:r>
                </w:p>
              </w:tc>
              <w:tc>
                <w:tcPr>
                  <w:tcW w:w="1332" w:type="dxa"/>
                  <w:noWrap w:val="0"/>
                  <w:vAlign w:val="center"/>
                </w:tcPr>
                <w:p w14:paraId="7E31740C">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250</w:t>
                  </w:r>
                </w:p>
              </w:tc>
            </w:tr>
            <w:tr w14:paraId="7BFEF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6B45CCE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w:t>
                  </w:r>
                </w:p>
              </w:tc>
              <w:tc>
                <w:tcPr>
                  <w:tcW w:w="1036" w:type="dxa"/>
                  <w:vMerge w:val="continue"/>
                  <w:tcBorders/>
                  <w:noWrap w:val="0"/>
                  <w:vAlign w:val="center"/>
                </w:tcPr>
                <w:p w14:paraId="09ADC0C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609A0E0F">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氨氮</w:t>
                  </w:r>
                </w:p>
              </w:tc>
              <w:tc>
                <w:tcPr>
                  <w:tcW w:w="2370" w:type="dxa"/>
                  <w:noWrap w:val="0"/>
                  <w:vAlign w:val="center"/>
                </w:tcPr>
                <w:p w14:paraId="52C4363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w:t>
                  </w:r>
                </w:p>
              </w:tc>
              <w:tc>
                <w:tcPr>
                  <w:tcW w:w="1743" w:type="dxa"/>
                  <w:noWrap w:val="0"/>
                  <w:vAlign w:val="center"/>
                </w:tcPr>
                <w:p w14:paraId="77EDA6A5">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w:t>
                  </w:r>
                </w:p>
              </w:tc>
              <w:tc>
                <w:tcPr>
                  <w:tcW w:w="1332" w:type="dxa"/>
                  <w:noWrap w:val="0"/>
                  <w:vAlign w:val="center"/>
                </w:tcPr>
                <w:p w14:paraId="71E4DAB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25</w:t>
                  </w:r>
                </w:p>
              </w:tc>
            </w:tr>
            <w:tr w14:paraId="4B5ED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7DCA6FBC">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5</w:t>
                  </w:r>
                </w:p>
              </w:tc>
              <w:tc>
                <w:tcPr>
                  <w:tcW w:w="1036" w:type="dxa"/>
                  <w:vMerge w:val="continue"/>
                  <w:tcBorders/>
                  <w:noWrap w:val="0"/>
                  <w:vAlign w:val="center"/>
                </w:tcPr>
                <w:p w14:paraId="617EDA0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2BF2188C">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悬浮物</w:t>
                  </w:r>
                </w:p>
              </w:tc>
              <w:tc>
                <w:tcPr>
                  <w:tcW w:w="2370" w:type="dxa"/>
                  <w:noWrap w:val="0"/>
                  <w:vAlign w:val="center"/>
                </w:tcPr>
                <w:p w14:paraId="1E1E48FF">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400</w:t>
                  </w:r>
                </w:p>
              </w:tc>
              <w:tc>
                <w:tcPr>
                  <w:tcW w:w="1743" w:type="dxa"/>
                  <w:noWrap w:val="0"/>
                  <w:vAlign w:val="center"/>
                </w:tcPr>
                <w:p w14:paraId="475408A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300</w:t>
                  </w:r>
                </w:p>
              </w:tc>
              <w:tc>
                <w:tcPr>
                  <w:tcW w:w="1332" w:type="dxa"/>
                  <w:noWrap w:val="0"/>
                  <w:vAlign w:val="center"/>
                </w:tcPr>
                <w:p w14:paraId="03B8108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300</w:t>
                  </w:r>
                </w:p>
              </w:tc>
            </w:tr>
            <w:tr w14:paraId="0C7CE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51629D1F">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6</w:t>
                  </w:r>
                </w:p>
              </w:tc>
              <w:tc>
                <w:tcPr>
                  <w:tcW w:w="1036" w:type="dxa"/>
                  <w:vMerge w:val="continue"/>
                  <w:tcBorders/>
                  <w:noWrap w:val="0"/>
                  <w:vAlign w:val="center"/>
                </w:tcPr>
                <w:p w14:paraId="47F17416">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1A7398C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总氮</w:t>
                  </w:r>
                </w:p>
              </w:tc>
              <w:tc>
                <w:tcPr>
                  <w:tcW w:w="2370" w:type="dxa"/>
                  <w:noWrap w:val="0"/>
                  <w:vAlign w:val="center"/>
                </w:tcPr>
                <w:p w14:paraId="33091A2F">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w:t>
                  </w:r>
                </w:p>
              </w:tc>
              <w:tc>
                <w:tcPr>
                  <w:tcW w:w="1743" w:type="dxa"/>
                  <w:noWrap w:val="0"/>
                  <w:vAlign w:val="center"/>
                </w:tcPr>
                <w:p w14:paraId="2E1BA60A">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40</w:t>
                  </w:r>
                </w:p>
              </w:tc>
              <w:tc>
                <w:tcPr>
                  <w:tcW w:w="1332" w:type="dxa"/>
                  <w:noWrap w:val="0"/>
                  <w:vAlign w:val="center"/>
                </w:tcPr>
                <w:p w14:paraId="6F452F8A">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40</w:t>
                  </w:r>
                </w:p>
              </w:tc>
            </w:tr>
            <w:tr w14:paraId="2195D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0F29B0D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7</w:t>
                  </w:r>
                </w:p>
              </w:tc>
              <w:tc>
                <w:tcPr>
                  <w:tcW w:w="1036" w:type="dxa"/>
                  <w:vMerge w:val="continue"/>
                  <w:tcBorders/>
                  <w:noWrap w:val="0"/>
                  <w:vAlign w:val="center"/>
                </w:tcPr>
                <w:p w14:paraId="56465789">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36D4EDC6">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总磷</w:t>
                  </w:r>
                </w:p>
              </w:tc>
              <w:tc>
                <w:tcPr>
                  <w:tcW w:w="2370" w:type="dxa"/>
                  <w:noWrap w:val="0"/>
                  <w:vAlign w:val="center"/>
                </w:tcPr>
                <w:p w14:paraId="11F1285B">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w:t>
                  </w:r>
                </w:p>
              </w:tc>
              <w:tc>
                <w:tcPr>
                  <w:tcW w:w="1743" w:type="dxa"/>
                  <w:noWrap w:val="0"/>
                  <w:vAlign w:val="center"/>
                </w:tcPr>
                <w:p w14:paraId="6A2085F4">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w:t>
                  </w:r>
                </w:p>
              </w:tc>
              <w:tc>
                <w:tcPr>
                  <w:tcW w:w="1332" w:type="dxa"/>
                  <w:noWrap w:val="0"/>
                  <w:vAlign w:val="center"/>
                </w:tcPr>
                <w:p w14:paraId="29BC7EF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4</w:t>
                  </w:r>
                </w:p>
              </w:tc>
            </w:tr>
            <w:tr w14:paraId="34C36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39DAD31D">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8</w:t>
                  </w:r>
                </w:p>
              </w:tc>
              <w:tc>
                <w:tcPr>
                  <w:tcW w:w="1036" w:type="dxa"/>
                  <w:vMerge w:val="continue"/>
                  <w:tcBorders/>
                  <w:noWrap w:val="0"/>
                  <w:vAlign w:val="center"/>
                </w:tcPr>
                <w:p w14:paraId="5204F283">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p>
              </w:tc>
              <w:tc>
                <w:tcPr>
                  <w:tcW w:w="1270" w:type="dxa"/>
                  <w:noWrap w:val="0"/>
                  <w:vAlign w:val="center"/>
                </w:tcPr>
                <w:p w14:paraId="7F41F250">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动植物油</w:t>
                  </w:r>
                </w:p>
              </w:tc>
              <w:tc>
                <w:tcPr>
                  <w:tcW w:w="2370" w:type="dxa"/>
                  <w:noWrap w:val="0"/>
                  <w:vAlign w:val="center"/>
                </w:tcPr>
                <w:p w14:paraId="39756D5E">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100</w:t>
                  </w:r>
                </w:p>
              </w:tc>
              <w:tc>
                <w:tcPr>
                  <w:tcW w:w="1743" w:type="dxa"/>
                  <w:noWrap w:val="0"/>
                  <w:vAlign w:val="center"/>
                </w:tcPr>
                <w:p w14:paraId="256C6C22">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w:t>
                  </w:r>
                </w:p>
              </w:tc>
              <w:tc>
                <w:tcPr>
                  <w:tcW w:w="1332" w:type="dxa"/>
                  <w:noWrap w:val="0"/>
                  <w:vAlign w:val="center"/>
                </w:tcPr>
                <w:p w14:paraId="1A70847D">
                  <w:pPr>
                    <w:pStyle w:val="34"/>
                    <w:spacing w:beforeLines="0" w:afterLines="0"/>
                    <w:rPr>
                      <w:rFonts w:hint="default" w:ascii="Times New Roman" w:hAnsi="Times New Roman" w:eastAsia="宋体" w:cs="Times New Roman"/>
                      <w:color w:val="000000" w:themeColor="text1"/>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sz w:val="21"/>
                      <w:szCs w:val="20"/>
                      <w:lang w:val="en-US" w:eastAsia="zh-CN"/>
                      <w14:textFill>
                        <w14:solidFill>
                          <w14:schemeClr w14:val="tx1"/>
                        </w14:solidFill>
                      </w14:textFill>
                    </w:rPr>
                    <w:t>100</w:t>
                  </w:r>
                </w:p>
              </w:tc>
            </w:tr>
            <w:tr w14:paraId="02F7C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noWrap w:val="0"/>
                  <w:vAlign w:val="center"/>
                </w:tcPr>
                <w:p w14:paraId="04AB3528">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9</w:t>
                  </w:r>
                </w:p>
              </w:tc>
              <w:tc>
                <w:tcPr>
                  <w:tcW w:w="1036" w:type="dxa"/>
                  <w:vMerge w:val="continue"/>
                  <w:tcBorders/>
                  <w:noWrap w:val="0"/>
                  <w:vAlign w:val="center"/>
                </w:tcPr>
                <w:p w14:paraId="5D2E6350">
                  <w:pPr>
                    <w:pStyle w:val="34"/>
                    <w:spacing w:beforeLines="0" w:afterLines="0"/>
                    <w:rPr>
                      <w:rFonts w:hint="default" w:ascii="Times New Roman" w:hAnsi="Times New Roman" w:eastAsia="宋体" w:cs="Times New Roman"/>
                      <w:color w:val="0000FF"/>
                      <w:sz w:val="21"/>
                      <w:szCs w:val="20"/>
                      <w:lang w:val="en-US" w:eastAsia="zh-CN"/>
                    </w:rPr>
                  </w:pPr>
                </w:p>
              </w:tc>
              <w:tc>
                <w:tcPr>
                  <w:tcW w:w="1270" w:type="dxa"/>
                  <w:noWrap w:val="0"/>
                  <w:vAlign w:val="center"/>
                </w:tcPr>
                <w:p w14:paraId="1EF72B33">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LAS</w:t>
                  </w:r>
                </w:p>
              </w:tc>
              <w:tc>
                <w:tcPr>
                  <w:tcW w:w="2370" w:type="dxa"/>
                  <w:noWrap w:val="0"/>
                  <w:vAlign w:val="center"/>
                </w:tcPr>
                <w:p w14:paraId="5F3D4BB0">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20</w:t>
                  </w:r>
                </w:p>
              </w:tc>
              <w:tc>
                <w:tcPr>
                  <w:tcW w:w="1743" w:type="dxa"/>
                  <w:noWrap w:val="0"/>
                  <w:vAlign w:val="center"/>
                </w:tcPr>
                <w:p w14:paraId="5AED14AA">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w:t>
                  </w:r>
                </w:p>
              </w:tc>
              <w:tc>
                <w:tcPr>
                  <w:tcW w:w="1332" w:type="dxa"/>
                  <w:noWrap w:val="0"/>
                  <w:vAlign w:val="center"/>
                </w:tcPr>
                <w:p w14:paraId="30CDCEE4">
                  <w:pPr>
                    <w:pStyle w:val="34"/>
                    <w:spacing w:beforeLines="0" w:afterLines="0"/>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20</w:t>
                  </w:r>
                </w:p>
              </w:tc>
            </w:tr>
          </w:tbl>
          <w:p w14:paraId="010D6952">
            <w:pPr>
              <w:pStyle w:val="35"/>
              <w:adjustRightInd w:val="0"/>
              <w:snapToGrid w:val="0"/>
              <w:spacing w:line="360" w:lineRule="auto"/>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（2）污染防治措施可行性分析</w:t>
            </w:r>
          </w:p>
          <w:p w14:paraId="0C0B2E10">
            <w:pPr>
              <w:pStyle w:val="7"/>
              <w:spacing w:line="360" w:lineRule="auto"/>
              <w:ind w:firstLine="480" w:firstLineChars="200"/>
              <w:rPr>
                <w:rFonts w:hint="default" w:ascii="Times New Roman" w:hAnsi="Times New Roman" w:eastAsia="宋体" w:cs="Times New Roman"/>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宋体" w:cs="Times New Roman"/>
                <w:color w:val="FF0000"/>
                <w:kern w:val="0"/>
                <w:sz w:val="24"/>
                <w:szCs w:val="24"/>
                <w:highlight w:val="none"/>
                <w:lang w:bidi="ar"/>
              </w:rPr>
              <w:t>本项目</w:t>
            </w:r>
            <w:r>
              <w:rPr>
                <w:rFonts w:hint="default" w:ascii="Times New Roman" w:hAnsi="Times New Roman" w:eastAsia="宋体" w:cs="Times New Roman"/>
                <w:color w:val="FF0000"/>
                <w:kern w:val="0"/>
                <w:sz w:val="24"/>
                <w:szCs w:val="24"/>
                <w:highlight w:val="none"/>
                <w:lang w:eastAsia="zh-CN" w:bidi="ar"/>
              </w:rPr>
              <w:t>综合废</w:t>
            </w:r>
            <w:r>
              <w:rPr>
                <w:rFonts w:hint="default" w:ascii="Times New Roman" w:hAnsi="Times New Roman" w:eastAsia="宋体" w:cs="Times New Roman"/>
                <w:color w:val="FF0000"/>
                <w:kern w:val="0"/>
                <w:sz w:val="24"/>
                <w:szCs w:val="24"/>
                <w:highlight w:val="none"/>
                <w:lang w:bidi="ar"/>
              </w:rPr>
              <w:t>水</w:t>
            </w:r>
            <w:r>
              <w:rPr>
                <w:rFonts w:hint="default" w:ascii="Times New Roman" w:hAnsi="Times New Roman" w:eastAsia="宋体" w:cs="Times New Roman"/>
                <w:color w:val="FF0000"/>
                <w:kern w:val="0"/>
                <w:sz w:val="24"/>
                <w:szCs w:val="24"/>
                <w:highlight w:val="none"/>
                <w:lang w:eastAsia="zh-CN" w:bidi="ar"/>
              </w:rPr>
              <w:t>排放</w:t>
            </w:r>
            <w:r>
              <w:rPr>
                <w:rFonts w:hint="default" w:ascii="Times New Roman" w:hAnsi="Times New Roman" w:eastAsia="宋体" w:cs="Times New Roman"/>
                <w:color w:val="FF0000"/>
                <w:kern w:val="0"/>
                <w:sz w:val="24"/>
                <w:szCs w:val="24"/>
                <w:highlight w:val="none"/>
                <w:lang w:bidi="ar"/>
              </w:rPr>
              <w:t>量为</w:t>
            </w:r>
            <w:r>
              <w:rPr>
                <w:rFonts w:hint="default" w:ascii="Times New Roman" w:hAnsi="Times New Roman" w:eastAsia="宋体" w:cs="Times New Roman"/>
                <w:color w:val="FF0000"/>
                <w:kern w:val="0"/>
                <w:sz w:val="24"/>
                <w:szCs w:val="24"/>
                <w:highlight w:val="none"/>
                <w:lang w:val="en-US" w:eastAsia="zh-CN" w:bidi="ar"/>
              </w:rPr>
              <w:t>2192.1</w:t>
            </w:r>
            <w:r>
              <w:rPr>
                <w:rFonts w:hint="default" w:ascii="Times New Roman" w:hAnsi="Times New Roman" w:eastAsia="宋体" w:cs="Times New Roman"/>
                <w:color w:val="FF0000"/>
                <w:kern w:val="0"/>
                <w:sz w:val="24"/>
                <w:szCs w:val="24"/>
                <w:highlight w:val="none"/>
                <w:lang w:bidi="ar"/>
              </w:rPr>
              <w:t>m</w:t>
            </w:r>
            <w:r>
              <w:rPr>
                <w:rFonts w:hint="default" w:ascii="Times New Roman" w:hAnsi="Times New Roman" w:eastAsia="宋体" w:cs="Times New Roman"/>
                <w:color w:val="FF0000"/>
                <w:kern w:val="0"/>
                <w:sz w:val="24"/>
                <w:szCs w:val="24"/>
                <w:highlight w:val="none"/>
                <w:vertAlign w:val="superscript"/>
                <w:lang w:bidi="ar"/>
              </w:rPr>
              <w:t>3</w:t>
            </w:r>
            <w:r>
              <w:rPr>
                <w:rFonts w:hint="default" w:ascii="Times New Roman" w:hAnsi="Times New Roman" w:eastAsia="宋体" w:cs="Times New Roman"/>
                <w:color w:val="FF0000"/>
                <w:kern w:val="0"/>
                <w:sz w:val="24"/>
                <w:szCs w:val="24"/>
                <w:highlight w:val="none"/>
                <w:lang w:bidi="ar"/>
              </w:rPr>
              <w:t>/a（</w:t>
            </w:r>
            <w:r>
              <w:rPr>
                <w:rFonts w:hint="default" w:ascii="Times New Roman" w:hAnsi="Times New Roman" w:eastAsia="宋体" w:cs="Times New Roman"/>
                <w:color w:val="FF0000"/>
                <w:kern w:val="0"/>
                <w:sz w:val="24"/>
                <w:szCs w:val="24"/>
                <w:highlight w:val="none"/>
                <w:lang w:val="en-US" w:eastAsia="zh-CN" w:bidi="ar"/>
              </w:rPr>
              <w:t>7.307</w:t>
            </w:r>
            <w:r>
              <w:rPr>
                <w:rFonts w:hint="default" w:ascii="Times New Roman" w:hAnsi="Times New Roman" w:eastAsia="宋体" w:cs="Times New Roman"/>
                <w:color w:val="FF0000"/>
                <w:kern w:val="0"/>
                <w:sz w:val="24"/>
                <w:szCs w:val="24"/>
                <w:highlight w:val="none"/>
                <w:lang w:bidi="ar"/>
              </w:rPr>
              <w:t>m</w:t>
            </w:r>
            <w:r>
              <w:rPr>
                <w:rFonts w:hint="default" w:ascii="Times New Roman" w:hAnsi="Times New Roman" w:eastAsia="宋体" w:cs="Times New Roman"/>
                <w:color w:val="FF0000"/>
                <w:kern w:val="0"/>
                <w:sz w:val="24"/>
                <w:szCs w:val="24"/>
                <w:highlight w:val="none"/>
                <w:vertAlign w:val="superscript"/>
                <w:lang w:bidi="ar"/>
              </w:rPr>
              <w:t>3</w:t>
            </w:r>
            <w:r>
              <w:rPr>
                <w:rFonts w:hint="default" w:ascii="Times New Roman" w:hAnsi="Times New Roman" w:eastAsia="宋体" w:cs="Times New Roman"/>
                <w:color w:val="FF0000"/>
                <w:kern w:val="0"/>
                <w:sz w:val="24"/>
                <w:szCs w:val="24"/>
                <w:highlight w:val="none"/>
                <w:lang w:bidi="ar"/>
              </w:rPr>
              <w:t>/d）</w:t>
            </w:r>
            <w:r>
              <w:rPr>
                <w:rFonts w:hint="default" w:ascii="Times New Roman" w:hAnsi="Times New Roman" w:eastAsia="宋体" w:cs="Times New Roman"/>
                <w:color w:val="FF0000"/>
                <w:kern w:val="0"/>
                <w:sz w:val="24"/>
                <w:szCs w:val="24"/>
                <w:highlight w:val="none"/>
                <w:lang w:eastAsia="zh-CN" w:bidi="ar"/>
              </w:rPr>
              <w:t>，拟建</w:t>
            </w:r>
            <w:r>
              <w:rPr>
                <w:rFonts w:hint="default" w:ascii="Times New Roman" w:hAnsi="Times New Roman" w:eastAsia="宋体" w:cs="Times New Roman"/>
                <w:color w:val="FF0000"/>
                <w:kern w:val="0"/>
                <w:sz w:val="24"/>
                <w:szCs w:val="24"/>
                <w:highlight w:val="none"/>
                <w:lang w:bidi="ar"/>
              </w:rPr>
              <w:t>污水处理站采用“</w:t>
            </w:r>
            <w:r>
              <w:rPr>
                <w:rFonts w:hint="default" w:ascii="Times New Roman" w:hAnsi="Times New Roman" w:eastAsia="宋体" w:cs="Times New Roman"/>
                <w:color w:val="FF0000"/>
                <w:kern w:val="0"/>
                <w:sz w:val="24"/>
                <w:szCs w:val="24"/>
                <w:highlight w:val="none"/>
                <w:lang w:val="en-US" w:eastAsia="zh-CN" w:bidi="ar"/>
              </w:rPr>
              <w:t>机械格栅+隔油调节池+气浮机+一体化污水处理设施（缺氧池+好氧池+沉淀池）</w:t>
            </w:r>
            <w:r>
              <w:rPr>
                <w:rFonts w:hint="default" w:ascii="Times New Roman" w:hAnsi="Times New Roman" w:eastAsia="宋体" w:cs="Times New Roman"/>
                <w:color w:val="FF0000"/>
                <w:kern w:val="0"/>
                <w:sz w:val="24"/>
                <w:szCs w:val="24"/>
                <w:highlight w:val="none"/>
                <w:lang w:bidi="ar"/>
              </w:rPr>
              <w:t>”工艺，日处理能力为</w:t>
            </w:r>
            <w:r>
              <w:rPr>
                <w:rFonts w:hint="default" w:ascii="Times New Roman" w:hAnsi="Times New Roman" w:eastAsia="宋体" w:cs="Times New Roman"/>
                <w:color w:val="FF0000"/>
                <w:kern w:val="0"/>
                <w:sz w:val="24"/>
                <w:szCs w:val="24"/>
                <w:highlight w:val="none"/>
                <w:lang w:val="en-US" w:eastAsia="zh-CN" w:bidi="ar"/>
              </w:rPr>
              <w:t>15</w:t>
            </w:r>
            <w:r>
              <w:rPr>
                <w:rFonts w:hint="default" w:ascii="Times New Roman" w:hAnsi="Times New Roman" w:eastAsia="宋体" w:cs="Times New Roman"/>
                <w:color w:val="FF0000"/>
                <w:kern w:val="0"/>
                <w:sz w:val="24"/>
                <w:szCs w:val="24"/>
                <w:highlight w:val="none"/>
                <w:lang w:bidi="ar"/>
              </w:rPr>
              <w:t>m</w:t>
            </w:r>
            <w:r>
              <w:rPr>
                <w:rFonts w:hint="default" w:ascii="Times New Roman" w:hAnsi="Times New Roman" w:eastAsia="宋体" w:cs="Times New Roman"/>
                <w:color w:val="FF0000"/>
                <w:kern w:val="0"/>
                <w:sz w:val="24"/>
                <w:szCs w:val="24"/>
                <w:highlight w:val="none"/>
                <w:vertAlign w:val="superscript"/>
                <w:lang w:bidi="ar"/>
              </w:rPr>
              <w:t>3</w:t>
            </w:r>
            <w:r>
              <w:rPr>
                <w:rFonts w:hint="default" w:ascii="Times New Roman" w:hAnsi="Times New Roman" w:eastAsia="宋体" w:cs="Times New Roman"/>
                <w:color w:val="FF0000"/>
                <w:kern w:val="0"/>
                <w:sz w:val="24"/>
                <w:szCs w:val="24"/>
                <w:highlight w:val="none"/>
                <w:lang w:bidi="ar"/>
              </w:rPr>
              <w:t>/d，满足本项目要求。根据《排污许可证申请与核发技术规范 食品制造工业-方便食品、食品及饲料添加剂制造工业》（HJ1030.3-2019），本项目生产废水采用“</w:t>
            </w:r>
            <w:r>
              <w:rPr>
                <w:rFonts w:hint="default" w:ascii="Times New Roman" w:hAnsi="Times New Roman" w:eastAsia="宋体" w:cs="Times New Roman"/>
                <w:color w:val="FF0000"/>
                <w:kern w:val="0"/>
                <w:sz w:val="24"/>
                <w:szCs w:val="24"/>
                <w:highlight w:val="none"/>
                <w:lang w:val="en-US" w:eastAsia="zh-CN" w:bidi="ar"/>
              </w:rPr>
              <w:t>机械格栅+隔油调节池+气浮机+一体化污水处理设施（缺氧池+好氧池+沉淀池）</w:t>
            </w:r>
            <w:r>
              <w:rPr>
                <w:rFonts w:hint="default" w:ascii="Times New Roman" w:hAnsi="Times New Roman" w:eastAsia="宋体" w:cs="Times New Roman"/>
                <w:color w:val="FF0000"/>
                <w:kern w:val="0"/>
                <w:sz w:val="24"/>
                <w:szCs w:val="24"/>
                <w:highlight w:val="none"/>
                <w:lang w:bidi="ar"/>
              </w:rPr>
              <w:t>”进行处理，为可行技术</w:t>
            </w:r>
            <w:r>
              <w:rPr>
                <w:rFonts w:hint="default" w:ascii="Times New Roman" w:hAnsi="Times New Roman" w:eastAsia="宋体" w:cs="Times New Roman"/>
                <w:color w:val="FF0000"/>
                <w:kern w:val="0"/>
                <w:sz w:val="24"/>
                <w:szCs w:val="24"/>
                <w:highlight w:val="none"/>
                <w:lang w:eastAsia="zh-CN" w:bidi="ar"/>
              </w:rPr>
              <w:t>。</w:t>
            </w:r>
            <w:r>
              <w:rPr>
                <w:rFonts w:hint="default" w:ascii="Times New Roman" w:hAnsi="Times New Roman" w:eastAsia="宋体" w:cs="Times New Roman"/>
                <w:color w:val="FF0000"/>
                <w:kern w:val="0"/>
                <w:sz w:val="24"/>
                <w:szCs w:val="24"/>
                <w:highlight w:val="none"/>
                <w:lang w:bidi="ar"/>
              </w:rPr>
              <w:t>本项目</w:t>
            </w:r>
            <w:r>
              <w:rPr>
                <w:rFonts w:hint="default" w:ascii="Times New Roman" w:hAnsi="Times New Roman" w:eastAsia="宋体" w:cs="Times New Roman"/>
                <w:color w:val="FF0000"/>
                <w:kern w:val="0"/>
                <w:sz w:val="24"/>
                <w:szCs w:val="24"/>
                <w:highlight w:val="none"/>
                <w:lang w:val="en-US" w:eastAsia="zh-CN" w:bidi="ar"/>
              </w:rPr>
              <w:t>经化粪池处理后的生活污水与生产废水一起进入厂区污水处理站（机械格栅+隔油调节池+气浮机+一体化污水处理设施（缺氧池+好氧池+沉淀池）），处理后的综合废水经污水管网进入双鸭山龙江环保水务有限责任公司(双鸭山市污水处理厂)，处理达标后排入安邦河</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，排放浓度满足《污水综合排放标准》（GB8978-1996）表4中其他排污单位最高允许排放浓度三级标准及园区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双鸭山市污水处理厂</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进水水质指标。</w:t>
            </w:r>
            <w:r>
              <w:rPr>
                <w:rFonts w:hint="default" w:ascii="Times New Roman" w:hAnsi="Times New Roman" w:eastAsia="宋体" w:cs="Times New Roman"/>
                <w:color w:val="FF0000"/>
                <w:kern w:val="0"/>
                <w:sz w:val="24"/>
                <w:szCs w:val="24"/>
                <w:highlight w:val="none"/>
                <w:lang w:val="en-US" w:eastAsia="zh-CN" w:bidi="ar"/>
              </w:rPr>
              <w:t>本项目污水处理站内建设一座15m</w:t>
            </w:r>
            <w:r>
              <w:rPr>
                <w:rFonts w:hint="default" w:ascii="Times New Roman" w:hAnsi="Times New Roman" w:eastAsia="宋体" w:cs="Times New Roman"/>
                <w:color w:val="FF0000"/>
                <w:kern w:val="0"/>
                <w:sz w:val="24"/>
                <w:szCs w:val="24"/>
                <w:highlight w:val="none"/>
                <w:vertAlign w:val="superscript"/>
                <w:lang w:val="en-US" w:eastAsia="zh-CN" w:bidi="ar"/>
              </w:rPr>
              <w:t>3</w:t>
            </w:r>
            <w:r>
              <w:rPr>
                <w:rFonts w:hint="default" w:ascii="Times New Roman" w:hAnsi="Times New Roman" w:eastAsia="宋体" w:cs="Times New Roman"/>
                <w:color w:val="FF0000"/>
                <w:kern w:val="0"/>
                <w:sz w:val="24"/>
                <w:szCs w:val="24"/>
                <w:highlight w:val="none"/>
                <w:lang w:val="en-US" w:eastAsia="zh-CN" w:bidi="ar"/>
              </w:rPr>
              <w:t>事故池，污水处理站发生事故时，废水可以排入事故池暂存。</w:t>
            </w:r>
            <w:r>
              <w:rPr>
                <w:rFonts w:hint="default" w:ascii="Times New Roman" w:hAnsi="Times New Roman" w:eastAsia="宋体" w:cs="Times New Roman"/>
                <w:color w:val="FF0000"/>
                <w:kern w:val="0"/>
                <w:sz w:val="24"/>
                <w:szCs w:val="24"/>
                <w:highlight w:val="none"/>
                <w:lang w:eastAsia="zh-CN" w:bidi="ar"/>
              </w:rPr>
              <w:t>本项目污水处理工艺见下图。</w:t>
            </w:r>
          </w:p>
          <w:p w14:paraId="1D206480">
            <w:pPr>
              <w:pStyle w:val="8"/>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133975" cy="3190875"/>
                  <wp:effectExtent l="0" t="0" r="9525" b="9525"/>
                  <wp:docPr id="52" name="图片 52" descr="fda616441a10b20ae9df7659a6b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da616441a10b20ae9df7659a6b9453"/>
                          <pic:cNvPicPr>
                            <a:picLocks noChangeAspect="1"/>
                          </pic:cNvPicPr>
                        </pic:nvPicPr>
                        <pic:blipFill>
                          <a:blip r:embed="rId17"/>
                          <a:stretch>
                            <a:fillRect/>
                          </a:stretch>
                        </pic:blipFill>
                        <pic:spPr>
                          <a:xfrm>
                            <a:off x="0" y="0"/>
                            <a:ext cx="5133975" cy="3190875"/>
                          </a:xfrm>
                          <a:prstGeom prst="rect">
                            <a:avLst/>
                          </a:prstGeom>
                        </pic:spPr>
                      </pic:pic>
                    </a:graphicData>
                  </a:graphic>
                </wp:inline>
              </w:drawing>
            </w:r>
          </w:p>
          <w:p w14:paraId="1BC1F9A0">
            <w:pPr>
              <w:jc w:val="center"/>
              <w:rPr>
                <w:rFonts w:hint="default" w:ascii="Times New Roman" w:hAnsi="Times New Roman" w:eastAsia="宋体" w:cs="Times New Roman"/>
                <w:b/>
                <w:bCs/>
                <w:color w:val="FF0000"/>
                <w:sz w:val="24"/>
                <w:szCs w:val="24"/>
                <w:lang w:val="en-US" w:eastAsia="zh-CN"/>
              </w:rPr>
            </w:pPr>
            <w:r>
              <w:rPr>
                <w:rFonts w:hint="default" w:ascii="Times New Roman" w:hAnsi="Times New Roman" w:eastAsia="宋体" w:cs="Times New Roman"/>
                <w:b/>
                <w:bCs/>
                <w:color w:val="FF0000"/>
                <w:sz w:val="24"/>
                <w:szCs w:val="24"/>
                <w:lang w:eastAsia="zh-CN"/>
              </w:rPr>
              <w:t>图</w:t>
            </w:r>
            <w:r>
              <w:rPr>
                <w:rFonts w:hint="default" w:ascii="Times New Roman" w:hAnsi="Times New Roman" w:eastAsia="宋体" w:cs="Times New Roman"/>
                <w:b/>
                <w:bCs/>
                <w:color w:val="FF0000"/>
                <w:sz w:val="24"/>
                <w:szCs w:val="24"/>
                <w:lang w:val="en-US" w:eastAsia="zh-CN"/>
              </w:rPr>
              <w:t>4-1 污水处理工艺图</w:t>
            </w:r>
          </w:p>
          <w:p w14:paraId="7BD2B1D3">
            <w:pPr>
              <w:pStyle w:val="35"/>
              <w:adjustRightInd w:val="0"/>
              <w:snapToGrid w:val="0"/>
              <w:spacing w:line="360" w:lineRule="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工艺流程简述：</w:t>
            </w:r>
          </w:p>
          <w:p w14:paraId="34FC645D">
            <w:pPr>
              <w:pStyle w:val="35"/>
              <w:adjustRightInd w:val="0"/>
              <w:snapToGrid w:val="0"/>
              <w:spacing w:line="360" w:lineRule="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生产车间排放的生产废水先经过格栅自流流入隔油调节池，通过隔油调节池对浮油的拦截以及水质的均质后的生产废水与经化粪池处理过的生活污水进入气浮装置。气浮出水自流进入进入A/O池。在好氧池O池设有曝气系统及组合填料，利用好氧微生物的降解作用将水中有机物、氨氮等物质充分降解，出水自流进入沉淀池，出水达标接入市政管网。本次工程在机械格栅、隔油调节池、气浮机、A/O池均按照15m³/d设计。处理过程中产生的生化污泥，排入污泥池，定期通过污泥脱水机进行脱水。脱水的滤液回流至前段进行再处理。</w:t>
            </w:r>
          </w:p>
          <w:p w14:paraId="6FC58674">
            <w:pPr>
              <w:pStyle w:val="35"/>
              <w:adjustRightInd w:val="0"/>
              <w:snapToGrid w:val="0"/>
              <w:spacing w:line="360" w:lineRule="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最高允许排放量符合性：</w:t>
            </w:r>
          </w:p>
          <w:p w14:paraId="762806CD">
            <w:pPr>
              <w:pStyle w:val="35"/>
              <w:adjustRightInd w:val="0"/>
              <w:snapToGrid w:val="0"/>
              <w:spacing w:line="360" w:lineRule="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根据《</w:t>
            </w:r>
            <w:r>
              <w:rPr>
                <w:rFonts w:hint="default" w:ascii="Times New Roman" w:hAnsi="Times New Roman" w:eastAsia="宋体" w:cs="Times New Roman"/>
                <w:color w:val="FF0000"/>
                <w:sz w:val="24"/>
                <w:szCs w:val="24"/>
                <w:highlight w:val="none"/>
                <w:lang w:val="en-US" w:eastAsia="zh-CN"/>
              </w:rPr>
              <w:fldChar w:fldCharType="begin"/>
            </w:r>
            <w:r>
              <w:rPr>
                <w:rFonts w:hint="default" w:ascii="Times New Roman" w:hAnsi="Times New Roman" w:eastAsia="宋体" w:cs="Times New Roman"/>
                <w:color w:val="FF0000"/>
                <w:sz w:val="24"/>
                <w:szCs w:val="24"/>
                <w:highlight w:val="none"/>
                <w:lang w:val="en-US" w:eastAsia="zh-CN"/>
              </w:rPr>
              <w:instrText xml:space="preserve"> HYPERLINK "https://www.mee.gov.cn/ywgz/fgbz/bz/bzwb/pwxk/201908/W020190828515214781085.pdf" </w:instrText>
            </w:r>
            <w:r>
              <w:rPr>
                <w:rFonts w:hint="default" w:ascii="Times New Roman" w:hAnsi="Times New Roman" w:eastAsia="宋体" w:cs="Times New Roman"/>
                <w:color w:val="FF0000"/>
                <w:sz w:val="24"/>
                <w:szCs w:val="24"/>
                <w:highlight w:val="none"/>
                <w:lang w:val="en-US" w:eastAsia="zh-CN"/>
              </w:rPr>
              <w:fldChar w:fldCharType="separate"/>
            </w:r>
            <w:r>
              <w:rPr>
                <w:rFonts w:hint="default" w:ascii="Times New Roman" w:hAnsi="Times New Roman" w:eastAsia="宋体" w:cs="Times New Roman"/>
                <w:color w:val="FF0000"/>
                <w:sz w:val="24"/>
                <w:szCs w:val="24"/>
                <w:highlight w:val="none"/>
                <w:lang w:val="en-US" w:eastAsia="zh-CN"/>
              </w:rPr>
              <w:t>排污许可证申请与核发技术规范 食品制造工业—方便食品、食品及饲料添加剂制造工业（HJ 1030.3—2019）</w:t>
            </w:r>
            <w:r>
              <w:rPr>
                <w:rFonts w:hint="default" w:ascii="Times New Roman" w:hAnsi="Times New Roman" w:eastAsia="宋体" w:cs="Times New Roman"/>
                <w:color w:val="FF0000"/>
                <w:sz w:val="24"/>
                <w:szCs w:val="24"/>
                <w:highlight w:val="none"/>
                <w:lang w:val="en-US" w:eastAsia="zh-CN"/>
              </w:rPr>
              <w:fldChar w:fldCharType="end"/>
            </w:r>
            <w:r>
              <w:rPr>
                <w:rFonts w:hint="default" w:ascii="Times New Roman" w:hAnsi="Times New Roman" w:eastAsia="宋体" w:cs="Times New Roman"/>
                <w:color w:val="FF0000"/>
                <w:sz w:val="24"/>
                <w:szCs w:val="24"/>
                <w:highlight w:val="none"/>
                <w:lang w:val="en-US" w:eastAsia="zh-CN"/>
              </w:rPr>
              <w:t>》5.2.3，方便食品、食品及饲料添加剂制造工业排污单位水污染物年许可排放量是指排污单位废水总排放口水污染物年排放量的最高允许值，计算公式如下：</w:t>
            </w:r>
          </w:p>
          <w:p w14:paraId="4B11C276">
            <w:pPr>
              <w:pStyle w:val="35"/>
              <w:adjustRightInd w:val="0"/>
              <w:snapToGrid w:val="0"/>
              <w:spacing w:line="360" w:lineRule="auto"/>
              <w:jc w:val="center"/>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drawing>
                <wp:inline distT="0" distB="0" distL="114300" distR="114300">
                  <wp:extent cx="2295525" cy="685800"/>
                  <wp:effectExtent l="0" t="0" r="9525" b="0"/>
                  <wp:docPr id="58" name="图片 58" descr="d85bbd97c16e9263f747db8aed57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85bbd97c16e9263f747db8aed5713c"/>
                          <pic:cNvPicPr>
                            <a:picLocks noChangeAspect="1"/>
                          </pic:cNvPicPr>
                        </pic:nvPicPr>
                        <pic:blipFill>
                          <a:blip r:embed="rId18"/>
                          <a:stretch>
                            <a:fillRect/>
                          </a:stretch>
                        </pic:blipFill>
                        <pic:spPr>
                          <a:xfrm>
                            <a:off x="0" y="0"/>
                            <a:ext cx="2295525" cy="685800"/>
                          </a:xfrm>
                          <a:prstGeom prst="rect">
                            <a:avLst/>
                          </a:prstGeom>
                        </pic:spPr>
                      </pic:pic>
                    </a:graphicData>
                  </a:graphic>
                </wp:inline>
              </w:drawing>
            </w:r>
          </w:p>
          <w:p w14:paraId="60F91735">
            <w:pPr>
              <w:pStyle w:val="35"/>
              <w:adjustRightInd w:val="0"/>
              <w:snapToGrid w:val="0"/>
              <w:spacing w:line="360" w:lineRule="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式中：</w:t>
            </w:r>
            <w:r>
              <w:rPr>
                <w:rFonts w:hint="default" w:ascii="Times New Roman" w:hAnsi="Times New Roman" w:eastAsia="宋体" w:cs="Times New Roman"/>
                <w:i/>
                <w:iCs/>
                <w:color w:val="FF0000"/>
                <w:sz w:val="24"/>
                <w:szCs w:val="24"/>
                <w:highlight w:val="none"/>
                <w:lang w:val="en-US" w:eastAsia="zh-CN"/>
              </w:rPr>
              <w:t>D</w:t>
            </w:r>
            <w:r>
              <w:rPr>
                <w:rFonts w:hint="default" w:ascii="Times New Roman" w:hAnsi="Times New Roman" w:eastAsia="宋体" w:cs="Times New Roman"/>
                <w:i/>
                <w:iCs/>
                <w:color w:val="FF0000"/>
                <w:sz w:val="24"/>
                <w:szCs w:val="24"/>
                <w:highlight w:val="none"/>
                <w:vertAlign w:val="subscript"/>
                <w:lang w:val="en-US" w:eastAsia="zh-CN"/>
              </w:rPr>
              <w:t>j</w:t>
            </w:r>
            <w:r>
              <w:rPr>
                <w:rFonts w:hint="default" w:ascii="Times New Roman" w:hAnsi="Times New Roman" w:eastAsia="宋体" w:cs="Times New Roman"/>
                <w:color w:val="FF0000"/>
                <w:sz w:val="24"/>
                <w:szCs w:val="24"/>
                <w:highlight w:val="none"/>
                <w:lang w:val="en-US" w:eastAsia="zh-CN"/>
              </w:rPr>
              <w:t>一排污单位废水第j项水污染物的年允许排放量，t/a；</w:t>
            </w:r>
          </w:p>
          <w:p w14:paraId="57E0BC53">
            <w:pPr>
              <w:pStyle w:val="35"/>
              <w:adjustRightInd w:val="0"/>
              <w:snapToGrid w:val="0"/>
              <w:spacing w:line="360" w:lineRule="auto"/>
              <w:ind w:firstLine="1200" w:firstLineChars="5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i/>
                <w:iCs/>
                <w:color w:val="FF0000"/>
                <w:sz w:val="24"/>
                <w:szCs w:val="24"/>
                <w:highlight w:val="none"/>
                <w:lang w:val="en-US" w:eastAsia="zh-CN"/>
              </w:rPr>
              <w:t>S</w:t>
            </w:r>
            <w:r>
              <w:rPr>
                <w:rFonts w:hint="default" w:ascii="Times New Roman" w:hAnsi="Times New Roman" w:eastAsia="宋体" w:cs="Times New Roman"/>
                <w:i/>
                <w:iCs/>
                <w:color w:val="FF0000"/>
                <w:sz w:val="24"/>
                <w:szCs w:val="24"/>
                <w:highlight w:val="none"/>
                <w:vertAlign w:val="subscript"/>
                <w:lang w:val="en-US" w:eastAsia="zh-CN"/>
              </w:rPr>
              <w:t>i</w:t>
            </w:r>
            <w:r>
              <w:rPr>
                <w:rFonts w:hint="default" w:ascii="Times New Roman" w:hAnsi="Times New Roman" w:eastAsia="宋体" w:cs="Times New Roman"/>
                <w:color w:val="FF0000"/>
                <w:sz w:val="24"/>
                <w:szCs w:val="24"/>
                <w:highlight w:val="none"/>
                <w:lang w:val="en-US" w:eastAsia="zh-CN"/>
              </w:rPr>
              <w:t>一排污单位第i个生产线的产品产能，t产品/a；</w:t>
            </w:r>
          </w:p>
          <w:p w14:paraId="2FEE3013">
            <w:pPr>
              <w:pStyle w:val="35"/>
              <w:adjustRightInd w:val="0"/>
              <w:snapToGrid w:val="0"/>
              <w:spacing w:line="360" w:lineRule="auto"/>
              <w:ind w:firstLine="1200" w:firstLineChars="5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i/>
                <w:iCs/>
                <w:color w:val="FF0000"/>
                <w:sz w:val="24"/>
                <w:szCs w:val="24"/>
                <w:highlight w:val="none"/>
                <w:lang w:val="en-US" w:eastAsia="zh-CN"/>
              </w:rPr>
              <w:t>Q</w:t>
            </w:r>
            <w:r>
              <w:rPr>
                <w:rFonts w:hint="default" w:ascii="Times New Roman" w:hAnsi="Times New Roman" w:eastAsia="宋体" w:cs="Times New Roman"/>
                <w:i/>
                <w:iCs/>
                <w:color w:val="FF0000"/>
                <w:sz w:val="24"/>
                <w:szCs w:val="24"/>
                <w:highlight w:val="none"/>
                <w:vertAlign w:val="subscript"/>
                <w:lang w:val="en-US" w:eastAsia="zh-CN"/>
              </w:rPr>
              <w:t>i</w:t>
            </w:r>
            <w:r>
              <w:rPr>
                <w:rFonts w:hint="default" w:ascii="Times New Roman" w:hAnsi="Times New Roman" w:eastAsia="宋体" w:cs="Times New Roman"/>
                <w:color w:val="FF0000"/>
                <w:sz w:val="24"/>
                <w:szCs w:val="24"/>
                <w:highlight w:val="none"/>
                <w:lang w:val="en-US" w:eastAsia="zh-CN"/>
              </w:rPr>
              <w:t>一排污单位第i个生产线的单位产品基准排水量，m</w:t>
            </w:r>
            <w:r>
              <w:rPr>
                <w:rFonts w:hint="default" w:ascii="Times New Roman" w:hAnsi="Times New Roman" w:eastAsia="宋体" w:cs="Times New Roman"/>
                <w:color w:val="FF0000"/>
                <w:sz w:val="24"/>
                <w:szCs w:val="24"/>
                <w:highlight w:val="none"/>
                <w:vertAlign w:val="superscript"/>
                <w:lang w:val="en-US" w:eastAsia="zh-CN"/>
              </w:rPr>
              <w:t>3</w:t>
            </w:r>
            <w:r>
              <w:rPr>
                <w:rFonts w:hint="default" w:ascii="Times New Roman" w:hAnsi="Times New Roman" w:eastAsia="宋体" w:cs="Times New Roman"/>
                <w:color w:val="FF0000"/>
                <w:sz w:val="24"/>
                <w:szCs w:val="24"/>
                <w:highlight w:val="none"/>
                <w:lang w:val="en-US" w:eastAsia="zh-CN"/>
              </w:rPr>
              <w:t>/t产品；根据排污单位近三年单位产品排水量平均值或本标准推荐数值(见表4)取值；食品加工制造业水污染物排放标准发布后，其适用范围内的排污单位或生产设施从其规定；地方有更严格排放标准要求的，按照地方排放标准从严确定；</w:t>
            </w:r>
          </w:p>
          <w:p w14:paraId="02DFD056">
            <w:pPr>
              <w:pStyle w:val="35"/>
              <w:adjustRightInd w:val="0"/>
              <w:snapToGrid w:val="0"/>
              <w:spacing w:line="360" w:lineRule="auto"/>
              <w:ind w:firstLine="1200" w:firstLineChars="5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i/>
                <w:iCs/>
                <w:color w:val="FF0000"/>
                <w:sz w:val="24"/>
                <w:szCs w:val="24"/>
                <w:highlight w:val="none"/>
                <w:lang w:val="en-US" w:eastAsia="zh-CN"/>
              </w:rPr>
              <w:t>C</w:t>
            </w:r>
            <w:r>
              <w:rPr>
                <w:rFonts w:hint="default" w:ascii="Times New Roman" w:hAnsi="Times New Roman" w:eastAsia="宋体" w:cs="Times New Roman"/>
                <w:i/>
                <w:iCs/>
                <w:color w:val="FF0000"/>
                <w:sz w:val="24"/>
                <w:szCs w:val="24"/>
                <w:highlight w:val="none"/>
                <w:vertAlign w:val="subscript"/>
                <w:lang w:val="en-US" w:eastAsia="zh-CN"/>
              </w:rPr>
              <w:t>ij</w:t>
            </w:r>
            <w:r>
              <w:rPr>
                <w:rFonts w:hint="default" w:ascii="Times New Roman" w:hAnsi="Times New Roman" w:eastAsia="宋体" w:cs="Times New Roman"/>
                <w:color w:val="FF0000"/>
                <w:sz w:val="24"/>
                <w:szCs w:val="24"/>
                <w:highlight w:val="none"/>
                <w:lang w:val="en-US" w:eastAsia="zh-CN"/>
              </w:rPr>
              <w:t>一排污单位第i个生产线废水第j项水污染物许可排放浓度限值，mg/L；氨氮的间接排放浓度可取排污单位与公共污水处理系统责任单位的协商值；食品加工制造业水污染物排放标准发布后，其适用范围内的排污单位或生产设施从其规定；地方有更严格排放标准要求的，按照地方排放标准从严确定;</w:t>
            </w:r>
          </w:p>
          <w:p w14:paraId="07FE45D1">
            <w:pPr>
              <w:pStyle w:val="35"/>
              <w:adjustRightInd w:val="0"/>
              <w:snapToGrid w:val="0"/>
              <w:spacing w:line="360" w:lineRule="auto"/>
              <w:ind w:firstLine="1200" w:firstLineChars="5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i/>
                <w:iCs/>
                <w:color w:val="FF0000"/>
                <w:sz w:val="24"/>
                <w:szCs w:val="24"/>
                <w:highlight w:val="none"/>
                <w:lang w:val="en-US" w:eastAsia="zh-CN"/>
              </w:rPr>
              <w:t>n</w:t>
            </w:r>
            <w:r>
              <w:rPr>
                <w:rFonts w:hint="default" w:ascii="Times New Roman" w:hAnsi="Times New Roman" w:eastAsia="宋体" w:cs="Times New Roman"/>
                <w:color w:val="FF0000"/>
                <w:sz w:val="24"/>
                <w:szCs w:val="24"/>
                <w:highlight w:val="none"/>
                <w:lang w:val="en-US" w:eastAsia="zh-CN"/>
              </w:rPr>
              <w:t>一排污单位生产线数量，量纲一。</w:t>
            </w:r>
          </w:p>
          <w:p w14:paraId="661712D3">
            <w:pPr>
              <w:pStyle w:val="35"/>
              <w:adjustRightInd w:val="0"/>
              <w:snapToGrid w:val="0"/>
              <w:spacing w:line="360" w:lineRule="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本项目建成后年生产速冻食品900吨，根据《</w:t>
            </w:r>
            <w:r>
              <w:rPr>
                <w:rFonts w:hint="default" w:ascii="Times New Roman" w:hAnsi="Times New Roman" w:eastAsia="宋体" w:cs="Times New Roman"/>
                <w:color w:val="FF0000"/>
                <w:sz w:val="24"/>
                <w:szCs w:val="24"/>
                <w:highlight w:val="none"/>
                <w:lang w:val="en-US" w:eastAsia="zh-CN"/>
              </w:rPr>
              <w:fldChar w:fldCharType="begin"/>
            </w:r>
            <w:r>
              <w:rPr>
                <w:rFonts w:hint="default" w:ascii="Times New Roman" w:hAnsi="Times New Roman" w:eastAsia="宋体" w:cs="Times New Roman"/>
                <w:color w:val="FF0000"/>
                <w:sz w:val="24"/>
                <w:szCs w:val="24"/>
                <w:highlight w:val="none"/>
                <w:lang w:val="en-US" w:eastAsia="zh-CN"/>
              </w:rPr>
              <w:instrText xml:space="preserve"> HYPERLINK "https://www.mee.gov.cn/ywgz/fgbz/bz/bzwb/pwxk/201908/W020190828515214781085.pdf" </w:instrText>
            </w:r>
            <w:r>
              <w:rPr>
                <w:rFonts w:hint="default" w:ascii="Times New Roman" w:hAnsi="Times New Roman" w:eastAsia="宋体" w:cs="Times New Roman"/>
                <w:color w:val="FF0000"/>
                <w:sz w:val="24"/>
                <w:szCs w:val="24"/>
                <w:highlight w:val="none"/>
                <w:lang w:val="en-US" w:eastAsia="zh-CN"/>
              </w:rPr>
              <w:fldChar w:fldCharType="separate"/>
            </w:r>
            <w:r>
              <w:rPr>
                <w:rFonts w:hint="default" w:ascii="Times New Roman" w:hAnsi="Times New Roman" w:eastAsia="宋体" w:cs="Times New Roman"/>
                <w:color w:val="FF0000"/>
                <w:sz w:val="24"/>
                <w:szCs w:val="24"/>
                <w:highlight w:val="none"/>
                <w:lang w:val="en-US" w:eastAsia="zh-CN"/>
              </w:rPr>
              <w:t>排污许可证申请与核发技术规范 食品制造工业—方便食品、食品及饲料添加剂制造工业（HJ 1030.3—2019）</w:t>
            </w:r>
            <w:r>
              <w:rPr>
                <w:rFonts w:hint="default" w:ascii="Times New Roman" w:hAnsi="Times New Roman" w:eastAsia="宋体" w:cs="Times New Roman"/>
                <w:color w:val="FF0000"/>
                <w:sz w:val="24"/>
                <w:szCs w:val="24"/>
                <w:highlight w:val="none"/>
                <w:lang w:val="en-US" w:eastAsia="zh-CN"/>
              </w:rPr>
              <w:fldChar w:fldCharType="end"/>
            </w:r>
            <w:r>
              <w:rPr>
                <w:rFonts w:hint="default" w:ascii="Times New Roman" w:hAnsi="Times New Roman" w:eastAsia="宋体" w:cs="Times New Roman"/>
                <w:color w:val="FF0000"/>
                <w:sz w:val="24"/>
                <w:szCs w:val="24"/>
                <w:highlight w:val="none"/>
                <w:lang w:val="en-US" w:eastAsia="zh-CN"/>
              </w:rPr>
              <w:t>》5.2.3表4 方便食品、食品及饲料添加剂制造工业排污单位的单位产品排水量推荐值(Q)，本项目排水量取值为5.60m</w:t>
            </w:r>
            <w:r>
              <w:rPr>
                <w:rFonts w:hint="default" w:ascii="Times New Roman" w:hAnsi="Times New Roman" w:eastAsia="宋体" w:cs="Times New Roman"/>
                <w:color w:val="FF0000"/>
                <w:sz w:val="24"/>
                <w:szCs w:val="24"/>
                <w:highlight w:val="none"/>
                <w:vertAlign w:val="superscript"/>
                <w:lang w:val="en-US" w:eastAsia="zh-CN"/>
              </w:rPr>
              <w:t>3</w:t>
            </w:r>
            <w:r>
              <w:rPr>
                <w:rFonts w:hint="default" w:ascii="Times New Roman" w:hAnsi="Times New Roman" w:eastAsia="宋体" w:cs="Times New Roman"/>
                <w:color w:val="FF0000"/>
                <w:sz w:val="24"/>
                <w:szCs w:val="24"/>
                <w:highlight w:val="none"/>
                <w:lang w:val="en-US" w:eastAsia="zh-CN"/>
              </w:rPr>
              <w:t>/t产品。则推荐排水量为5040m</w:t>
            </w:r>
            <w:r>
              <w:rPr>
                <w:rFonts w:hint="default" w:ascii="Times New Roman" w:hAnsi="Times New Roman" w:eastAsia="宋体" w:cs="Times New Roman"/>
                <w:color w:val="FF0000"/>
                <w:sz w:val="24"/>
                <w:szCs w:val="24"/>
                <w:highlight w:val="none"/>
                <w:vertAlign w:val="superscript"/>
                <w:lang w:val="en-US" w:eastAsia="zh-CN"/>
              </w:rPr>
              <w:t>3</w:t>
            </w:r>
            <w:r>
              <w:rPr>
                <w:rFonts w:hint="default" w:ascii="Times New Roman" w:hAnsi="Times New Roman" w:eastAsia="宋体" w:cs="Times New Roman"/>
                <w:color w:val="FF0000"/>
                <w:sz w:val="24"/>
                <w:szCs w:val="24"/>
                <w:highlight w:val="none"/>
                <w:lang w:val="en-US" w:eastAsia="zh-CN"/>
              </w:rPr>
              <w:t>/a。外排废水污染物COD、氨氮执行《污水综合排放标准》（GB 8978-1996）表4中三级标准和双鸭山龙江环保水务有限责任公司(双鸭山市污水处理厂)进水标准，即COD350mg/L，氨氮25mg/L。</w:t>
            </w:r>
          </w:p>
          <w:p w14:paraId="5183FF53">
            <w:pPr>
              <w:pStyle w:val="35"/>
              <w:adjustRightInd w:val="0"/>
              <w:snapToGrid w:val="0"/>
              <w:spacing w:line="360" w:lineRule="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经计算本项目COD和氨氮最高允许排放量分别为1.764t/a，0.126t/a。根据前文本项目废水源强核算，本项目综合废水经污水处理站处理后，COD和氨氮排放量分别为0.491t/a，0.018t/a，小于最高允许排放量，符合要求。</w:t>
            </w:r>
          </w:p>
          <w:p w14:paraId="77833BC9">
            <w:pPr>
              <w:pStyle w:val="35"/>
              <w:adjustRightInd w:val="0"/>
              <w:snapToGrid w:val="0"/>
              <w:spacing w:line="360" w:lineRule="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（3）污水处理厂依托可行性分析</w:t>
            </w:r>
          </w:p>
          <w:p w14:paraId="0E7C9B4F">
            <w:pPr>
              <w:pStyle w:val="35"/>
              <w:adjustRightInd w:val="0"/>
              <w:snapToGrid w:val="0"/>
              <w:spacing w:line="360" w:lineRule="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双鸭山龙江环保水务有限责任公司(双鸭山市污水处理厂)位于双鸭山市集贤县高丰村西北处。占地面积60000m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厂区内主要构筑物包括：调节池、提升泵房、沉砂池、初沉池、污泥池、二沉池、加药间、絮凝池、防渗沉淀池、加氯间、消毒池、污泥处理池、风机房、水泵房、锅炉房、综合楼、维修间等，污水处理厂采用A</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/0处理工艺，污水处理规模为10万m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/d，经处理后的污水排放满足《城镇污水处理厂污染物排放标准(GB18918-2002)一级A标准，最终进入安邦河。</w:t>
            </w:r>
          </w:p>
          <w:p w14:paraId="32A625C7">
            <w:pPr>
              <w:pStyle w:val="35"/>
              <w:adjustRightInd w:val="0"/>
              <w:snapToGrid w:val="0"/>
              <w:spacing w:line="360" w:lineRule="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FF0000"/>
                <w:sz w:val="24"/>
                <w:szCs w:val="24"/>
                <w:lang w:val="en-US" w:eastAsia="zh-CN"/>
              </w:rPr>
              <w:t>项目废水排放量为</w:t>
            </w:r>
            <w:r>
              <w:rPr>
                <w:rFonts w:hint="default" w:ascii="Times New Roman" w:hAnsi="Times New Roman" w:eastAsia="宋体" w:cs="Times New Roman"/>
                <w:color w:val="FF0000"/>
                <w:sz w:val="24"/>
                <w:szCs w:val="24"/>
                <w:highlight w:val="none"/>
                <w:lang w:val="en-US" w:eastAsia="zh-CN"/>
              </w:rPr>
              <w:t>7.307</w:t>
            </w:r>
            <w:r>
              <w:rPr>
                <w:rFonts w:hint="default" w:ascii="Times New Roman" w:hAnsi="Times New Roman" w:eastAsia="宋体" w:cs="Times New Roman"/>
                <w:color w:val="FF0000"/>
                <w:sz w:val="24"/>
                <w:szCs w:val="24"/>
                <w:lang w:val="en-US" w:eastAsia="zh-CN"/>
              </w:rPr>
              <w:t>t/d，占污水处理厂日处理总量的</w:t>
            </w:r>
            <w:r>
              <w:rPr>
                <w:rFonts w:hint="default" w:ascii="Times New Roman" w:hAnsi="Times New Roman" w:eastAsia="宋体" w:cs="Times New Roman"/>
                <w:color w:val="FF0000"/>
                <w:sz w:val="24"/>
                <w:szCs w:val="24"/>
                <w:highlight w:val="none"/>
                <w:lang w:val="en-US" w:eastAsia="zh-CN"/>
              </w:rPr>
              <w:t>0.0073</w:t>
            </w:r>
            <w:r>
              <w:rPr>
                <w:rFonts w:hint="default" w:ascii="Times New Roman" w:hAnsi="Times New Roman" w:eastAsia="宋体" w:cs="Times New Roman"/>
                <w:color w:val="FF0000"/>
                <w:sz w:val="24"/>
                <w:szCs w:val="24"/>
                <w:lang w:val="en-US" w:eastAsia="zh-CN"/>
              </w:rPr>
              <w:t>%，负荷量很小，水质不复杂，远小于污水处理厂处理能力。</w:t>
            </w:r>
            <w:r>
              <w:rPr>
                <w:rFonts w:hint="eastAsia" w:ascii="Times New Roman" w:hAnsi="Times New Roman" w:eastAsia="宋体" w:cs="Times New Roman"/>
                <w:color w:val="FF0000"/>
                <w:sz w:val="24"/>
                <w:szCs w:val="24"/>
                <w:lang w:val="en-US" w:eastAsia="zh-CN"/>
              </w:rPr>
              <w:t>本项目废水经污水处理站处理后污染物排放浓度COD为223.986mg/L、氨氮为8.211mg/L、总氮为11.405mg/L、总磷为3.649mg/L、BOD</w:t>
            </w:r>
            <w:r>
              <w:rPr>
                <w:rFonts w:hint="eastAsia" w:ascii="Times New Roman" w:hAnsi="Times New Roman" w:eastAsia="宋体" w:cs="Times New Roman"/>
                <w:color w:val="FF0000"/>
                <w:sz w:val="24"/>
                <w:szCs w:val="24"/>
                <w:vertAlign w:val="subscript"/>
                <w:lang w:val="en-US" w:eastAsia="zh-CN"/>
              </w:rPr>
              <w:t>5</w:t>
            </w:r>
            <w:r>
              <w:rPr>
                <w:rFonts w:hint="eastAsia" w:ascii="Times New Roman" w:hAnsi="Times New Roman" w:eastAsia="宋体" w:cs="Times New Roman"/>
                <w:color w:val="FF0000"/>
                <w:sz w:val="24"/>
                <w:szCs w:val="24"/>
                <w:lang w:val="en-US" w:eastAsia="zh-CN"/>
              </w:rPr>
              <w:t>为131.381mg/L、SS为132.749mg/L、动植物油为16.423mg/L，</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本项目排水水质符合双鸭山龙江环保水务有限责任公司(双鸭山市污水处理厂)进水水质要求。因此，本项目废水进入双鸭山龙江环保水务有限责任公司(双鸭山市污水处理厂)处理是可行的。</w:t>
            </w:r>
          </w:p>
          <w:p w14:paraId="6BE51D5D">
            <w:pPr>
              <w:pStyle w:val="8"/>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 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9</w:t>
            </w:r>
            <w:r>
              <w:rPr>
                <w:rFonts w:hint="default" w:ascii="Times New Roman" w:hAnsi="Times New Roman" w:eastAsia="宋体" w:cs="Times New Roman"/>
                <w:b/>
                <w:color w:val="000000" w:themeColor="text1"/>
                <w:sz w:val="24"/>
                <w:szCs w:val="24"/>
                <w14:textFill>
                  <w14:solidFill>
                    <w14:schemeClr w14:val="tx1"/>
                  </w14:solidFill>
                </w14:textFill>
              </w:rPr>
              <w:t xml:space="preserve"> 废水类别、污染物及污染治理设施信息表</w:t>
            </w:r>
          </w:p>
          <w:tbl>
            <w:tblPr>
              <w:tblStyle w:val="1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02"/>
              <w:gridCol w:w="438"/>
              <w:gridCol w:w="862"/>
              <w:gridCol w:w="679"/>
              <w:gridCol w:w="929"/>
              <w:gridCol w:w="680"/>
              <w:gridCol w:w="750"/>
              <w:gridCol w:w="774"/>
              <w:gridCol w:w="727"/>
              <w:gridCol w:w="835"/>
              <w:gridCol w:w="1182"/>
            </w:tblGrid>
            <w:tr w14:paraId="5F53C2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243" w:type="pct"/>
                  <w:vMerge w:val="restart"/>
                  <w:tcBorders>
                    <w:top w:val="single" w:color="000000" w:sz="12" w:space="0"/>
                    <w:left w:val="nil"/>
                    <w:bottom w:val="single" w:color="000000" w:sz="4" w:space="0"/>
                    <w:right w:val="single" w:color="000000" w:sz="4" w:space="0"/>
                    <w:tl2br w:val="nil"/>
                    <w:tr2bl w:val="nil"/>
                  </w:tcBorders>
                  <w:noWrap w:val="0"/>
                  <w:vAlign w:val="center"/>
                </w:tcPr>
                <w:p w14:paraId="7815A303">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序号</w:t>
                  </w:r>
                </w:p>
              </w:tc>
              <w:tc>
                <w:tcPr>
                  <w:tcW w:w="265"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084CF068">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废水类别</w:t>
                  </w:r>
                </w:p>
              </w:tc>
              <w:tc>
                <w:tcPr>
                  <w:tcW w:w="521"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3B41EC42">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污染物种类</w:t>
                  </w:r>
                </w:p>
              </w:tc>
              <w:tc>
                <w:tcPr>
                  <w:tcW w:w="411"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78711F4F">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排放去向</w:t>
                  </w:r>
                </w:p>
              </w:tc>
              <w:tc>
                <w:tcPr>
                  <w:tcW w:w="562"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440C21AC">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排放规律</w:t>
                  </w:r>
                </w:p>
              </w:tc>
              <w:tc>
                <w:tcPr>
                  <w:tcW w:w="1334" w:type="pct"/>
                  <w:gridSpan w:val="3"/>
                  <w:tcBorders>
                    <w:top w:val="single" w:color="000000" w:sz="12" w:space="0"/>
                    <w:left w:val="single" w:color="000000" w:sz="4" w:space="0"/>
                    <w:bottom w:val="single" w:color="000000" w:sz="4" w:space="0"/>
                    <w:right w:val="single" w:color="000000" w:sz="4" w:space="0"/>
                    <w:tl2br w:val="nil"/>
                    <w:tr2bl w:val="nil"/>
                  </w:tcBorders>
                  <w:noWrap w:val="0"/>
                  <w:vAlign w:val="center"/>
                </w:tcPr>
                <w:p w14:paraId="645748AC">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污染治理设施</w:t>
                  </w:r>
                </w:p>
              </w:tc>
              <w:tc>
                <w:tcPr>
                  <w:tcW w:w="440"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2A83D1AA">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排放口编号</w:t>
                  </w:r>
                </w:p>
              </w:tc>
              <w:tc>
                <w:tcPr>
                  <w:tcW w:w="505" w:type="pct"/>
                  <w:vMerge w:val="restar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14515865">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排放口设置是否符合要求</w:t>
                  </w:r>
                </w:p>
              </w:tc>
              <w:tc>
                <w:tcPr>
                  <w:tcW w:w="715" w:type="pct"/>
                  <w:vMerge w:val="restart"/>
                  <w:tcBorders>
                    <w:top w:val="single" w:color="000000" w:sz="12" w:space="0"/>
                    <w:left w:val="single" w:color="000000" w:sz="4" w:space="0"/>
                    <w:bottom w:val="single" w:color="000000" w:sz="4" w:space="0"/>
                    <w:right w:val="nil"/>
                    <w:tl2br w:val="nil"/>
                    <w:tr2bl w:val="nil"/>
                  </w:tcBorders>
                  <w:noWrap w:val="0"/>
                  <w:vAlign w:val="center"/>
                </w:tcPr>
                <w:p w14:paraId="46DC4CC3">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排放口类型</w:t>
                  </w:r>
                </w:p>
              </w:tc>
            </w:tr>
            <w:tr w14:paraId="2BC84F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243" w:type="pct"/>
                  <w:vMerge w:val="continue"/>
                  <w:tcBorders>
                    <w:top w:val="single" w:color="000000" w:sz="4" w:space="0"/>
                    <w:left w:val="nil"/>
                    <w:bottom w:val="single" w:color="000000" w:sz="4" w:space="0"/>
                    <w:right w:val="single" w:color="000000" w:sz="4" w:space="0"/>
                    <w:tl2br w:val="nil"/>
                    <w:tr2bl w:val="nil"/>
                  </w:tcBorders>
                  <w:noWrap w:val="0"/>
                  <w:vAlign w:val="center"/>
                </w:tcPr>
                <w:p w14:paraId="595FA89A">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265"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7D0002C8">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521"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19D1F2CC">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411"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32069D37">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562"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6F5488F9">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411" w:type="pct"/>
                  <w:tcBorders>
                    <w:top w:val="single" w:color="000000" w:sz="4" w:space="0"/>
                    <w:left w:val="single" w:color="000000" w:sz="4" w:space="0"/>
                    <w:bottom w:val="single" w:color="000000" w:sz="4" w:space="0"/>
                    <w:right w:val="single" w:color="000000" w:sz="4" w:space="0"/>
                    <w:tl2br w:val="nil"/>
                    <w:tr2bl w:val="nil"/>
                  </w:tcBorders>
                  <w:noWrap w:val="0"/>
                  <w:vAlign w:val="center"/>
                </w:tcPr>
                <w:p w14:paraId="6D05D747">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污染治理设施编号</w:t>
                  </w:r>
                </w:p>
              </w:tc>
              <w:tc>
                <w:tcPr>
                  <w:tcW w:w="454" w:type="pct"/>
                  <w:tcBorders>
                    <w:top w:val="single" w:color="000000" w:sz="4" w:space="0"/>
                    <w:left w:val="single" w:color="000000" w:sz="4" w:space="0"/>
                    <w:bottom w:val="single" w:color="000000" w:sz="4" w:space="0"/>
                    <w:right w:val="single" w:color="000000" w:sz="4" w:space="0"/>
                    <w:tl2br w:val="nil"/>
                    <w:tr2bl w:val="nil"/>
                  </w:tcBorders>
                  <w:noWrap w:val="0"/>
                  <w:vAlign w:val="center"/>
                </w:tcPr>
                <w:p w14:paraId="11DBD509">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污染治理设施名称</w:t>
                  </w:r>
                </w:p>
              </w:tc>
              <w:tc>
                <w:tcPr>
                  <w:tcW w:w="46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14:paraId="47AAD8F7">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污染治理设施工艺</w:t>
                  </w:r>
                </w:p>
              </w:tc>
              <w:tc>
                <w:tcPr>
                  <w:tcW w:w="440"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454462ED">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505" w:type="pct"/>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14:paraId="43647B96">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715" w:type="pct"/>
                  <w:vMerge w:val="continue"/>
                  <w:tcBorders>
                    <w:top w:val="single" w:color="000000" w:sz="4" w:space="0"/>
                    <w:left w:val="single" w:color="000000" w:sz="4" w:space="0"/>
                    <w:bottom w:val="single" w:color="000000" w:sz="4" w:space="0"/>
                    <w:right w:val="nil"/>
                    <w:tl2br w:val="nil"/>
                    <w:tr2bl w:val="nil"/>
                  </w:tcBorders>
                  <w:noWrap w:val="0"/>
                  <w:vAlign w:val="center"/>
                </w:tcPr>
                <w:p w14:paraId="1B6AEDD2">
                  <w:pPr>
                    <w:widowControl/>
                    <w:jc w:val="center"/>
                    <w:rPr>
                      <w:rFonts w:hint="default" w:ascii="Times New Roman" w:hAnsi="Times New Roman" w:eastAsia="宋体" w:cs="Times New Roman"/>
                      <w:b/>
                      <w:color w:val="000000" w:themeColor="text1"/>
                      <w:sz w:val="21"/>
                      <w:szCs w:val="21"/>
                      <w14:textFill>
                        <w14:solidFill>
                          <w14:schemeClr w14:val="tx1"/>
                        </w14:solidFill>
                      </w14:textFill>
                    </w:rPr>
                  </w:pPr>
                </w:p>
              </w:tc>
            </w:tr>
            <w:tr w14:paraId="2943C1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 w:hRule="atLeast"/>
                <w:jc w:val="center"/>
              </w:trPr>
              <w:tc>
                <w:tcPr>
                  <w:tcW w:w="243" w:type="pct"/>
                  <w:tcBorders>
                    <w:top w:val="single" w:color="000000" w:sz="4" w:space="0"/>
                    <w:left w:val="nil"/>
                    <w:bottom w:val="single" w:color="000000" w:sz="12" w:space="0"/>
                    <w:right w:val="single" w:color="000000" w:sz="4" w:space="0"/>
                    <w:tl2br w:val="nil"/>
                    <w:tr2bl w:val="nil"/>
                  </w:tcBorders>
                  <w:noWrap w:val="0"/>
                  <w:vAlign w:val="center"/>
                </w:tcPr>
                <w:p w14:paraId="6E4C8C4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265"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5C18C904">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FF0000"/>
                      <w:sz w:val="21"/>
                      <w:szCs w:val="21"/>
                      <w:lang w:eastAsia="zh-CN"/>
                    </w:rPr>
                    <w:t>综合废水</w:t>
                  </w:r>
                </w:p>
              </w:tc>
              <w:tc>
                <w:tcPr>
                  <w:tcW w:w="521"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1C34BE58">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COD、</w:t>
                  </w:r>
                </w:p>
                <w:p w14:paraId="6B90299D">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BOD</w:t>
                  </w:r>
                  <w:r>
                    <w:rPr>
                      <w:rFonts w:hint="default" w:ascii="Times New Roman" w:hAnsi="Times New Roman" w:eastAsia="宋体" w:cs="Times New Roman"/>
                      <w:color w:val="000000" w:themeColor="text1"/>
                      <w:sz w:val="21"/>
                      <w:szCs w:val="21"/>
                      <w:vertAlign w:val="subscript"/>
                      <w:lang w:val="zh-CN"/>
                      <w14:textFill>
                        <w14:solidFill>
                          <w14:schemeClr w14:val="tx1"/>
                        </w14:solidFill>
                      </w14:textFill>
                    </w:rPr>
                    <w:t>5</w:t>
                  </w:r>
                  <w:r>
                    <w:rPr>
                      <w:rFonts w:hint="default" w:ascii="Times New Roman" w:hAnsi="Times New Roman" w:eastAsia="宋体" w:cs="Times New Roman"/>
                      <w:color w:val="000000" w:themeColor="text1"/>
                      <w:sz w:val="21"/>
                      <w:szCs w:val="21"/>
                      <w:lang w:val="zh-CN"/>
                      <w14:textFill>
                        <w14:solidFill>
                          <w14:schemeClr w14:val="tx1"/>
                        </w14:solidFill>
                      </w14:textFill>
                    </w:rPr>
                    <w:t>、</w:t>
                  </w:r>
                </w:p>
                <w:p w14:paraId="03CA54C5">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SS、</w:t>
                  </w:r>
                </w:p>
                <w:p w14:paraId="5696E953">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氨氮、</w:t>
                  </w:r>
                </w:p>
                <w:p w14:paraId="36D65E4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总氮、总磷、</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p</w:t>
                  </w:r>
                  <w:r>
                    <w:rPr>
                      <w:rFonts w:hint="default" w:ascii="Times New Roman" w:hAnsi="Times New Roman" w:eastAsia="宋体" w:cs="Times New Roman"/>
                      <w:color w:val="000000" w:themeColor="text1"/>
                      <w:sz w:val="21"/>
                      <w:szCs w:val="21"/>
                      <w14:textFill>
                        <w14:solidFill>
                          <w14:schemeClr w14:val="tx1"/>
                        </w14:solidFill>
                      </w14:textFill>
                    </w:rPr>
                    <w:t>H、动植物油</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FF"/>
                      <w:sz w:val="21"/>
                      <w:szCs w:val="21"/>
                      <w:lang w:val="en-US" w:eastAsia="zh-CN"/>
                    </w:rPr>
                    <w:t>LAS</w:t>
                  </w:r>
                </w:p>
              </w:tc>
              <w:tc>
                <w:tcPr>
                  <w:tcW w:w="411"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1984201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进入</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双鸭山市污水处理厂</w:t>
                  </w:r>
                </w:p>
              </w:tc>
              <w:tc>
                <w:tcPr>
                  <w:tcW w:w="562"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221B0C2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间断排放，排放期间流量不稳定，但有周期性规律</w:t>
                  </w:r>
                </w:p>
              </w:tc>
              <w:tc>
                <w:tcPr>
                  <w:tcW w:w="411"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794308B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54"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7430F625">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污水处理站</w:t>
                  </w:r>
                </w:p>
              </w:tc>
              <w:tc>
                <w:tcPr>
                  <w:tcW w:w="468"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050F0E6B">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机械格栅+隔油调节池+气浮机+</w:t>
                  </w:r>
                  <w:r>
                    <w:rPr>
                      <w:rFonts w:hint="default" w:ascii="Times New Roman" w:hAnsi="Times New Roman" w:eastAsia="宋体" w:cs="Times New Roman"/>
                      <w:color w:val="FF0000"/>
                      <w:sz w:val="21"/>
                      <w:szCs w:val="21"/>
                      <w:lang w:val="en-US" w:eastAsia="zh-CN"/>
                    </w:rPr>
                    <w:t>一体化污水处理设施（缺氧池+好氧池+沉淀池）</w:t>
                  </w:r>
                </w:p>
              </w:tc>
              <w:tc>
                <w:tcPr>
                  <w:tcW w:w="440"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278CD455">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DW001</w:t>
                  </w:r>
                </w:p>
              </w:tc>
              <w:tc>
                <w:tcPr>
                  <w:tcW w:w="505"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0A75F9C5">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w:t>
                  </w:r>
                  <w:r>
                    <w:rPr>
                      <w:rFonts w:hint="default" w:ascii="Times New Roman" w:hAnsi="Times New Roman" w:eastAsia="宋体" w:cs="Times New Roman"/>
                      <w:color w:val="000000" w:themeColor="text1"/>
                      <w:sz w:val="21"/>
                      <w:szCs w:val="21"/>
                      <w14:textFill>
                        <w14:solidFill>
                          <w14:schemeClr w14:val="tx1"/>
                        </w14:solidFill>
                      </w14:textFill>
                    </w:rPr>
                    <w:sym w:font="Wingdings" w:char="00FE"/>
                  </w:r>
                </w:p>
                <w:p w14:paraId="3DF6227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r>
                    <w:rPr>
                      <w:rFonts w:hint="default" w:ascii="Times New Roman" w:hAnsi="Times New Roman" w:eastAsia="宋体" w:cs="Times New Roman"/>
                      <w:color w:val="000000" w:themeColor="text1"/>
                      <w:sz w:val="21"/>
                      <w:szCs w:val="21"/>
                      <w14:textFill>
                        <w14:solidFill>
                          <w14:schemeClr w14:val="tx1"/>
                        </w14:solidFill>
                      </w14:textFill>
                    </w:rPr>
                    <w:sym w:font="Wingdings" w:char="00A8"/>
                  </w:r>
                </w:p>
              </w:tc>
              <w:tc>
                <w:tcPr>
                  <w:tcW w:w="715" w:type="pct"/>
                  <w:tcBorders>
                    <w:top w:val="single" w:color="000000" w:sz="4" w:space="0"/>
                    <w:left w:val="single" w:color="000000" w:sz="4" w:space="0"/>
                    <w:bottom w:val="single" w:color="000000" w:sz="12" w:space="0"/>
                    <w:right w:val="nil"/>
                    <w:tl2br w:val="nil"/>
                    <w:tr2bl w:val="nil"/>
                  </w:tcBorders>
                  <w:noWrap w:val="0"/>
                  <w:vAlign w:val="center"/>
                </w:tcPr>
                <w:p w14:paraId="1E0EEEB6">
                  <w:pPr>
                    <w:jc w:val="left"/>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sym w:font="Wingdings" w:char="00FE"/>
                  </w:r>
                  <w:r>
                    <w:rPr>
                      <w:rFonts w:hint="default" w:ascii="Times New Roman" w:hAnsi="Times New Roman" w:eastAsia="宋体" w:cs="Times New Roman"/>
                      <w:color w:val="000000" w:themeColor="text1"/>
                      <w:kern w:val="0"/>
                      <w:sz w:val="21"/>
                      <w:szCs w:val="21"/>
                      <w14:textFill>
                        <w14:solidFill>
                          <w14:schemeClr w14:val="tx1"/>
                        </w14:solidFill>
                      </w14:textFill>
                    </w:rPr>
                    <w:t>企业总排</w:t>
                  </w:r>
                </w:p>
                <w:p w14:paraId="7FAB524A">
                  <w:pPr>
                    <w:jc w:val="left"/>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sym w:font="Wingdings" w:char="00A8"/>
                  </w:r>
                  <w:r>
                    <w:rPr>
                      <w:rFonts w:hint="default" w:ascii="Times New Roman" w:hAnsi="Times New Roman" w:eastAsia="宋体" w:cs="Times New Roman"/>
                      <w:color w:val="000000" w:themeColor="text1"/>
                      <w:kern w:val="0"/>
                      <w:sz w:val="21"/>
                      <w:szCs w:val="21"/>
                      <w14:textFill>
                        <w14:solidFill>
                          <w14:schemeClr w14:val="tx1"/>
                        </w14:solidFill>
                      </w14:textFill>
                    </w:rPr>
                    <w:t>雨水总排</w:t>
                  </w:r>
                </w:p>
                <w:p w14:paraId="572506C9">
                  <w:pPr>
                    <w:jc w:val="left"/>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sym w:font="Wingdings" w:char="00A8"/>
                  </w:r>
                  <w:r>
                    <w:rPr>
                      <w:rFonts w:hint="default" w:ascii="Times New Roman" w:hAnsi="Times New Roman" w:eastAsia="宋体" w:cs="Times New Roman"/>
                      <w:color w:val="000000" w:themeColor="text1"/>
                      <w:kern w:val="0"/>
                      <w:sz w:val="21"/>
                      <w:szCs w:val="21"/>
                      <w14:textFill>
                        <w14:solidFill>
                          <w14:schemeClr w14:val="tx1"/>
                        </w14:solidFill>
                      </w14:textFill>
                    </w:rPr>
                    <w:t>清净下水排放</w:t>
                  </w:r>
                </w:p>
                <w:p w14:paraId="3DB9115B">
                  <w:pPr>
                    <w:jc w:val="left"/>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sym w:font="Wingdings" w:char="00A8"/>
                  </w:r>
                  <w:r>
                    <w:rPr>
                      <w:rFonts w:hint="default" w:ascii="Times New Roman" w:hAnsi="Times New Roman" w:eastAsia="宋体" w:cs="Times New Roman"/>
                      <w:color w:val="000000" w:themeColor="text1"/>
                      <w:kern w:val="0"/>
                      <w:sz w:val="21"/>
                      <w:szCs w:val="21"/>
                      <w14:textFill>
                        <w14:solidFill>
                          <w14:schemeClr w14:val="tx1"/>
                        </w14:solidFill>
                      </w14:textFill>
                    </w:rPr>
                    <w:t>温排水排放</w:t>
                  </w:r>
                </w:p>
                <w:p w14:paraId="41DC69B1">
                  <w:pPr>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sym w:font="Wingdings" w:char="00A8"/>
                  </w:r>
                  <w:r>
                    <w:rPr>
                      <w:rFonts w:hint="default" w:ascii="Times New Roman" w:hAnsi="Times New Roman" w:eastAsia="宋体" w:cs="Times New Roman"/>
                      <w:color w:val="000000" w:themeColor="text1"/>
                      <w:kern w:val="0"/>
                      <w:sz w:val="21"/>
                      <w:szCs w:val="21"/>
                      <w14:textFill>
                        <w14:solidFill>
                          <w14:schemeClr w14:val="tx1"/>
                        </w14:solidFill>
                      </w14:textFill>
                    </w:rPr>
                    <w:t>车间或车间处理设施排放</w:t>
                  </w:r>
                </w:p>
              </w:tc>
            </w:tr>
          </w:tbl>
          <w:p w14:paraId="1697709F">
            <w:pPr>
              <w:spacing w:beforeLines="0" w:afterLines="0"/>
              <w:rPr>
                <w:rFonts w:hint="default" w:ascii="Times New Roman" w:hAnsi="Times New Roman" w:eastAsia="宋体" w:cs="Times New Roman"/>
                <w:color w:val="000000" w:themeColor="text1"/>
                <w:sz w:val="21"/>
                <w:szCs w:val="24"/>
                <w14:textFill>
                  <w14:solidFill>
                    <w14:schemeClr w14:val="tx1"/>
                  </w14:solidFill>
                </w14:textFill>
              </w:rPr>
            </w:pPr>
          </w:p>
          <w:p w14:paraId="61882918">
            <w:pPr>
              <w:pStyle w:val="7"/>
              <w:spacing w:line="360" w:lineRule="auto"/>
              <w:ind w:firstLine="480" w:firstLineChars="200"/>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（4）排放口设置</w:t>
            </w:r>
          </w:p>
          <w:p w14:paraId="4F5305F2">
            <w:pPr>
              <w:pStyle w:val="7"/>
              <w:spacing w:line="360" w:lineRule="auto"/>
              <w:ind w:firstLine="480" w:firstLineChars="200"/>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本项目污水排放口基本情况如下表。</w:t>
            </w:r>
          </w:p>
          <w:p w14:paraId="1430FF99">
            <w:pPr>
              <w:pStyle w:val="8"/>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10</w:t>
            </w:r>
            <w:r>
              <w:rPr>
                <w:rFonts w:hint="default" w:ascii="Times New Roman" w:hAnsi="Times New Roman" w:eastAsia="宋体" w:cs="Times New Roman"/>
                <w:b/>
                <w:color w:val="000000" w:themeColor="text1"/>
                <w:sz w:val="24"/>
                <w:szCs w:val="24"/>
                <w14:textFill>
                  <w14:solidFill>
                    <w14:schemeClr w14:val="tx1"/>
                  </w14:solidFill>
                </w14:textFill>
              </w:rPr>
              <w:t xml:space="preserve"> 废水间接排放口基本情况表</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6"/>
              <w:gridCol w:w="349"/>
              <w:gridCol w:w="890"/>
              <w:gridCol w:w="765"/>
              <w:gridCol w:w="885"/>
              <w:gridCol w:w="870"/>
              <w:gridCol w:w="427"/>
              <w:gridCol w:w="428"/>
              <w:gridCol w:w="375"/>
              <w:gridCol w:w="990"/>
              <w:gridCol w:w="810"/>
              <w:gridCol w:w="1116"/>
            </w:tblGrid>
            <w:tr w14:paraId="17E0C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dxa"/>
                  <w:vMerge w:val="restart"/>
                  <w:tcBorders>
                    <w:top w:val="single" w:color="auto" w:sz="12" w:space="0"/>
                    <w:left w:val="nil"/>
                    <w:bottom w:val="single" w:color="auto" w:sz="4" w:space="0"/>
                    <w:right w:val="single" w:color="auto" w:sz="4" w:space="0"/>
                    <w:tl2br w:val="nil"/>
                    <w:tr2bl w:val="nil"/>
                  </w:tcBorders>
                  <w:noWrap w:val="0"/>
                  <w:vAlign w:val="center"/>
                </w:tcPr>
                <w:p w14:paraId="484ECED9">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序号</w:t>
                  </w:r>
                </w:p>
              </w:tc>
              <w:tc>
                <w:tcPr>
                  <w:tcW w:w="349"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4253395">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排放口编号</w:t>
                  </w:r>
                </w:p>
              </w:tc>
              <w:tc>
                <w:tcPr>
                  <w:tcW w:w="1655" w:type="dxa"/>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52DA5DDE">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排放口地理坐标°</w:t>
                  </w:r>
                </w:p>
              </w:tc>
              <w:tc>
                <w:tcPr>
                  <w:tcW w:w="885"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2C2001B">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废水排放量/（万t/a）</w:t>
                  </w:r>
                </w:p>
              </w:tc>
              <w:tc>
                <w:tcPr>
                  <w:tcW w:w="870"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201BB3C">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排放去向</w:t>
                  </w:r>
                </w:p>
              </w:tc>
              <w:tc>
                <w:tcPr>
                  <w:tcW w:w="427"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5A558959">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排放规律</w:t>
                  </w:r>
                </w:p>
              </w:tc>
              <w:tc>
                <w:tcPr>
                  <w:tcW w:w="428"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031D6787">
                  <w:pPr>
                    <w:pStyle w:val="34"/>
                    <w:rPr>
                      <w:rFonts w:hint="default" w:ascii="Times New Roman" w:hAnsi="Times New Roman" w:eastAsia="宋体" w:cs="Times New Roman"/>
                      <w:color w:val="FF0000"/>
                      <w:sz w:val="21"/>
                      <w:szCs w:val="20"/>
                    </w:rPr>
                  </w:pPr>
                  <w:r>
                    <w:rPr>
                      <w:rFonts w:hint="default" w:ascii="Times New Roman" w:hAnsi="Times New Roman" w:eastAsia="宋体" w:cs="Times New Roman"/>
                      <w:color w:val="FF0000"/>
                      <w:sz w:val="21"/>
                      <w:szCs w:val="20"/>
                    </w:rPr>
                    <w:t>排污口类型</w:t>
                  </w:r>
                </w:p>
              </w:tc>
              <w:tc>
                <w:tcPr>
                  <w:tcW w:w="375" w:type="dxa"/>
                  <w:vMerge w:val="restart"/>
                  <w:tcBorders>
                    <w:top w:val="single" w:color="auto" w:sz="12" w:space="0"/>
                    <w:left w:val="single" w:color="auto" w:sz="4" w:space="0"/>
                    <w:bottom w:val="single" w:color="auto" w:sz="4" w:space="0"/>
                    <w:right w:val="single" w:color="auto" w:sz="4" w:space="0"/>
                    <w:tl2br w:val="nil"/>
                    <w:tr2bl w:val="nil"/>
                  </w:tcBorders>
                  <w:noWrap w:val="0"/>
                  <w:vAlign w:val="center"/>
                </w:tcPr>
                <w:p w14:paraId="7F33DD33">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间歇排放时段</w:t>
                  </w:r>
                </w:p>
              </w:tc>
              <w:tc>
                <w:tcPr>
                  <w:tcW w:w="2916" w:type="dxa"/>
                  <w:gridSpan w:val="3"/>
                  <w:tcBorders>
                    <w:top w:val="single" w:color="auto" w:sz="12" w:space="0"/>
                    <w:left w:val="single" w:color="auto" w:sz="4" w:space="0"/>
                    <w:bottom w:val="single" w:color="auto" w:sz="4" w:space="0"/>
                    <w:right w:val="nil"/>
                    <w:tl2br w:val="nil"/>
                    <w:tr2bl w:val="nil"/>
                  </w:tcBorders>
                  <w:noWrap w:val="0"/>
                  <w:vAlign w:val="center"/>
                </w:tcPr>
                <w:p w14:paraId="0094769E">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受纳污水处理厂信息</w:t>
                  </w:r>
                </w:p>
              </w:tc>
            </w:tr>
            <w:tr w14:paraId="4078AA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6" w:type="dxa"/>
                  <w:vMerge w:val="continue"/>
                  <w:tcBorders>
                    <w:top w:val="single" w:color="auto" w:sz="4" w:space="0"/>
                    <w:left w:val="nil"/>
                    <w:bottom w:val="single" w:color="auto" w:sz="4" w:space="0"/>
                    <w:right w:val="single" w:color="auto" w:sz="4" w:space="0"/>
                    <w:tl2br w:val="nil"/>
                    <w:tr2bl w:val="nil"/>
                  </w:tcBorders>
                  <w:noWrap w:val="0"/>
                  <w:vAlign w:val="center"/>
                </w:tcPr>
                <w:p w14:paraId="53DDCAA8">
                  <w:pPr>
                    <w:pStyle w:val="34"/>
                    <w:rPr>
                      <w:rFonts w:hint="default" w:ascii="Times New Roman" w:hAnsi="Times New Roman" w:eastAsia="宋体" w:cs="Times New Roman"/>
                      <w:color w:val="000000"/>
                      <w:sz w:val="21"/>
                      <w:szCs w:val="20"/>
                    </w:rPr>
                  </w:pPr>
                </w:p>
              </w:tc>
              <w:tc>
                <w:tcPr>
                  <w:tcW w:w="349"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3A15A55">
                  <w:pPr>
                    <w:pStyle w:val="34"/>
                    <w:rPr>
                      <w:rFonts w:hint="default" w:ascii="Times New Roman" w:hAnsi="Times New Roman" w:eastAsia="宋体" w:cs="Times New Roman"/>
                      <w:color w:val="000000"/>
                      <w:sz w:val="21"/>
                      <w:szCs w:val="20"/>
                    </w:rPr>
                  </w:pPr>
                </w:p>
              </w:tc>
              <w:tc>
                <w:tcPr>
                  <w:tcW w:w="89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1EE72CA">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经度</w:t>
                  </w:r>
                </w:p>
              </w:tc>
              <w:tc>
                <w:tcPr>
                  <w:tcW w:w="7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ABA9D9A">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纬度</w:t>
                  </w:r>
                </w:p>
              </w:tc>
              <w:tc>
                <w:tcPr>
                  <w:tcW w:w="88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25E5FEC">
                  <w:pPr>
                    <w:pStyle w:val="34"/>
                    <w:rPr>
                      <w:rFonts w:hint="default" w:ascii="Times New Roman" w:hAnsi="Times New Roman" w:eastAsia="宋体" w:cs="Times New Roman"/>
                      <w:color w:val="000000"/>
                      <w:sz w:val="21"/>
                      <w:szCs w:val="20"/>
                    </w:rPr>
                  </w:pPr>
                </w:p>
              </w:tc>
              <w:tc>
                <w:tcPr>
                  <w:tcW w:w="870"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6D74753">
                  <w:pPr>
                    <w:pStyle w:val="34"/>
                    <w:rPr>
                      <w:rFonts w:hint="default" w:ascii="Times New Roman" w:hAnsi="Times New Roman" w:eastAsia="宋体" w:cs="Times New Roman"/>
                      <w:color w:val="000000"/>
                      <w:sz w:val="21"/>
                      <w:szCs w:val="20"/>
                    </w:rPr>
                  </w:pPr>
                </w:p>
              </w:tc>
              <w:tc>
                <w:tcPr>
                  <w:tcW w:w="42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5361C3A">
                  <w:pPr>
                    <w:pStyle w:val="34"/>
                    <w:rPr>
                      <w:rFonts w:hint="default" w:ascii="Times New Roman" w:hAnsi="Times New Roman" w:eastAsia="宋体" w:cs="Times New Roman"/>
                      <w:color w:val="000000"/>
                      <w:sz w:val="21"/>
                      <w:szCs w:val="20"/>
                    </w:rPr>
                  </w:pPr>
                </w:p>
              </w:tc>
              <w:tc>
                <w:tcPr>
                  <w:tcW w:w="42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50BC2DE">
                  <w:pPr>
                    <w:pStyle w:val="34"/>
                    <w:rPr>
                      <w:rFonts w:hint="default" w:ascii="Times New Roman" w:hAnsi="Times New Roman" w:eastAsia="宋体" w:cs="Times New Roman"/>
                      <w:color w:val="FF0000"/>
                      <w:sz w:val="21"/>
                      <w:szCs w:val="20"/>
                    </w:rPr>
                  </w:pPr>
                </w:p>
              </w:tc>
              <w:tc>
                <w:tcPr>
                  <w:tcW w:w="37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8D63A2D">
                  <w:pPr>
                    <w:pStyle w:val="34"/>
                    <w:rPr>
                      <w:rFonts w:hint="default" w:ascii="Times New Roman" w:hAnsi="Times New Roman" w:eastAsia="宋体" w:cs="Times New Roman"/>
                      <w:color w:val="000000"/>
                      <w:sz w:val="21"/>
                      <w:szCs w:val="20"/>
                    </w:rPr>
                  </w:pPr>
                </w:p>
              </w:tc>
              <w:tc>
                <w:tcPr>
                  <w:tcW w:w="99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918CA8">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名称</w:t>
                  </w: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212783">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污染物种类</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4B0E9619">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国家或地方污染物排放标准浓度限值/（</w:t>
                  </w:r>
                  <w:r>
                    <w:rPr>
                      <w:rFonts w:hint="default" w:ascii="Times New Roman" w:hAnsi="Times New Roman" w:eastAsia="宋体" w:cs="Times New Roman"/>
                      <w:color w:val="000000"/>
                      <w:sz w:val="21"/>
                      <w:szCs w:val="20"/>
                      <w:lang w:val="en-US" w:eastAsia="zh-CN"/>
                    </w:rPr>
                    <w:t>mg</w:t>
                  </w:r>
                  <w:r>
                    <w:rPr>
                      <w:rFonts w:hint="default" w:ascii="Times New Roman" w:hAnsi="Times New Roman" w:eastAsia="宋体" w:cs="Times New Roman"/>
                      <w:color w:val="000000"/>
                      <w:sz w:val="21"/>
                      <w:szCs w:val="20"/>
                    </w:rPr>
                    <w:t>/L）</w:t>
                  </w:r>
                </w:p>
              </w:tc>
            </w:tr>
            <w:tr w14:paraId="00B10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restart"/>
                  <w:tcBorders>
                    <w:top w:val="single" w:color="auto" w:sz="4" w:space="0"/>
                    <w:left w:val="nil"/>
                    <w:right w:val="single" w:color="auto" w:sz="4" w:space="0"/>
                    <w:tl2br w:val="nil"/>
                    <w:tr2bl w:val="nil"/>
                  </w:tcBorders>
                  <w:noWrap w:val="0"/>
                  <w:vAlign w:val="center"/>
                </w:tcPr>
                <w:p w14:paraId="129A4201">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1</w:t>
                  </w:r>
                </w:p>
              </w:tc>
              <w:tc>
                <w:tcPr>
                  <w:tcW w:w="349" w:type="dxa"/>
                  <w:vMerge w:val="restart"/>
                  <w:tcBorders>
                    <w:top w:val="single" w:color="auto" w:sz="4" w:space="0"/>
                    <w:left w:val="single" w:color="auto" w:sz="4" w:space="0"/>
                    <w:right w:val="single" w:color="auto" w:sz="4" w:space="0"/>
                    <w:tl2br w:val="nil"/>
                    <w:tr2bl w:val="nil"/>
                  </w:tcBorders>
                  <w:noWrap w:val="0"/>
                  <w:vAlign w:val="center"/>
                </w:tcPr>
                <w:p w14:paraId="1E31364B">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DW001</w:t>
                  </w:r>
                </w:p>
              </w:tc>
              <w:tc>
                <w:tcPr>
                  <w:tcW w:w="890" w:type="dxa"/>
                  <w:vMerge w:val="restart"/>
                  <w:tcBorders>
                    <w:top w:val="single" w:color="auto" w:sz="4" w:space="0"/>
                    <w:left w:val="single" w:color="auto" w:sz="4" w:space="0"/>
                    <w:right w:val="single" w:color="auto" w:sz="4" w:space="0"/>
                    <w:tl2br w:val="nil"/>
                    <w:tr2bl w:val="nil"/>
                  </w:tcBorders>
                  <w:noWrap w:val="0"/>
                  <w:vAlign w:val="center"/>
                </w:tcPr>
                <w:p w14:paraId="74CA4F31">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131.14556238</w:t>
                  </w:r>
                </w:p>
              </w:tc>
              <w:tc>
                <w:tcPr>
                  <w:tcW w:w="765" w:type="dxa"/>
                  <w:vMerge w:val="restart"/>
                  <w:tcBorders>
                    <w:top w:val="single" w:color="auto" w:sz="4" w:space="0"/>
                    <w:left w:val="single" w:color="auto" w:sz="4" w:space="0"/>
                    <w:right w:val="single" w:color="auto" w:sz="4" w:space="0"/>
                    <w:tl2br w:val="nil"/>
                    <w:tr2bl w:val="nil"/>
                  </w:tcBorders>
                  <w:noWrap w:val="0"/>
                  <w:vAlign w:val="center"/>
                </w:tcPr>
                <w:p w14:paraId="68606003">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46.55107491</w:t>
                  </w:r>
                </w:p>
              </w:tc>
              <w:tc>
                <w:tcPr>
                  <w:tcW w:w="885" w:type="dxa"/>
                  <w:vMerge w:val="restart"/>
                  <w:tcBorders>
                    <w:top w:val="single" w:color="auto" w:sz="4" w:space="0"/>
                    <w:left w:val="single" w:color="auto" w:sz="4" w:space="0"/>
                    <w:right w:val="single" w:color="auto" w:sz="4" w:space="0"/>
                    <w:tl2br w:val="nil"/>
                    <w:tr2bl w:val="nil"/>
                  </w:tcBorders>
                  <w:noWrap w:val="0"/>
                  <w:vAlign w:val="center"/>
                </w:tcPr>
                <w:p w14:paraId="7DAF8A48">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FF0000"/>
                      <w:sz w:val="21"/>
                      <w:szCs w:val="20"/>
                    </w:rPr>
                    <w:t>0.21921</w:t>
                  </w:r>
                </w:p>
              </w:tc>
              <w:tc>
                <w:tcPr>
                  <w:tcW w:w="870" w:type="dxa"/>
                  <w:vMerge w:val="restart"/>
                  <w:tcBorders>
                    <w:top w:val="single" w:color="auto" w:sz="4" w:space="0"/>
                    <w:left w:val="single" w:color="auto" w:sz="4" w:space="0"/>
                    <w:right w:val="single" w:color="auto" w:sz="4" w:space="0"/>
                    <w:tl2br w:val="nil"/>
                    <w:tr2bl w:val="nil"/>
                  </w:tcBorders>
                  <w:noWrap w:val="0"/>
                  <w:vAlign w:val="center"/>
                </w:tcPr>
                <w:p w14:paraId="64DED059">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双鸭山龙江环保水务有限责任公司(双鸭山市污水处理厂)</w:t>
                  </w:r>
                </w:p>
              </w:tc>
              <w:tc>
                <w:tcPr>
                  <w:tcW w:w="427" w:type="dxa"/>
                  <w:vMerge w:val="restart"/>
                  <w:tcBorders>
                    <w:top w:val="single" w:color="auto" w:sz="4" w:space="0"/>
                    <w:left w:val="single" w:color="auto" w:sz="4" w:space="0"/>
                    <w:right w:val="single" w:color="auto" w:sz="4" w:space="0"/>
                    <w:tl2br w:val="nil"/>
                    <w:tr2bl w:val="nil"/>
                  </w:tcBorders>
                  <w:noWrap w:val="0"/>
                  <w:vAlign w:val="center"/>
                </w:tcPr>
                <w:p w14:paraId="665470B0">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间断排放，不规律</w:t>
                  </w:r>
                </w:p>
              </w:tc>
              <w:tc>
                <w:tcPr>
                  <w:tcW w:w="428" w:type="dxa"/>
                  <w:vMerge w:val="restart"/>
                  <w:tcBorders>
                    <w:top w:val="single" w:color="auto" w:sz="4" w:space="0"/>
                    <w:left w:val="single" w:color="auto" w:sz="4" w:space="0"/>
                    <w:right w:val="single" w:color="auto" w:sz="4" w:space="0"/>
                    <w:tl2br w:val="nil"/>
                    <w:tr2bl w:val="nil"/>
                  </w:tcBorders>
                  <w:noWrap w:val="0"/>
                  <w:vAlign w:val="center"/>
                </w:tcPr>
                <w:p w14:paraId="564DA8BA">
                  <w:pPr>
                    <w:pStyle w:val="34"/>
                    <w:rPr>
                      <w:rFonts w:hint="default" w:ascii="Times New Roman" w:hAnsi="Times New Roman" w:eastAsia="宋体" w:cs="Times New Roman"/>
                      <w:color w:val="FF0000"/>
                      <w:sz w:val="21"/>
                      <w:szCs w:val="20"/>
                    </w:rPr>
                  </w:pPr>
                  <w:r>
                    <w:rPr>
                      <w:rFonts w:hint="default" w:ascii="Times New Roman" w:hAnsi="Times New Roman" w:eastAsia="宋体" w:cs="Times New Roman"/>
                      <w:color w:val="FF0000"/>
                      <w:sz w:val="21"/>
                      <w:szCs w:val="20"/>
                    </w:rPr>
                    <w:t>一般排放口</w:t>
                  </w:r>
                </w:p>
              </w:tc>
              <w:tc>
                <w:tcPr>
                  <w:tcW w:w="375" w:type="dxa"/>
                  <w:vMerge w:val="restart"/>
                  <w:tcBorders>
                    <w:top w:val="single" w:color="auto" w:sz="4" w:space="0"/>
                    <w:left w:val="single" w:color="auto" w:sz="4" w:space="0"/>
                    <w:right w:val="single" w:color="auto" w:sz="4" w:space="0"/>
                    <w:tl2br w:val="nil"/>
                    <w:tr2bl w:val="nil"/>
                  </w:tcBorders>
                  <w:noWrap w:val="0"/>
                  <w:vAlign w:val="center"/>
                </w:tcPr>
                <w:p w14:paraId="2636EC25">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w:t>
                  </w:r>
                </w:p>
              </w:tc>
              <w:tc>
                <w:tcPr>
                  <w:tcW w:w="990" w:type="dxa"/>
                  <w:vMerge w:val="restart"/>
                  <w:tcBorders>
                    <w:top w:val="single" w:color="auto" w:sz="4" w:space="0"/>
                    <w:left w:val="single" w:color="auto" w:sz="4" w:space="0"/>
                    <w:right w:val="single" w:color="auto" w:sz="4" w:space="0"/>
                    <w:tl2br w:val="nil"/>
                    <w:tr2bl w:val="nil"/>
                  </w:tcBorders>
                  <w:noWrap w:val="0"/>
                  <w:vAlign w:val="center"/>
                </w:tcPr>
                <w:p w14:paraId="6A3B9371">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双鸭山龙江环保水务有限责任公司(双鸭山市污水处理厂)</w:t>
                  </w: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4A731DD">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COD</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065C4C7F">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50</w:t>
                  </w:r>
                </w:p>
              </w:tc>
            </w:tr>
            <w:tr w14:paraId="1CA8A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continue"/>
                  <w:tcBorders>
                    <w:left w:val="nil"/>
                    <w:right w:val="single" w:color="auto" w:sz="4" w:space="0"/>
                    <w:tl2br w:val="nil"/>
                    <w:tr2bl w:val="nil"/>
                  </w:tcBorders>
                  <w:noWrap w:val="0"/>
                  <w:vAlign w:val="center"/>
                </w:tcPr>
                <w:p w14:paraId="2BBC601F">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119A01AF">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581D59BF">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64F08879">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2D3A8EC8">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040EEF28">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1E6AE1B5">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6CBA35B7">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5EAC443A">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56314BDE">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2C8431">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BOD</w:t>
                  </w:r>
                  <w:r>
                    <w:rPr>
                      <w:rFonts w:hint="default" w:ascii="Times New Roman" w:hAnsi="Times New Roman" w:eastAsia="宋体" w:cs="Times New Roman"/>
                      <w:color w:val="000000"/>
                      <w:sz w:val="21"/>
                      <w:szCs w:val="20"/>
                      <w:vertAlign w:val="subscript"/>
                    </w:rPr>
                    <w:t>5</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59120832">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10</w:t>
                  </w:r>
                </w:p>
              </w:tc>
            </w:tr>
            <w:tr w14:paraId="1522B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continue"/>
                  <w:tcBorders>
                    <w:left w:val="nil"/>
                    <w:right w:val="single" w:color="auto" w:sz="4" w:space="0"/>
                    <w:tl2br w:val="nil"/>
                    <w:tr2bl w:val="nil"/>
                  </w:tcBorders>
                  <w:noWrap w:val="0"/>
                  <w:vAlign w:val="center"/>
                </w:tcPr>
                <w:p w14:paraId="035B531F">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09353D4E">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5831FA7F">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1313A398">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7B5C47F9">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45CB4D1E">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2197B4E5">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69C30FC0">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48B8E5ED">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526F2248">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16BD5B8">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SS</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336D27E4">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10</w:t>
                  </w:r>
                </w:p>
              </w:tc>
            </w:tr>
            <w:tr w14:paraId="69D78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continue"/>
                  <w:tcBorders>
                    <w:left w:val="nil"/>
                    <w:right w:val="single" w:color="auto" w:sz="4" w:space="0"/>
                    <w:tl2br w:val="nil"/>
                    <w:tr2bl w:val="nil"/>
                  </w:tcBorders>
                  <w:noWrap w:val="0"/>
                  <w:vAlign w:val="center"/>
                </w:tcPr>
                <w:p w14:paraId="6B33A72C">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41EDF6C5">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4DC0417F">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0145EC8A">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590D6EA4">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0271ED1A">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2A6E086C">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04F3C369">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7F64FD67">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39C2F418">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F1D2DA">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氨氮</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5B754314">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5（8）</w:t>
                  </w:r>
                </w:p>
              </w:tc>
            </w:tr>
            <w:tr w14:paraId="57A7F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continue"/>
                  <w:tcBorders>
                    <w:left w:val="nil"/>
                    <w:right w:val="single" w:color="auto" w:sz="4" w:space="0"/>
                    <w:tl2br w:val="nil"/>
                    <w:tr2bl w:val="nil"/>
                  </w:tcBorders>
                  <w:noWrap w:val="0"/>
                  <w:vAlign w:val="center"/>
                </w:tcPr>
                <w:p w14:paraId="1368C67F">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1DE068FC">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49EE67AD">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086329B2">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38572861">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46B141FD">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65B199C9">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43FC1005">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50194801">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085007DE">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DCA9BD0">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总氮</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5852F154">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15</w:t>
                  </w:r>
                </w:p>
              </w:tc>
            </w:tr>
            <w:tr w14:paraId="35AAB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56" w:type="dxa"/>
                  <w:vMerge w:val="continue"/>
                  <w:tcBorders>
                    <w:left w:val="nil"/>
                    <w:right w:val="single" w:color="auto" w:sz="4" w:space="0"/>
                    <w:tl2br w:val="nil"/>
                    <w:tr2bl w:val="nil"/>
                  </w:tcBorders>
                  <w:noWrap w:val="0"/>
                  <w:vAlign w:val="center"/>
                </w:tcPr>
                <w:p w14:paraId="6AF962D8">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555C9135">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124AA900">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78E65F95">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2C165BB4">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32D5D4A9">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0D054541">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55E8280D">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5BE6A68D">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2E2FBEAC">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373469">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总磷</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5C39FC65">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0.5</w:t>
                  </w:r>
                </w:p>
              </w:tc>
            </w:tr>
            <w:tr w14:paraId="2A2E8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356" w:type="dxa"/>
                  <w:vMerge w:val="continue"/>
                  <w:tcBorders>
                    <w:left w:val="nil"/>
                    <w:right w:val="single" w:color="auto" w:sz="4" w:space="0"/>
                    <w:tl2br w:val="nil"/>
                    <w:tr2bl w:val="nil"/>
                  </w:tcBorders>
                  <w:noWrap w:val="0"/>
                  <w:vAlign w:val="center"/>
                </w:tcPr>
                <w:p w14:paraId="190E39E5">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right w:val="single" w:color="auto" w:sz="4" w:space="0"/>
                    <w:tl2br w:val="nil"/>
                    <w:tr2bl w:val="nil"/>
                  </w:tcBorders>
                  <w:noWrap w:val="0"/>
                  <w:vAlign w:val="center"/>
                </w:tcPr>
                <w:p w14:paraId="493AB8E3">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right w:val="single" w:color="auto" w:sz="4" w:space="0"/>
                    <w:tl2br w:val="nil"/>
                    <w:tr2bl w:val="nil"/>
                  </w:tcBorders>
                  <w:noWrap w:val="0"/>
                  <w:vAlign w:val="center"/>
                </w:tcPr>
                <w:p w14:paraId="5061F860">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right w:val="single" w:color="auto" w:sz="4" w:space="0"/>
                    <w:tl2br w:val="nil"/>
                    <w:tr2bl w:val="nil"/>
                  </w:tcBorders>
                  <w:noWrap w:val="0"/>
                  <w:vAlign w:val="center"/>
                </w:tcPr>
                <w:p w14:paraId="3D282C80">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right w:val="single" w:color="auto" w:sz="4" w:space="0"/>
                    <w:tl2br w:val="nil"/>
                    <w:tr2bl w:val="nil"/>
                  </w:tcBorders>
                  <w:noWrap w:val="0"/>
                  <w:vAlign w:val="center"/>
                </w:tcPr>
                <w:p w14:paraId="76AD6D3E">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right w:val="single" w:color="auto" w:sz="4" w:space="0"/>
                    <w:tl2br w:val="nil"/>
                    <w:tr2bl w:val="nil"/>
                  </w:tcBorders>
                  <w:noWrap w:val="0"/>
                  <w:vAlign w:val="center"/>
                </w:tcPr>
                <w:p w14:paraId="549EE73E">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right w:val="single" w:color="auto" w:sz="4" w:space="0"/>
                    <w:tl2br w:val="nil"/>
                    <w:tr2bl w:val="nil"/>
                  </w:tcBorders>
                  <w:noWrap w:val="0"/>
                  <w:vAlign w:val="center"/>
                </w:tcPr>
                <w:p w14:paraId="52077FF8">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right w:val="single" w:color="auto" w:sz="4" w:space="0"/>
                    <w:tl2br w:val="nil"/>
                    <w:tr2bl w:val="nil"/>
                  </w:tcBorders>
                  <w:noWrap w:val="0"/>
                  <w:vAlign w:val="center"/>
                </w:tcPr>
                <w:p w14:paraId="2194B88F">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right w:val="single" w:color="auto" w:sz="4" w:space="0"/>
                    <w:tl2br w:val="nil"/>
                    <w:tr2bl w:val="nil"/>
                  </w:tcBorders>
                  <w:noWrap w:val="0"/>
                  <w:vAlign w:val="center"/>
                </w:tcPr>
                <w:p w14:paraId="21528C69">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right w:val="single" w:color="auto" w:sz="4" w:space="0"/>
                    <w:tl2br w:val="nil"/>
                    <w:tr2bl w:val="nil"/>
                  </w:tcBorders>
                  <w:noWrap w:val="0"/>
                  <w:vAlign w:val="center"/>
                </w:tcPr>
                <w:p w14:paraId="60C4DA87">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14DC29D">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PH</w:t>
                  </w:r>
                </w:p>
              </w:tc>
              <w:tc>
                <w:tcPr>
                  <w:tcW w:w="1116" w:type="dxa"/>
                  <w:tcBorders>
                    <w:top w:val="single" w:color="auto" w:sz="4" w:space="0"/>
                    <w:left w:val="single" w:color="auto" w:sz="4" w:space="0"/>
                    <w:bottom w:val="single" w:color="auto" w:sz="4" w:space="0"/>
                    <w:right w:val="nil"/>
                    <w:tl2br w:val="nil"/>
                    <w:tr2bl w:val="nil"/>
                  </w:tcBorders>
                  <w:noWrap w:val="0"/>
                  <w:vAlign w:val="center"/>
                </w:tcPr>
                <w:p w14:paraId="2D51EF12">
                  <w:pPr>
                    <w:pStyle w:val="34"/>
                    <w:rPr>
                      <w:rFonts w:hint="default" w:ascii="Times New Roman" w:hAnsi="Times New Roman" w:eastAsia="宋体" w:cs="Times New Roman"/>
                      <w:color w:val="000000"/>
                      <w:sz w:val="21"/>
                      <w:szCs w:val="20"/>
                    </w:rPr>
                  </w:pPr>
                  <w:r>
                    <w:rPr>
                      <w:rFonts w:hint="default" w:ascii="Times New Roman" w:hAnsi="Times New Roman" w:eastAsia="宋体" w:cs="Times New Roman"/>
                      <w:color w:val="000000"/>
                      <w:sz w:val="21"/>
                      <w:szCs w:val="20"/>
                    </w:rPr>
                    <w:t>6-9无量纲</w:t>
                  </w:r>
                </w:p>
              </w:tc>
            </w:tr>
            <w:tr w14:paraId="3F586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356" w:type="dxa"/>
                  <w:vMerge w:val="continue"/>
                  <w:tcBorders>
                    <w:left w:val="nil"/>
                    <w:bottom w:val="single" w:color="auto" w:sz="12" w:space="0"/>
                    <w:right w:val="single" w:color="auto" w:sz="4" w:space="0"/>
                    <w:tl2br w:val="nil"/>
                    <w:tr2bl w:val="nil"/>
                  </w:tcBorders>
                  <w:noWrap w:val="0"/>
                  <w:vAlign w:val="center"/>
                </w:tcPr>
                <w:p w14:paraId="735C59B9">
                  <w:pPr>
                    <w:pStyle w:val="34"/>
                    <w:rPr>
                      <w:rFonts w:hint="default" w:ascii="Times New Roman" w:hAnsi="Times New Roman" w:eastAsia="宋体" w:cs="Times New Roman"/>
                      <w:color w:val="000000"/>
                      <w:sz w:val="21"/>
                      <w:szCs w:val="20"/>
                    </w:rPr>
                  </w:pPr>
                </w:p>
              </w:tc>
              <w:tc>
                <w:tcPr>
                  <w:tcW w:w="349" w:type="dxa"/>
                  <w:vMerge w:val="continue"/>
                  <w:tcBorders>
                    <w:left w:val="single" w:color="auto" w:sz="4" w:space="0"/>
                    <w:bottom w:val="single" w:color="auto" w:sz="12" w:space="0"/>
                    <w:right w:val="single" w:color="auto" w:sz="4" w:space="0"/>
                    <w:tl2br w:val="nil"/>
                    <w:tr2bl w:val="nil"/>
                  </w:tcBorders>
                  <w:noWrap w:val="0"/>
                  <w:vAlign w:val="center"/>
                </w:tcPr>
                <w:p w14:paraId="61463E8A">
                  <w:pPr>
                    <w:pStyle w:val="34"/>
                    <w:rPr>
                      <w:rFonts w:hint="default" w:ascii="Times New Roman" w:hAnsi="Times New Roman" w:eastAsia="宋体" w:cs="Times New Roman"/>
                      <w:color w:val="000000"/>
                      <w:sz w:val="21"/>
                      <w:szCs w:val="20"/>
                    </w:rPr>
                  </w:pPr>
                </w:p>
              </w:tc>
              <w:tc>
                <w:tcPr>
                  <w:tcW w:w="890" w:type="dxa"/>
                  <w:vMerge w:val="continue"/>
                  <w:tcBorders>
                    <w:left w:val="single" w:color="auto" w:sz="4" w:space="0"/>
                    <w:bottom w:val="single" w:color="auto" w:sz="12" w:space="0"/>
                    <w:right w:val="single" w:color="auto" w:sz="4" w:space="0"/>
                    <w:tl2br w:val="nil"/>
                    <w:tr2bl w:val="nil"/>
                  </w:tcBorders>
                  <w:noWrap w:val="0"/>
                  <w:vAlign w:val="center"/>
                </w:tcPr>
                <w:p w14:paraId="540603F5">
                  <w:pPr>
                    <w:pStyle w:val="34"/>
                    <w:rPr>
                      <w:rFonts w:hint="default" w:ascii="Times New Roman" w:hAnsi="Times New Roman" w:eastAsia="宋体" w:cs="Times New Roman"/>
                      <w:color w:val="000000"/>
                      <w:sz w:val="21"/>
                      <w:szCs w:val="20"/>
                    </w:rPr>
                  </w:pPr>
                </w:p>
              </w:tc>
              <w:tc>
                <w:tcPr>
                  <w:tcW w:w="765" w:type="dxa"/>
                  <w:vMerge w:val="continue"/>
                  <w:tcBorders>
                    <w:left w:val="single" w:color="auto" w:sz="4" w:space="0"/>
                    <w:bottom w:val="single" w:color="auto" w:sz="12" w:space="0"/>
                    <w:right w:val="single" w:color="auto" w:sz="4" w:space="0"/>
                    <w:tl2br w:val="nil"/>
                    <w:tr2bl w:val="nil"/>
                  </w:tcBorders>
                  <w:noWrap w:val="0"/>
                  <w:vAlign w:val="center"/>
                </w:tcPr>
                <w:p w14:paraId="0623DA35">
                  <w:pPr>
                    <w:pStyle w:val="34"/>
                    <w:rPr>
                      <w:rFonts w:hint="default" w:ascii="Times New Roman" w:hAnsi="Times New Roman" w:eastAsia="宋体" w:cs="Times New Roman"/>
                      <w:color w:val="000000"/>
                      <w:sz w:val="21"/>
                      <w:szCs w:val="20"/>
                    </w:rPr>
                  </w:pPr>
                </w:p>
              </w:tc>
              <w:tc>
                <w:tcPr>
                  <w:tcW w:w="885" w:type="dxa"/>
                  <w:vMerge w:val="continue"/>
                  <w:tcBorders>
                    <w:left w:val="single" w:color="auto" w:sz="4" w:space="0"/>
                    <w:bottom w:val="single" w:color="auto" w:sz="12" w:space="0"/>
                    <w:right w:val="single" w:color="auto" w:sz="4" w:space="0"/>
                    <w:tl2br w:val="nil"/>
                    <w:tr2bl w:val="nil"/>
                  </w:tcBorders>
                  <w:noWrap w:val="0"/>
                  <w:vAlign w:val="center"/>
                </w:tcPr>
                <w:p w14:paraId="075F28B2">
                  <w:pPr>
                    <w:pStyle w:val="34"/>
                    <w:rPr>
                      <w:rFonts w:hint="default" w:ascii="Times New Roman" w:hAnsi="Times New Roman" w:eastAsia="宋体" w:cs="Times New Roman"/>
                      <w:color w:val="000000"/>
                      <w:sz w:val="21"/>
                      <w:szCs w:val="20"/>
                    </w:rPr>
                  </w:pPr>
                </w:p>
              </w:tc>
              <w:tc>
                <w:tcPr>
                  <w:tcW w:w="870" w:type="dxa"/>
                  <w:vMerge w:val="continue"/>
                  <w:tcBorders>
                    <w:left w:val="single" w:color="auto" w:sz="4" w:space="0"/>
                    <w:bottom w:val="single" w:color="auto" w:sz="12" w:space="0"/>
                    <w:right w:val="single" w:color="auto" w:sz="4" w:space="0"/>
                    <w:tl2br w:val="nil"/>
                    <w:tr2bl w:val="nil"/>
                  </w:tcBorders>
                  <w:noWrap w:val="0"/>
                  <w:vAlign w:val="center"/>
                </w:tcPr>
                <w:p w14:paraId="545E6F43">
                  <w:pPr>
                    <w:pStyle w:val="34"/>
                    <w:rPr>
                      <w:rFonts w:hint="default" w:ascii="Times New Roman" w:hAnsi="Times New Roman" w:eastAsia="宋体" w:cs="Times New Roman"/>
                      <w:color w:val="000000"/>
                      <w:sz w:val="21"/>
                      <w:szCs w:val="20"/>
                    </w:rPr>
                  </w:pPr>
                </w:p>
              </w:tc>
              <w:tc>
                <w:tcPr>
                  <w:tcW w:w="427" w:type="dxa"/>
                  <w:vMerge w:val="continue"/>
                  <w:tcBorders>
                    <w:left w:val="single" w:color="auto" w:sz="4" w:space="0"/>
                    <w:bottom w:val="single" w:color="auto" w:sz="12" w:space="0"/>
                    <w:right w:val="single" w:color="auto" w:sz="4" w:space="0"/>
                    <w:tl2br w:val="nil"/>
                    <w:tr2bl w:val="nil"/>
                  </w:tcBorders>
                  <w:noWrap w:val="0"/>
                  <w:vAlign w:val="center"/>
                </w:tcPr>
                <w:p w14:paraId="4D8876AC">
                  <w:pPr>
                    <w:pStyle w:val="34"/>
                    <w:rPr>
                      <w:rFonts w:hint="default" w:ascii="Times New Roman" w:hAnsi="Times New Roman" w:eastAsia="宋体" w:cs="Times New Roman"/>
                      <w:color w:val="000000"/>
                      <w:sz w:val="21"/>
                      <w:szCs w:val="20"/>
                    </w:rPr>
                  </w:pPr>
                </w:p>
              </w:tc>
              <w:tc>
                <w:tcPr>
                  <w:tcW w:w="428" w:type="dxa"/>
                  <w:vMerge w:val="continue"/>
                  <w:tcBorders>
                    <w:left w:val="single" w:color="auto" w:sz="4" w:space="0"/>
                    <w:bottom w:val="single" w:color="auto" w:sz="12" w:space="0"/>
                    <w:right w:val="single" w:color="auto" w:sz="4" w:space="0"/>
                    <w:tl2br w:val="nil"/>
                    <w:tr2bl w:val="nil"/>
                  </w:tcBorders>
                  <w:noWrap w:val="0"/>
                  <w:vAlign w:val="center"/>
                </w:tcPr>
                <w:p w14:paraId="77EB773B">
                  <w:pPr>
                    <w:pStyle w:val="34"/>
                    <w:rPr>
                      <w:rFonts w:hint="default" w:ascii="Times New Roman" w:hAnsi="Times New Roman" w:eastAsia="宋体" w:cs="Times New Roman"/>
                      <w:color w:val="000000"/>
                      <w:sz w:val="21"/>
                      <w:szCs w:val="20"/>
                    </w:rPr>
                  </w:pPr>
                </w:p>
              </w:tc>
              <w:tc>
                <w:tcPr>
                  <w:tcW w:w="375" w:type="dxa"/>
                  <w:vMerge w:val="continue"/>
                  <w:tcBorders>
                    <w:left w:val="single" w:color="auto" w:sz="4" w:space="0"/>
                    <w:bottom w:val="single" w:color="auto" w:sz="12" w:space="0"/>
                    <w:right w:val="single" w:color="auto" w:sz="4" w:space="0"/>
                    <w:tl2br w:val="nil"/>
                    <w:tr2bl w:val="nil"/>
                  </w:tcBorders>
                  <w:noWrap w:val="0"/>
                  <w:vAlign w:val="center"/>
                </w:tcPr>
                <w:p w14:paraId="2D57080E">
                  <w:pPr>
                    <w:pStyle w:val="34"/>
                    <w:rPr>
                      <w:rFonts w:hint="default" w:ascii="Times New Roman" w:hAnsi="Times New Roman" w:eastAsia="宋体" w:cs="Times New Roman"/>
                      <w:color w:val="000000"/>
                      <w:sz w:val="21"/>
                      <w:szCs w:val="20"/>
                    </w:rPr>
                  </w:pPr>
                </w:p>
              </w:tc>
              <w:tc>
                <w:tcPr>
                  <w:tcW w:w="990" w:type="dxa"/>
                  <w:vMerge w:val="continue"/>
                  <w:tcBorders>
                    <w:left w:val="single" w:color="auto" w:sz="4" w:space="0"/>
                    <w:bottom w:val="single" w:color="auto" w:sz="12" w:space="0"/>
                    <w:right w:val="single" w:color="auto" w:sz="4" w:space="0"/>
                    <w:tl2br w:val="nil"/>
                    <w:tr2bl w:val="nil"/>
                  </w:tcBorders>
                  <w:noWrap w:val="0"/>
                  <w:vAlign w:val="center"/>
                </w:tcPr>
                <w:p w14:paraId="59253CCE">
                  <w:pPr>
                    <w:pStyle w:val="34"/>
                    <w:rPr>
                      <w:rFonts w:hint="default" w:ascii="Times New Roman" w:hAnsi="Times New Roman" w:eastAsia="宋体" w:cs="Times New Roman"/>
                      <w:color w:val="000000"/>
                      <w:sz w:val="21"/>
                      <w:szCs w:val="20"/>
                    </w:rPr>
                  </w:pPr>
                </w:p>
              </w:tc>
              <w:tc>
                <w:tcPr>
                  <w:tcW w:w="810" w:type="dxa"/>
                  <w:tcBorders>
                    <w:top w:val="single" w:color="auto" w:sz="4" w:space="0"/>
                    <w:left w:val="single" w:color="auto" w:sz="4" w:space="0"/>
                    <w:bottom w:val="single" w:color="auto" w:sz="12" w:space="0"/>
                    <w:right w:val="single" w:color="auto" w:sz="4" w:space="0"/>
                    <w:tl2br w:val="nil"/>
                    <w:tr2bl w:val="nil"/>
                  </w:tcBorders>
                  <w:noWrap w:val="0"/>
                  <w:vAlign w:val="center"/>
                </w:tcPr>
                <w:p w14:paraId="74D5B229">
                  <w:pPr>
                    <w:pStyle w:val="34"/>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LAS</w:t>
                  </w:r>
                </w:p>
              </w:tc>
              <w:tc>
                <w:tcPr>
                  <w:tcW w:w="1116" w:type="dxa"/>
                  <w:tcBorders>
                    <w:top w:val="single" w:color="auto" w:sz="4" w:space="0"/>
                    <w:left w:val="single" w:color="auto" w:sz="4" w:space="0"/>
                    <w:bottom w:val="single" w:color="auto" w:sz="12" w:space="0"/>
                    <w:right w:val="nil"/>
                    <w:tl2br w:val="nil"/>
                    <w:tr2bl w:val="nil"/>
                  </w:tcBorders>
                  <w:noWrap w:val="0"/>
                  <w:vAlign w:val="center"/>
                </w:tcPr>
                <w:p w14:paraId="1FECF445">
                  <w:pPr>
                    <w:pStyle w:val="34"/>
                    <w:rPr>
                      <w:rFonts w:hint="default" w:ascii="Times New Roman" w:hAnsi="Times New Roman" w:eastAsia="宋体" w:cs="Times New Roman"/>
                      <w:color w:val="0000FF"/>
                      <w:sz w:val="21"/>
                      <w:szCs w:val="20"/>
                      <w:lang w:val="en-US" w:eastAsia="zh-CN"/>
                    </w:rPr>
                  </w:pPr>
                  <w:r>
                    <w:rPr>
                      <w:rFonts w:hint="eastAsia" w:ascii="Times New Roman" w:hAnsi="Times New Roman" w:eastAsia="宋体" w:cs="Times New Roman"/>
                      <w:color w:val="0000FF"/>
                      <w:sz w:val="21"/>
                      <w:szCs w:val="20"/>
                      <w:lang w:val="en-US" w:eastAsia="zh-CN"/>
                    </w:rPr>
                    <w:t>0.5</w:t>
                  </w:r>
                </w:p>
              </w:tc>
            </w:tr>
          </w:tbl>
          <w:p w14:paraId="6676FCB5">
            <w:pPr>
              <w:rPr>
                <w:rFonts w:hint="default" w:ascii="Times New Roman" w:hAnsi="Times New Roman" w:eastAsia="宋体" w:cs="Times New Roman"/>
              </w:rPr>
            </w:pPr>
          </w:p>
          <w:p w14:paraId="53DE3AA0">
            <w:pPr>
              <w:pStyle w:val="7"/>
              <w:spacing w:line="360" w:lineRule="auto"/>
              <w:ind w:firstLine="480" w:firstLineChars="200"/>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（5）监测计划</w:t>
            </w:r>
          </w:p>
          <w:p w14:paraId="69C6308C">
            <w:pPr>
              <w:pStyle w:val="7"/>
              <w:spacing w:line="360" w:lineRule="auto"/>
              <w:ind w:firstLine="480" w:firstLineChars="200"/>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结合《</w:t>
            </w:r>
            <w:r>
              <w:rPr>
                <w:rFonts w:hint="default" w:ascii="Times New Roman" w:hAnsi="Times New Roman" w:eastAsia="宋体" w:cs="Times New Roman"/>
                <w:color w:val="000000" w:themeColor="text1"/>
                <w:kern w:val="0"/>
                <w:sz w:val="24"/>
                <w:szCs w:val="24"/>
                <w:lang w:bidi="ar"/>
                <w14:textFill>
                  <w14:solidFill>
                    <w14:schemeClr w14:val="tx1"/>
                  </w14:solidFill>
                </w14:textFill>
              </w:rPr>
              <w:fldChar w:fldCharType="begin"/>
            </w:r>
            <w:r>
              <w:rPr>
                <w:rFonts w:hint="default" w:ascii="Times New Roman" w:hAnsi="Times New Roman" w:eastAsia="宋体" w:cs="Times New Roman"/>
                <w:color w:val="000000" w:themeColor="text1"/>
                <w:kern w:val="0"/>
                <w:sz w:val="24"/>
                <w:szCs w:val="24"/>
                <w:lang w:bidi="ar"/>
                <w14:textFill>
                  <w14:solidFill>
                    <w14:schemeClr w14:val="tx1"/>
                  </w14:solidFill>
                </w14:textFill>
              </w:rPr>
              <w:instrText xml:space="preserve">HYPERLINK "http://kjs.mep.gov.cn/hjbhbz/bzwb/shjbh/xgbzh/201705/W020170511332490849000.pdf"</w:instrText>
            </w:r>
            <w:r>
              <w:rPr>
                <w:rFonts w:hint="default" w:ascii="Times New Roman" w:hAnsi="Times New Roman" w:eastAsia="宋体" w:cs="Times New Roman"/>
                <w:color w:val="000000" w:themeColor="text1"/>
                <w:kern w:val="0"/>
                <w:sz w:val="24"/>
                <w:szCs w:val="24"/>
                <w:lang w:bidi="ar"/>
                <w14:textFill>
                  <w14:solidFill>
                    <w14:schemeClr w14:val="tx1"/>
                  </w14:solidFill>
                </w14:textFill>
              </w:rPr>
              <w:fldChar w:fldCharType="separate"/>
            </w:r>
            <w:r>
              <w:rPr>
                <w:rFonts w:hint="default" w:ascii="Times New Roman" w:hAnsi="Times New Roman" w:eastAsia="宋体" w:cs="Times New Roman"/>
                <w:color w:val="000000" w:themeColor="text1"/>
                <w:kern w:val="0"/>
                <w:sz w:val="24"/>
                <w:szCs w:val="24"/>
                <w:lang w:bidi="ar"/>
                <w14:textFill>
                  <w14:solidFill>
                    <w14:schemeClr w14:val="tx1"/>
                  </w14:solidFill>
                </w14:textFill>
              </w:rPr>
              <w:t>排污单位自行监测技术指南总则》(HJ819-2017)</w:t>
            </w:r>
            <w:r>
              <w:rPr>
                <w:rFonts w:hint="default" w:ascii="Times New Roman" w:hAnsi="Times New Roman" w:eastAsia="宋体" w:cs="Times New Roman"/>
                <w:color w:val="000000" w:themeColor="text1"/>
                <w:kern w:val="0"/>
                <w:sz w:val="24"/>
                <w:szCs w:val="24"/>
                <w:lang w:bidi="ar"/>
                <w14:textFill>
                  <w14:solidFill>
                    <w14:schemeClr w14:val="tx1"/>
                  </w14:solidFill>
                </w14:textFill>
              </w:rPr>
              <w:fldChar w:fldCharType="end"/>
            </w:r>
            <w:r>
              <w:rPr>
                <w:rFonts w:hint="default" w:ascii="Times New Roman" w:hAnsi="Times New Roman" w:eastAsia="宋体" w:cs="Times New Roman"/>
                <w:color w:val="000000" w:themeColor="text1"/>
                <w:kern w:val="0"/>
                <w:sz w:val="24"/>
                <w:szCs w:val="24"/>
                <w:lang w:bidi="ar"/>
                <w14:textFill>
                  <w14:solidFill>
                    <w14:schemeClr w14:val="tx1"/>
                  </w14:solidFill>
                </w14:textFill>
              </w:rPr>
              <w:t>和《排污单位自行监测技术指南 食品制造》（HJ1084-2020），确定本项目监测计划，监测计划见下表等，制定本项目废水监测计划。拟建项目运营期废水监测计划见下表。</w:t>
            </w:r>
          </w:p>
          <w:p w14:paraId="00641594">
            <w:pPr>
              <w:pStyle w:val="8"/>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11</w:t>
            </w:r>
            <w:r>
              <w:rPr>
                <w:rFonts w:hint="default" w:ascii="Times New Roman" w:hAnsi="Times New Roman" w:eastAsia="宋体" w:cs="Times New Roman"/>
                <w:b/>
                <w:color w:val="000000" w:themeColor="text1"/>
                <w:sz w:val="24"/>
                <w:szCs w:val="24"/>
                <w14:textFill>
                  <w14:solidFill>
                    <w14:schemeClr w14:val="tx1"/>
                  </w14:solidFill>
                </w14:textFill>
              </w:rPr>
              <w:t xml:space="preserve">  运营期废水监测计划</w:t>
            </w:r>
          </w:p>
          <w:tbl>
            <w:tblPr>
              <w:tblStyle w:val="13"/>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07"/>
              <w:gridCol w:w="2236"/>
              <w:gridCol w:w="1028"/>
              <w:gridCol w:w="1183"/>
              <w:gridCol w:w="2900"/>
            </w:tblGrid>
            <w:tr w14:paraId="7BA4F9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49" w:type="pct"/>
                  <w:tcBorders>
                    <w:top w:val="single" w:color="000000" w:sz="12" w:space="0"/>
                    <w:left w:val="nil"/>
                    <w:bottom w:val="single" w:color="000000" w:sz="4" w:space="0"/>
                    <w:right w:val="single" w:color="000000" w:sz="4" w:space="0"/>
                    <w:tl2br w:val="nil"/>
                    <w:tr2bl w:val="nil"/>
                  </w:tcBorders>
                  <w:noWrap w:val="0"/>
                  <w:vAlign w:val="center"/>
                </w:tcPr>
                <w:p w14:paraId="3060DB53">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环境要素</w:t>
                  </w:r>
                </w:p>
              </w:tc>
              <w:tc>
                <w:tcPr>
                  <w:tcW w:w="1354"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7CE490E1">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监测指标</w:t>
                  </w:r>
                </w:p>
              </w:tc>
              <w:tc>
                <w:tcPr>
                  <w:tcW w:w="622"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6F82160E">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监测点位</w:t>
                  </w:r>
                </w:p>
              </w:tc>
              <w:tc>
                <w:tcPr>
                  <w:tcW w:w="716"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14:paraId="6EBC6662">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监频测次</w:t>
                  </w:r>
                </w:p>
              </w:tc>
              <w:tc>
                <w:tcPr>
                  <w:tcW w:w="1756" w:type="pct"/>
                  <w:tcBorders>
                    <w:top w:val="single" w:color="000000" w:sz="12" w:space="0"/>
                    <w:left w:val="single" w:color="000000" w:sz="4" w:space="0"/>
                    <w:bottom w:val="single" w:color="000000" w:sz="4" w:space="0"/>
                    <w:right w:val="nil"/>
                    <w:tl2br w:val="nil"/>
                    <w:tr2bl w:val="nil"/>
                  </w:tcBorders>
                  <w:noWrap w:val="0"/>
                  <w:vAlign w:val="center"/>
                </w:tcPr>
                <w:p w14:paraId="084E97E5">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执行标准</w:t>
                  </w:r>
                </w:p>
              </w:tc>
            </w:tr>
            <w:tr w14:paraId="6DBABD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49" w:type="pct"/>
                  <w:tcBorders>
                    <w:top w:val="single" w:color="000000" w:sz="4" w:space="0"/>
                    <w:left w:val="nil"/>
                    <w:bottom w:val="single" w:color="000000" w:sz="12" w:space="0"/>
                    <w:right w:val="single" w:color="000000" w:sz="4" w:space="0"/>
                    <w:tl2br w:val="nil"/>
                    <w:tr2bl w:val="nil"/>
                  </w:tcBorders>
                  <w:noWrap w:val="0"/>
                  <w:vAlign w:val="center"/>
                </w:tcPr>
                <w:p w14:paraId="5644C6B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1354"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1A8BC669">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pH值、COD、氨氮、BOD</w:t>
                  </w:r>
                  <w:r>
                    <w:rPr>
                      <w:rFonts w:hint="default" w:ascii="Times New Roman" w:hAnsi="Times New Roman" w:eastAsia="宋体" w:cs="Times New Roman"/>
                      <w:color w:val="000000" w:themeColor="text1"/>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、SS</w:t>
                  </w:r>
                  <w:r>
                    <w:rPr>
                      <w:rFonts w:hint="default" w:ascii="Times New Roman" w:hAnsi="Times New Roman" w:eastAsia="宋体" w:cs="Times New Roman"/>
                      <w:color w:val="000000" w:themeColor="text1"/>
                      <w:sz w:val="21"/>
                      <w:szCs w:val="21"/>
                      <w:lang w:eastAsia="zh-CN"/>
                      <w14:textFill>
                        <w14:solidFill>
                          <w14:schemeClr w14:val="tx1"/>
                        </w14:solidFill>
                      </w14:textFill>
                    </w:rPr>
                    <w:t>、总磷、总氮、动植物油</w:t>
                  </w:r>
                  <w:r>
                    <w:rPr>
                      <w:rFonts w:hint="eastAsia" w:ascii="Times New Roman" w:hAnsi="Times New Roman" w:eastAsia="宋体" w:cs="Times New Roman"/>
                      <w:color w:val="0000FF"/>
                      <w:sz w:val="21"/>
                      <w:szCs w:val="21"/>
                      <w:lang w:eastAsia="zh-CN"/>
                    </w:rPr>
                    <w:t>、</w:t>
                  </w:r>
                  <w:r>
                    <w:rPr>
                      <w:rFonts w:hint="eastAsia" w:ascii="Times New Roman" w:hAnsi="Times New Roman" w:eastAsia="宋体" w:cs="Times New Roman"/>
                      <w:color w:val="0000FF"/>
                      <w:sz w:val="21"/>
                      <w:szCs w:val="21"/>
                      <w:lang w:val="en-US" w:eastAsia="zh-CN"/>
                    </w:rPr>
                    <w:t>LAS</w:t>
                  </w:r>
                </w:p>
              </w:tc>
              <w:tc>
                <w:tcPr>
                  <w:tcW w:w="622"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4707BA25">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废水总排放口</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DW001</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716" w:type="pct"/>
                  <w:tcBorders>
                    <w:top w:val="single" w:color="000000" w:sz="4" w:space="0"/>
                    <w:left w:val="single" w:color="000000" w:sz="4" w:space="0"/>
                    <w:bottom w:val="single" w:color="000000" w:sz="12" w:space="0"/>
                    <w:right w:val="single" w:color="000000" w:sz="4" w:space="0"/>
                    <w:tl2br w:val="nil"/>
                    <w:tr2bl w:val="nil"/>
                  </w:tcBorders>
                  <w:noWrap w:val="0"/>
                  <w:vAlign w:val="center"/>
                </w:tcPr>
                <w:p w14:paraId="5C57F0A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 次/</w:t>
                  </w:r>
                  <w:r>
                    <w:rPr>
                      <w:rFonts w:hint="default" w:ascii="Times New Roman" w:hAnsi="Times New Roman" w:eastAsia="宋体" w:cs="Times New Roman"/>
                      <w:color w:val="000000" w:themeColor="text1"/>
                      <w:sz w:val="21"/>
                      <w:szCs w:val="21"/>
                      <w:lang w:eastAsia="zh-CN"/>
                      <w14:textFill>
                        <w14:solidFill>
                          <w14:schemeClr w14:val="tx1"/>
                        </w14:solidFill>
                      </w14:textFill>
                    </w:rPr>
                    <w:t>半</w:t>
                  </w:r>
                  <w:r>
                    <w:rPr>
                      <w:rFonts w:hint="default" w:ascii="Times New Roman" w:hAnsi="Times New Roman" w:eastAsia="宋体" w:cs="Times New Roman"/>
                      <w:color w:val="000000" w:themeColor="text1"/>
                      <w:sz w:val="21"/>
                      <w:szCs w:val="21"/>
                      <w14:textFill>
                        <w14:solidFill>
                          <w14:schemeClr w14:val="tx1"/>
                        </w14:solidFill>
                      </w14:textFill>
                    </w:rPr>
                    <w:t>年</w:t>
                  </w:r>
                </w:p>
              </w:tc>
              <w:tc>
                <w:tcPr>
                  <w:tcW w:w="1756" w:type="pct"/>
                  <w:tcBorders>
                    <w:top w:val="single" w:color="000000" w:sz="4" w:space="0"/>
                    <w:left w:val="single" w:color="000000" w:sz="4" w:space="0"/>
                    <w:bottom w:val="single" w:color="000000" w:sz="12" w:space="0"/>
                    <w:right w:val="nil"/>
                    <w:tl2br w:val="nil"/>
                    <w:tr2bl w:val="nil"/>
                  </w:tcBorders>
                  <w:noWrap w:val="0"/>
                  <w:vAlign w:val="center"/>
                </w:tcPr>
                <w:p w14:paraId="69D3B553">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《污水综合排放标准》(GB8978-1996)三级标准及</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双鸭山市污水处理厂</w:t>
                  </w:r>
                  <w:r>
                    <w:rPr>
                      <w:rFonts w:hint="default" w:ascii="Times New Roman" w:hAnsi="Times New Roman" w:eastAsia="宋体" w:cs="Times New Roman"/>
                      <w:color w:val="000000" w:themeColor="text1"/>
                      <w:sz w:val="21"/>
                      <w:szCs w:val="21"/>
                      <w14:textFill>
                        <w14:solidFill>
                          <w14:schemeClr w14:val="tx1"/>
                        </w14:solidFill>
                      </w14:textFill>
                    </w:rPr>
                    <w:t>进水水质标准值</w:t>
                  </w:r>
                  <w:r>
                    <w:rPr>
                      <w:rFonts w:hint="default" w:ascii="Times New Roman" w:hAnsi="Times New Roman" w:eastAsia="宋体" w:cs="Times New Roman"/>
                      <w:color w:val="000000" w:themeColor="text1"/>
                      <w:sz w:val="21"/>
                      <w:szCs w:val="21"/>
                      <w:lang w:eastAsia="zh-CN"/>
                      <w14:textFill>
                        <w14:solidFill>
                          <w14:schemeClr w14:val="tx1"/>
                        </w14:solidFill>
                      </w14:textFill>
                    </w:rPr>
                    <w:t>从严标准</w:t>
                  </w:r>
                </w:p>
              </w:tc>
            </w:tr>
          </w:tbl>
          <w:p w14:paraId="3D08B13C">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14:paraId="69D28AE4">
            <w:pPr>
              <w:pStyle w:val="35"/>
              <w:adjustRightInd w:val="0"/>
              <w:snapToGrid w:val="0"/>
              <w:spacing w:beforeLines="0" w:afterLines="0" w:line="360" w:lineRule="auto"/>
              <w:ind w:firstLine="48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三、噪声</w:t>
            </w:r>
          </w:p>
          <w:p w14:paraId="2169B6CD">
            <w:pPr>
              <w:pStyle w:val="7"/>
              <w:spacing w:beforeLines="0" w:afterLines="0" w:line="360" w:lineRule="auto"/>
              <w:ind w:firstLine="482" w:firstLineChars="200"/>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1、噪声源强分析</w:t>
            </w:r>
          </w:p>
          <w:p w14:paraId="066E53D1">
            <w:pPr>
              <w:pStyle w:val="7"/>
              <w:spacing w:beforeLines="0" w:afterLines="0" w:line="360" w:lineRule="auto"/>
              <w:ind w:firstLine="480" w:firstLineChars="200"/>
              <w:rPr>
                <w:rFonts w:hint="default" w:ascii="Times New Roman" w:hAnsi="Times New Roman" w:eastAsia="宋体" w:cs="Times New Roman"/>
                <w:color w:val="000000" w:themeColor="text1"/>
                <w:kern w:val="0"/>
                <w:sz w:val="21"/>
                <w:szCs w:val="20"/>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本项目的噪声主要来源于各类生产机械设备，包括切丁机、切菜机、空气压缩机、风机等，其噪声源的源强为70~85dB(A)。生产设备均放置于生产区域内，钢结构厂房，门窗密闭，综合隔声量可达25dB（A）以上</w:t>
            </w:r>
            <w:r>
              <w:rPr>
                <w:rFonts w:hint="default" w:ascii="Times New Roman" w:hAnsi="Times New Roman" w:eastAsia="宋体" w:cs="Times New Roman"/>
                <w:color w:val="000000" w:themeColor="text1"/>
                <w:kern w:val="0"/>
                <w:sz w:val="24"/>
                <w:szCs w:val="24"/>
                <w14:textFill>
                  <w14:solidFill>
                    <w14:schemeClr w14:val="tx1"/>
                  </w14:solidFill>
                </w14:textFill>
              </w:rPr>
              <w:t>。本项目噪声源强见下表。</w:t>
            </w:r>
          </w:p>
          <w:p w14:paraId="7478401C">
            <w:pPr>
              <w:pStyle w:val="8"/>
              <w:spacing w:beforeLines="0" w:afterLines="0"/>
              <w:rPr>
                <w:rFonts w:hint="default" w:ascii="Times New Roman" w:hAnsi="Times New Roman" w:eastAsia="宋体" w:cs="Times New Roman"/>
                <w:color w:val="000000" w:themeColor="text1"/>
                <w:sz w:val="21"/>
                <w:szCs w:val="20"/>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 xml:space="preserve">12 </w:t>
            </w:r>
            <w:r>
              <w:rPr>
                <w:rFonts w:hint="default" w:ascii="Times New Roman" w:hAnsi="Times New Roman" w:eastAsia="宋体" w:cs="Times New Roman"/>
                <w:b/>
                <w:color w:val="000000" w:themeColor="text1"/>
                <w:sz w:val="24"/>
                <w:szCs w:val="24"/>
                <w14:textFill>
                  <w14:solidFill>
                    <w14:schemeClr w14:val="tx1"/>
                  </w14:solidFill>
                </w14:textFill>
              </w:rPr>
              <w:t>工业企业噪声源强调查清单</w:t>
            </w:r>
          </w:p>
          <w:tbl>
            <w:tblPr>
              <w:tblStyle w:val="13"/>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4"/>
              <w:gridCol w:w="1508"/>
              <w:gridCol w:w="777"/>
              <w:gridCol w:w="525"/>
              <w:gridCol w:w="1019"/>
              <w:gridCol w:w="1057"/>
              <w:gridCol w:w="889"/>
              <w:gridCol w:w="624"/>
              <w:gridCol w:w="1356"/>
            </w:tblGrid>
            <w:tr w14:paraId="09C3B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vMerge w:val="restart"/>
                  <w:tcBorders>
                    <w:tl2br w:val="nil"/>
                    <w:tr2bl w:val="nil"/>
                  </w:tcBorders>
                  <w:noWrap w:val="0"/>
                  <w:vAlign w:val="center"/>
                </w:tcPr>
                <w:p w14:paraId="6E36149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1508" w:type="dxa"/>
                  <w:vMerge w:val="restart"/>
                  <w:tcBorders>
                    <w:tl2br w:val="nil"/>
                    <w:tr2bl w:val="nil"/>
                  </w:tcBorders>
                  <w:noWrap w:val="0"/>
                  <w:vAlign w:val="center"/>
                </w:tcPr>
                <w:p w14:paraId="6E34BF5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噪声源</w:t>
                  </w:r>
                </w:p>
              </w:tc>
              <w:tc>
                <w:tcPr>
                  <w:tcW w:w="777" w:type="dxa"/>
                  <w:vMerge w:val="restart"/>
                  <w:tcBorders>
                    <w:tl2br w:val="nil"/>
                    <w:tr2bl w:val="nil"/>
                  </w:tcBorders>
                  <w:noWrap w:val="0"/>
                  <w:vAlign w:val="center"/>
                </w:tcPr>
                <w:p w14:paraId="11DDB6A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声源类型</w:t>
                  </w:r>
                </w:p>
              </w:tc>
              <w:tc>
                <w:tcPr>
                  <w:tcW w:w="1544" w:type="dxa"/>
                  <w:gridSpan w:val="2"/>
                  <w:tcBorders>
                    <w:tl2br w:val="nil"/>
                    <w:tr2bl w:val="nil"/>
                  </w:tcBorders>
                  <w:noWrap w:val="0"/>
                  <w:vAlign w:val="center"/>
                </w:tcPr>
                <w:p w14:paraId="73BCB7C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噪声源强</w:t>
                  </w:r>
                </w:p>
              </w:tc>
              <w:tc>
                <w:tcPr>
                  <w:tcW w:w="1946" w:type="dxa"/>
                  <w:gridSpan w:val="2"/>
                  <w:tcBorders>
                    <w:tl2br w:val="nil"/>
                    <w:tr2bl w:val="nil"/>
                  </w:tcBorders>
                  <w:noWrap w:val="0"/>
                  <w:vAlign w:val="center"/>
                </w:tcPr>
                <w:p w14:paraId="59F8DEC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降噪措施</w:t>
                  </w:r>
                </w:p>
              </w:tc>
              <w:tc>
                <w:tcPr>
                  <w:tcW w:w="1980" w:type="dxa"/>
                  <w:gridSpan w:val="2"/>
                  <w:tcBorders>
                    <w:tl2br w:val="nil"/>
                    <w:tr2bl w:val="nil"/>
                  </w:tcBorders>
                  <w:noWrap w:val="0"/>
                  <w:vAlign w:val="center"/>
                </w:tcPr>
                <w:p w14:paraId="25F7828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噪声排放值</w:t>
                  </w:r>
                </w:p>
              </w:tc>
            </w:tr>
            <w:tr w14:paraId="792DC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vMerge w:val="continue"/>
                  <w:tcBorders>
                    <w:tl2br w:val="nil"/>
                    <w:tr2bl w:val="nil"/>
                  </w:tcBorders>
                  <w:noWrap w:val="0"/>
                  <w:vAlign w:val="center"/>
                </w:tcPr>
                <w:p w14:paraId="39E873D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508" w:type="dxa"/>
                  <w:vMerge w:val="continue"/>
                  <w:tcBorders>
                    <w:tl2br w:val="nil"/>
                    <w:tr2bl w:val="nil"/>
                  </w:tcBorders>
                  <w:noWrap w:val="0"/>
                  <w:vAlign w:val="center"/>
                </w:tcPr>
                <w:p w14:paraId="4573CCB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777" w:type="dxa"/>
                  <w:vMerge w:val="continue"/>
                  <w:tcBorders>
                    <w:tl2br w:val="nil"/>
                    <w:tr2bl w:val="nil"/>
                  </w:tcBorders>
                  <w:noWrap w:val="0"/>
                  <w:vAlign w:val="center"/>
                </w:tcPr>
                <w:p w14:paraId="13CF480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525" w:type="dxa"/>
                  <w:tcBorders>
                    <w:tl2br w:val="nil"/>
                    <w:tr2bl w:val="nil"/>
                  </w:tcBorders>
                  <w:noWrap w:val="0"/>
                  <w:vAlign w:val="center"/>
                </w:tcPr>
                <w:p w14:paraId="40F5E76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核算方法</w:t>
                  </w:r>
                </w:p>
              </w:tc>
              <w:tc>
                <w:tcPr>
                  <w:tcW w:w="1019" w:type="dxa"/>
                  <w:tcBorders>
                    <w:tl2br w:val="nil"/>
                    <w:tr2bl w:val="nil"/>
                  </w:tcBorders>
                  <w:noWrap w:val="0"/>
                  <w:vAlign w:val="center"/>
                </w:tcPr>
                <w:p w14:paraId="39BD32D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噪声值</w:t>
                  </w:r>
                </w:p>
                <w:p w14:paraId="1204D47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dB(A)</w:t>
                  </w:r>
                </w:p>
              </w:tc>
              <w:tc>
                <w:tcPr>
                  <w:tcW w:w="1057" w:type="dxa"/>
                  <w:tcBorders>
                    <w:tl2br w:val="nil"/>
                    <w:tr2bl w:val="nil"/>
                  </w:tcBorders>
                  <w:noWrap w:val="0"/>
                  <w:vAlign w:val="center"/>
                </w:tcPr>
                <w:p w14:paraId="6393B00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工艺</w:t>
                  </w:r>
                </w:p>
              </w:tc>
              <w:tc>
                <w:tcPr>
                  <w:tcW w:w="889" w:type="dxa"/>
                  <w:tcBorders>
                    <w:tl2br w:val="nil"/>
                    <w:tr2bl w:val="nil"/>
                  </w:tcBorders>
                  <w:noWrap w:val="0"/>
                  <w:vAlign w:val="center"/>
                </w:tcPr>
                <w:p w14:paraId="1518345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降噪</w:t>
                  </w:r>
                </w:p>
                <w:p w14:paraId="2F4A26D4">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效果dB(A)</w:t>
                  </w:r>
                </w:p>
              </w:tc>
              <w:tc>
                <w:tcPr>
                  <w:tcW w:w="624" w:type="dxa"/>
                  <w:tcBorders>
                    <w:tl2br w:val="nil"/>
                    <w:tr2bl w:val="nil"/>
                  </w:tcBorders>
                  <w:noWrap w:val="0"/>
                  <w:vAlign w:val="center"/>
                </w:tcPr>
                <w:p w14:paraId="399E5AD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核算方法</w:t>
                  </w:r>
                </w:p>
              </w:tc>
              <w:tc>
                <w:tcPr>
                  <w:tcW w:w="1356" w:type="dxa"/>
                  <w:tcBorders>
                    <w:tl2br w:val="nil"/>
                    <w:tr2bl w:val="nil"/>
                  </w:tcBorders>
                  <w:noWrap w:val="0"/>
                  <w:vAlign w:val="center"/>
                </w:tcPr>
                <w:p w14:paraId="4C2D8CC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噪声值</w:t>
                  </w:r>
                </w:p>
                <w:p w14:paraId="55F3D5C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dB(A)</w:t>
                  </w:r>
                </w:p>
              </w:tc>
            </w:tr>
            <w:tr w14:paraId="5E902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6F97FDE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508" w:type="dxa"/>
                  <w:tcBorders>
                    <w:tl2br w:val="nil"/>
                    <w:tr2bl w:val="nil"/>
                  </w:tcBorders>
                  <w:shd w:val="clear" w:color="auto" w:fill="auto"/>
                  <w:noWrap w:val="0"/>
                  <w:vAlign w:val="center"/>
                </w:tcPr>
                <w:p w14:paraId="2B8E84C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清洗去皮机</w:t>
                  </w:r>
                </w:p>
              </w:tc>
              <w:tc>
                <w:tcPr>
                  <w:tcW w:w="777" w:type="dxa"/>
                  <w:tcBorders>
                    <w:tl2br w:val="nil"/>
                    <w:tr2bl w:val="nil"/>
                  </w:tcBorders>
                  <w:noWrap w:val="0"/>
                  <w:vAlign w:val="center"/>
                </w:tcPr>
                <w:p w14:paraId="797ACF9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restart"/>
                  <w:tcBorders>
                    <w:tl2br w:val="nil"/>
                    <w:tr2bl w:val="nil"/>
                  </w:tcBorders>
                  <w:noWrap w:val="0"/>
                  <w:vAlign w:val="center"/>
                </w:tcPr>
                <w:p w14:paraId="001FE8F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类比法</w:t>
                  </w:r>
                </w:p>
              </w:tc>
              <w:tc>
                <w:tcPr>
                  <w:tcW w:w="1019" w:type="dxa"/>
                  <w:tcBorders>
                    <w:tl2br w:val="nil"/>
                    <w:tr2bl w:val="nil"/>
                  </w:tcBorders>
                  <w:shd w:val="clear" w:color="auto" w:fill="auto"/>
                  <w:noWrap w:val="0"/>
                  <w:vAlign w:val="center"/>
                </w:tcPr>
                <w:p w14:paraId="392D2ACB">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70</w:t>
                  </w:r>
                </w:p>
              </w:tc>
              <w:tc>
                <w:tcPr>
                  <w:tcW w:w="1057" w:type="dxa"/>
                  <w:vMerge w:val="restart"/>
                  <w:tcBorders>
                    <w:tl2br w:val="nil"/>
                    <w:tr2bl w:val="nil"/>
                  </w:tcBorders>
                  <w:noWrap w:val="0"/>
                  <w:vAlign w:val="center"/>
                </w:tcPr>
                <w:p w14:paraId="0799D9E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 xml:space="preserve">设备底座 </w:t>
                  </w:r>
                </w:p>
                <w:p w14:paraId="0D7D669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减震、建筑</w:t>
                  </w:r>
                  <w:r>
                    <w:rPr>
                      <w:rFonts w:hint="default" w:ascii="Times New Roman" w:hAnsi="Times New Roman" w:eastAsia="宋体" w:cs="Times New Roman"/>
                      <w:color w:val="000000" w:themeColor="text1"/>
                      <w:sz w:val="21"/>
                      <w:szCs w:val="21"/>
                      <w14:textFill>
                        <w14:solidFill>
                          <w14:schemeClr w14:val="tx1"/>
                        </w14:solidFill>
                      </w14:textFill>
                    </w:rPr>
                    <w:t>隔声减振</w:t>
                  </w:r>
                </w:p>
              </w:tc>
              <w:tc>
                <w:tcPr>
                  <w:tcW w:w="889" w:type="dxa"/>
                  <w:tcBorders>
                    <w:tl2br w:val="nil"/>
                    <w:tr2bl w:val="nil"/>
                  </w:tcBorders>
                  <w:noWrap w:val="0"/>
                  <w:vAlign w:val="center"/>
                </w:tcPr>
                <w:p w14:paraId="67F2C9E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restart"/>
                  <w:tcBorders>
                    <w:tl2br w:val="nil"/>
                    <w:tr2bl w:val="nil"/>
                  </w:tcBorders>
                  <w:noWrap w:val="0"/>
                  <w:vAlign w:val="center"/>
                </w:tcPr>
                <w:p w14:paraId="6E61D1C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类比法</w:t>
                  </w:r>
                </w:p>
              </w:tc>
              <w:tc>
                <w:tcPr>
                  <w:tcW w:w="1356" w:type="dxa"/>
                  <w:tcBorders>
                    <w:tl2br w:val="nil"/>
                    <w:tr2bl w:val="nil"/>
                  </w:tcBorders>
                  <w:noWrap w:val="0"/>
                  <w:vAlign w:val="center"/>
                </w:tcPr>
                <w:p w14:paraId="0C984A0E">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61BB4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3A43EB7C">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508" w:type="dxa"/>
                  <w:tcBorders>
                    <w:tl2br w:val="nil"/>
                    <w:tr2bl w:val="nil"/>
                  </w:tcBorders>
                  <w:shd w:val="clear" w:color="auto" w:fill="auto"/>
                  <w:noWrap w:val="0"/>
                  <w:vAlign w:val="center"/>
                </w:tcPr>
                <w:p w14:paraId="5862C2D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蔬菜气泡清洗机</w:t>
                  </w:r>
                </w:p>
              </w:tc>
              <w:tc>
                <w:tcPr>
                  <w:tcW w:w="777" w:type="dxa"/>
                  <w:tcBorders>
                    <w:tl2br w:val="nil"/>
                    <w:tr2bl w:val="nil"/>
                  </w:tcBorders>
                  <w:noWrap w:val="0"/>
                  <w:vAlign w:val="center"/>
                </w:tcPr>
                <w:p w14:paraId="61EEF0C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1DF0C9A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306C803C">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65915BE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0D0E805D">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05D5FF2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7880F6A5">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54DCF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092D879C">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508" w:type="dxa"/>
                  <w:tcBorders>
                    <w:tl2br w:val="nil"/>
                    <w:tr2bl w:val="nil"/>
                  </w:tcBorders>
                  <w:shd w:val="clear" w:color="auto" w:fill="auto"/>
                  <w:noWrap w:val="0"/>
                  <w:vAlign w:val="center"/>
                </w:tcPr>
                <w:p w14:paraId="0AAA07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切菜机</w:t>
                  </w:r>
                </w:p>
              </w:tc>
              <w:tc>
                <w:tcPr>
                  <w:tcW w:w="777" w:type="dxa"/>
                  <w:tcBorders>
                    <w:tl2br w:val="nil"/>
                    <w:tr2bl w:val="nil"/>
                  </w:tcBorders>
                  <w:noWrap w:val="0"/>
                  <w:vAlign w:val="center"/>
                </w:tcPr>
                <w:p w14:paraId="0579872A">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69BDDB7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33E7F02A">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0A4415C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6D9F7D73">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30F39F5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044E2CC1">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116CD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0F947E72">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508" w:type="dxa"/>
                  <w:tcBorders>
                    <w:tl2br w:val="nil"/>
                    <w:tr2bl w:val="nil"/>
                  </w:tcBorders>
                  <w:shd w:val="clear" w:color="auto" w:fill="auto"/>
                  <w:noWrap w:val="0"/>
                  <w:vAlign w:val="center"/>
                </w:tcPr>
                <w:p w14:paraId="77A7FF5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斩拌机</w:t>
                  </w:r>
                </w:p>
              </w:tc>
              <w:tc>
                <w:tcPr>
                  <w:tcW w:w="777" w:type="dxa"/>
                  <w:tcBorders>
                    <w:tl2br w:val="nil"/>
                    <w:tr2bl w:val="nil"/>
                  </w:tcBorders>
                  <w:noWrap w:val="0"/>
                  <w:vAlign w:val="center"/>
                </w:tcPr>
                <w:p w14:paraId="66372DEC">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6634273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4FA29167">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73AC104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191905F9">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ED97D7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3BF20F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4F0FC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52479A88">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508" w:type="dxa"/>
                  <w:tcBorders>
                    <w:tl2br w:val="nil"/>
                    <w:tr2bl w:val="nil"/>
                  </w:tcBorders>
                  <w:shd w:val="clear" w:color="auto" w:fill="auto"/>
                  <w:noWrap w:val="0"/>
                  <w:vAlign w:val="center"/>
                </w:tcPr>
                <w:p w14:paraId="5797B1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切丁机</w:t>
                  </w:r>
                </w:p>
              </w:tc>
              <w:tc>
                <w:tcPr>
                  <w:tcW w:w="777" w:type="dxa"/>
                  <w:tcBorders>
                    <w:tl2br w:val="nil"/>
                    <w:tr2bl w:val="nil"/>
                  </w:tcBorders>
                  <w:noWrap w:val="0"/>
                  <w:vAlign w:val="center"/>
                </w:tcPr>
                <w:p w14:paraId="3C8FE73C">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1221C7C4">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24BDD237">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1CFA3BD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0560A387">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5AF544D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5EC2D51A">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08930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1E02D3E2">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508" w:type="dxa"/>
                  <w:tcBorders>
                    <w:tl2br w:val="nil"/>
                    <w:tr2bl w:val="nil"/>
                  </w:tcBorders>
                  <w:shd w:val="clear" w:color="auto" w:fill="auto"/>
                  <w:noWrap w:val="0"/>
                  <w:vAlign w:val="center"/>
                </w:tcPr>
                <w:p w14:paraId="3E3D11D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三足式离心机</w:t>
                  </w:r>
                </w:p>
              </w:tc>
              <w:tc>
                <w:tcPr>
                  <w:tcW w:w="777" w:type="dxa"/>
                  <w:tcBorders>
                    <w:tl2br w:val="nil"/>
                    <w:tr2bl w:val="nil"/>
                  </w:tcBorders>
                  <w:noWrap w:val="0"/>
                  <w:vAlign w:val="center"/>
                </w:tcPr>
                <w:p w14:paraId="0A616DA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3B1D3E8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4703A018">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80</w:t>
                  </w:r>
                </w:p>
              </w:tc>
              <w:tc>
                <w:tcPr>
                  <w:tcW w:w="1057" w:type="dxa"/>
                  <w:vMerge w:val="continue"/>
                  <w:tcBorders>
                    <w:tl2br w:val="nil"/>
                    <w:tr2bl w:val="nil"/>
                  </w:tcBorders>
                  <w:noWrap w:val="0"/>
                  <w:vAlign w:val="center"/>
                </w:tcPr>
                <w:p w14:paraId="32642CE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7FBBD4E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1E5328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01CD85C">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w:t>
                  </w:r>
                </w:p>
              </w:tc>
            </w:tr>
            <w:tr w14:paraId="5ABCF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28C5D293">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508" w:type="dxa"/>
                  <w:tcBorders>
                    <w:tl2br w:val="nil"/>
                    <w:tr2bl w:val="nil"/>
                  </w:tcBorders>
                  <w:shd w:val="clear" w:color="auto" w:fill="auto"/>
                  <w:noWrap w:val="0"/>
                  <w:vAlign w:val="center"/>
                </w:tcPr>
                <w:p w14:paraId="2817310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鲜肉切丁机</w:t>
                  </w:r>
                </w:p>
              </w:tc>
              <w:tc>
                <w:tcPr>
                  <w:tcW w:w="777" w:type="dxa"/>
                  <w:tcBorders>
                    <w:tl2br w:val="nil"/>
                    <w:tr2bl w:val="nil"/>
                  </w:tcBorders>
                  <w:noWrap w:val="0"/>
                  <w:vAlign w:val="center"/>
                </w:tcPr>
                <w:p w14:paraId="03F3A871">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6D55FB97">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375F1DB7">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04E6873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77A9E6E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1F6B85A7">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BADCB7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22C0BD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76666AB5">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1508" w:type="dxa"/>
                  <w:tcBorders>
                    <w:tl2br w:val="nil"/>
                    <w:tr2bl w:val="nil"/>
                  </w:tcBorders>
                  <w:shd w:val="clear" w:color="auto" w:fill="auto"/>
                  <w:noWrap w:val="0"/>
                  <w:vAlign w:val="center"/>
                </w:tcPr>
                <w:p w14:paraId="5F17E94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鲜肉绞馅机</w:t>
                  </w:r>
                </w:p>
              </w:tc>
              <w:tc>
                <w:tcPr>
                  <w:tcW w:w="777" w:type="dxa"/>
                  <w:tcBorders>
                    <w:tl2br w:val="nil"/>
                    <w:tr2bl w:val="nil"/>
                  </w:tcBorders>
                  <w:noWrap w:val="0"/>
                  <w:vAlign w:val="center"/>
                </w:tcPr>
                <w:p w14:paraId="0D5AF3F8">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24D758A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0CAF54C1">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46CD13A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7F5E0D6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5CCFD8C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1044446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1EA65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59BD3ED1">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1508" w:type="dxa"/>
                  <w:tcBorders>
                    <w:tl2br w:val="nil"/>
                    <w:tr2bl w:val="nil"/>
                  </w:tcBorders>
                  <w:shd w:val="clear" w:color="auto" w:fill="auto"/>
                  <w:noWrap w:val="0"/>
                  <w:vAlign w:val="center"/>
                </w:tcPr>
                <w:p w14:paraId="033A873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三足式离心机</w:t>
                  </w:r>
                </w:p>
              </w:tc>
              <w:tc>
                <w:tcPr>
                  <w:tcW w:w="777" w:type="dxa"/>
                  <w:tcBorders>
                    <w:tl2br w:val="nil"/>
                    <w:tr2bl w:val="nil"/>
                  </w:tcBorders>
                  <w:noWrap w:val="0"/>
                  <w:vAlign w:val="center"/>
                </w:tcPr>
                <w:p w14:paraId="69BC697E">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19ED23A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7ACB8A6B">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80</w:t>
                  </w:r>
                </w:p>
              </w:tc>
              <w:tc>
                <w:tcPr>
                  <w:tcW w:w="1057" w:type="dxa"/>
                  <w:vMerge w:val="continue"/>
                  <w:tcBorders>
                    <w:tl2br w:val="nil"/>
                    <w:tr2bl w:val="nil"/>
                  </w:tcBorders>
                  <w:noWrap w:val="0"/>
                  <w:vAlign w:val="center"/>
                </w:tcPr>
                <w:p w14:paraId="78ABA34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6295A37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155B273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10133737">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w:t>
                  </w:r>
                </w:p>
              </w:tc>
            </w:tr>
            <w:tr w14:paraId="2C8AF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6A8EA0C9">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508" w:type="dxa"/>
                  <w:tcBorders>
                    <w:tl2br w:val="nil"/>
                    <w:tr2bl w:val="nil"/>
                  </w:tcBorders>
                  <w:shd w:val="clear" w:color="auto" w:fill="auto"/>
                  <w:noWrap w:val="0"/>
                  <w:vAlign w:val="center"/>
                </w:tcPr>
                <w:p w14:paraId="5190D14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欧式大锅灶</w:t>
                  </w:r>
                </w:p>
              </w:tc>
              <w:tc>
                <w:tcPr>
                  <w:tcW w:w="777" w:type="dxa"/>
                  <w:tcBorders>
                    <w:tl2br w:val="nil"/>
                    <w:tr2bl w:val="nil"/>
                  </w:tcBorders>
                  <w:noWrap w:val="0"/>
                  <w:vAlign w:val="center"/>
                </w:tcPr>
                <w:p w14:paraId="6E9761F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2046E78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0681F2EC">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0A49F95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3F2CE7CE">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EBBD37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505C77F1">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0C70D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60A9A264">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1508" w:type="dxa"/>
                  <w:tcBorders>
                    <w:tl2br w:val="nil"/>
                    <w:tr2bl w:val="nil"/>
                  </w:tcBorders>
                  <w:shd w:val="clear" w:color="auto" w:fill="auto"/>
                  <w:noWrap w:val="0"/>
                  <w:vAlign w:val="center"/>
                </w:tcPr>
                <w:p w14:paraId="1EB4F12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导热油夹层锅</w:t>
                  </w:r>
                </w:p>
              </w:tc>
              <w:tc>
                <w:tcPr>
                  <w:tcW w:w="777" w:type="dxa"/>
                  <w:tcBorders>
                    <w:tl2br w:val="nil"/>
                    <w:tr2bl w:val="nil"/>
                  </w:tcBorders>
                  <w:noWrap w:val="0"/>
                  <w:vAlign w:val="center"/>
                </w:tcPr>
                <w:p w14:paraId="3244F45C">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2569449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4D4E87CC">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75AD27A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77D5777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B58A27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7BE2175D">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71C30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0FCFCBC1">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1508" w:type="dxa"/>
                  <w:tcBorders>
                    <w:tl2br w:val="nil"/>
                    <w:tr2bl w:val="nil"/>
                  </w:tcBorders>
                  <w:shd w:val="clear" w:color="auto" w:fill="auto"/>
                  <w:noWrap w:val="0"/>
                  <w:vAlign w:val="center"/>
                </w:tcPr>
                <w:p w14:paraId="7DF4DF0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炒蛋锅</w:t>
                  </w:r>
                </w:p>
              </w:tc>
              <w:tc>
                <w:tcPr>
                  <w:tcW w:w="777" w:type="dxa"/>
                  <w:tcBorders>
                    <w:tl2br w:val="nil"/>
                    <w:tr2bl w:val="nil"/>
                  </w:tcBorders>
                  <w:noWrap w:val="0"/>
                  <w:vAlign w:val="center"/>
                </w:tcPr>
                <w:p w14:paraId="2440DFF7">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262EA05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7EC57651">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5D7E0F9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4BDCE9AE">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0FD64BD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74FE1BD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63709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1DE2F2DE">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1508" w:type="dxa"/>
                  <w:tcBorders>
                    <w:tl2br w:val="nil"/>
                    <w:tr2bl w:val="nil"/>
                  </w:tcBorders>
                  <w:shd w:val="clear" w:color="auto" w:fill="auto"/>
                  <w:noWrap w:val="0"/>
                  <w:vAlign w:val="center"/>
                </w:tcPr>
                <w:p w14:paraId="0E65166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搅拌机</w:t>
                  </w:r>
                </w:p>
              </w:tc>
              <w:tc>
                <w:tcPr>
                  <w:tcW w:w="777" w:type="dxa"/>
                  <w:tcBorders>
                    <w:tl2br w:val="nil"/>
                    <w:tr2bl w:val="nil"/>
                  </w:tcBorders>
                  <w:noWrap w:val="0"/>
                  <w:vAlign w:val="center"/>
                </w:tcPr>
                <w:p w14:paraId="43A977A7">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431B55A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72381C21">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2932D42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10EE8E68">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4D701E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3C244262">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2AE7D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4E40E88D">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1508" w:type="dxa"/>
                  <w:tcBorders>
                    <w:tl2br w:val="nil"/>
                    <w:tr2bl w:val="nil"/>
                  </w:tcBorders>
                  <w:shd w:val="clear" w:color="auto" w:fill="auto"/>
                  <w:noWrap w:val="0"/>
                  <w:vAlign w:val="center"/>
                </w:tcPr>
                <w:p w14:paraId="0AA6D21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移动提升机</w:t>
                  </w:r>
                </w:p>
              </w:tc>
              <w:tc>
                <w:tcPr>
                  <w:tcW w:w="777" w:type="dxa"/>
                  <w:tcBorders>
                    <w:tl2br w:val="nil"/>
                    <w:tr2bl w:val="nil"/>
                  </w:tcBorders>
                  <w:noWrap w:val="0"/>
                  <w:vAlign w:val="center"/>
                </w:tcPr>
                <w:p w14:paraId="03B98042">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48B754B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6EA0A78D">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3335D63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773B782A">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B3A538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1891737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1C83C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15357574">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508" w:type="dxa"/>
                  <w:tcBorders>
                    <w:tl2br w:val="nil"/>
                    <w:tr2bl w:val="nil"/>
                  </w:tcBorders>
                  <w:shd w:val="clear" w:color="auto" w:fill="auto"/>
                  <w:noWrap w:val="0"/>
                  <w:vAlign w:val="center"/>
                </w:tcPr>
                <w:p w14:paraId="5E51CA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真空和面机(自动加水、面)</w:t>
                  </w:r>
                </w:p>
              </w:tc>
              <w:tc>
                <w:tcPr>
                  <w:tcW w:w="777" w:type="dxa"/>
                  <w:tcBorders>
                    <w:tl2br w:val="nil"/>
                    <w:tr2bl w:val="nil"/>
                  </w:tcBorders>
                  <w:noWrap w:val="0"/>
                  <w:vAlign w:val="center"/>
                </w:tcPr>
                <w:p w14:paraId="6EAD051D">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2B0D6C8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shd w:val="clear" w:color="auto" w:fill="auto"/>
                  <w:noWrap w:val="0"/>
                  <w:vAlign w:val="center"/>
                </w:tcPr>
                <w:p w14:paraId="1C012504">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lang w:val="en-US" w:eastAsia="zh-CN"/>
                      <w14:textFill>
                        <w14:solidFill>
                          <w14:schemeClr w14:val="tx1"/>
                        </w14:solidFill>
                      </w14:textFill>
                    </w:rPr>
                    <w:t>75</w:t>
                  </w:r>
                </w:p>
              </w:tc>
              <w:tc>
                <w:tcPr>
                  <w:tcW w:w="1057" w:type="dxa"/>
                  <w:vMerge w:val="continue"/>
                  <w:tcBorders>
                    <w:tl2br w:val="nil"/>
                    <w:tr2bl w:val="nil"/>
                  </w:tcBorders>
                  <w:noWrap w:val="0"/>
                  <w:vAlign w:val="center"/>
                </w:tcPr>
                <w:p w14:paraId="4ABD6E0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19558DE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FC2FCF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E1AF4C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0</w:t>
                  </w:r>
                </w:p>
              </w:tc>
            </w:tr>
            <w:tr w14:paraId="5D256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4471025E">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16</w:t>
                  </w:r>
                </w:p>
              </w:tc>
              <w:tc>
                <w:tcPr>
                  <w:tcW w:w="1508" w:type="dxa"/>
                  <w:tcBorders>
                    <w:tl2br w:val="nil"/>
                    <w:tr2bl w:val="nil"/>
                  </w:tcBorders>
                  <w:shd w:val="clear" w:color="auto" w:fill="auto"/>
                  <w:noWrap w:val="0"/>
                  <w:vAlign w:val="center"/>
                </w:tcPr>
                <w:p w14:paraId="5E49C60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上翻式压面机</w:t>
                  </w:r>
                </w:p>
              </w:tc>
              <w:tc>
                <w:tcPr>
                  <w:tcW w:w="777" w:type="dxa"/>
                  <w:tcBorders>
                    <w:tl2br w:val="nil"/>
                    <w:tr2bl w:val="nil"/>
                  </w:tcBorders>
                  <w:noWrap w:val="0"/>
                  <w:vAlign w:val="center"/>
                </w:tcPr>
                <w:p w14:paraId="4DAF9401">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7AE369E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78C63FC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7AC9310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22089D3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0A28E2C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6C2B9E08">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w:t>
                  </w:r>
                </w:p>
              </w:tc>
            </w:tr>
            <w:tr w14:paraId="72C58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7A2AD262">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w:t>
                  </w:r>
                </w:p>
              </w:tc>
              <w:tc>
                <w:tcPr>
                  <w:tcW w:w="1508" w:type="dxa"/>
                  <w:tcBorders>
                    <w:tl2br w:val="nil"/>
                    <w:tr2bl w:val="nil"/>
                  </w:tcBorders>
                  <w:shd w:val="clear" w:color="auto" w:fill="auto"/>
                  <w:noWrap w:val="0"/>
                  <w:vAlign w:val="center"/>
                </w:tcPr>
                <w:p w14:paraId="7E16A62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水饺机</w:t>
                  </w:r>
                </w:p>
              </w:tc>
              <w:tc>
                <w:tcPr>
                  <w:tcW w:w="777" w:type="dxa"/>
                  <w:tcBorders>
                    <w:tl2br w:val="nil"/>
                    <w:tr2bl w:val="nil"/>
                  </w:tcBorders>
                  <w:noWrap w:val="0"/>
                  <w:vAlign w:val="center"/>
                </w:tcPr>
                <w:p w14:paraId="3A1DF432">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4457B92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478C524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3DC91C4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417CF0F1">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73B18D7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BCA51F0">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w:t>
                  </w:r>
                </w:p>
              </w:tc>
            </w:tr>
            <w:tr w14:paraId="4F3D8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15FEA993">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18</w:t>
                  </w:r>
                </w:p>
              </w:tc>
              <w:tc>
                <w:tcPr>
                  <w:tcW w:w="1508" w:type="dxa"/>
                  <w:tcBorders>
                    <w:tl2br w:val="nil"/>
                    <w:tr2bl w:val="nil"/>
                  </w:tcBorders>
                  <w:shd w:val="clear" w:color="auto" w:fill="auto"/>
                  <w:noWrap w:val="0"/>
                  <w:vAlign w:val="center"/>
                </w:tcPr>
                <w:p w14:paraId="178C9CB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馄饨机</w:t>
                  </w:r>
                </w:p>
              </w:tc>
              <w:tc>
                <w:tcPr>
                  <w:tcW w:w="777" w:type="dxa"/>
                  <w:tcBorders>
                    <w:tl2br w:val="nil"/>
                    <w:tr2bl w:val="nil"/>
                  </w:tcBorders>
                  <w:noWrap w:val="0"/>
                  <w:vAlign w:val="center"/>
                </w:tcPr>
                <w:p w14:paraId="60C8D9B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0746651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2CD87CF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6A38CDA4">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335CEFC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096C0E9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69880BC4">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3A9D9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7F004CFD">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w:t>
                  </w:r>
                </w:p>
              </w:tc>
              <w:tc>
                <w:tcPr>
                  <w:tcW w:w="1508" w:type="dxa"/>
                  <w:tcBorders>
                    <w:tl2br w:val="nil"/>
                    <w:tr2bl w:val="nil"/>
                  </w:tcBorders>
                  <w:shd w:val="clear" w:color="auto" w:fill="auto"/>
                  <w:noWrap w:val="0"/>
                  <w:vAlign w:val="center"/>
                </w:tcPr>
                <w:p w14:paraId="2C8826E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切皮注馅机</w:t>
                  </w:r>
                </w:p>
              </w:tc>
              <w:tc>
                <w:tcPr>
                  <w:tcW w:w="777" w:type="dxa"/>
                  <w:tcBorders>
                    <w:tl2br w:val="nil"/>
                    <w:tr2bl w:val="nil"/>
                  </w:tcBorders>
                  <w:noWrap w:val="0"/>
                  <w:vAlign w:val="center"/>
                </w:tcPr>
                <w:p w14:paraId="05E57452">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5828540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26A54C0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72945114">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241F2084">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3E96898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3AF34AC7">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223A9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7C8B14CF">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1508" w:type="dxa"/>
                  <w:tcBorders>
                    <w:tl2br w:val="nil"/>
                    <w:tr2bl w:val="nil"/>
                  </w:tcBorders>
                  <w:shd w:val="clear" w:color="auto" w:fill="auto"/>
                  <w:noWrap w:val="0"/>
                  <w:vAlign w:val="center"/>
                </w:tcPr>
                <w:p w14:paraId="7B4C2B4F">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14:textFill>
                        <w14:solidFill>
                          <w14:schemeClr w14:val="tx1"/>
                        </w14:solidFill>
                      </w14:textFill>
                    </w:rPr>
                    <w:t>自动称重包装机</w:t>
                  </w:r>
                </w:p>
              </w:tc>
              <w:tc>
                <w:tcPr>
                  <w:tcW w:w="777" w:type="dxa"/>
                  <w:tcBorders>
                    <w:tl2br w:val="nil"/>
                    <w:tr2bl w:val="nil"/>
                  </w:tcBorders>
                  <w:noWrap w:val="0"/>
                  <w:vAlign w:val="center"/>
                </w:tcPr>
                <w:p w14:paraId="47DC8B72">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5C65CB3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58F9512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7F6BF04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38C8867C">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FBE9AC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39F48E7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5</w:t>
                  </w:r>
                </w:p>
              </w:tc>
            </w:tr>
            <w:tr w14:paraId="43D2B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04BDD44D">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21</w:t>
                  </w:r>
                </w:p>
              </w:tc>
              <w:tc>
                <w:tcPr>
                  <w:tcW w:w="1508" w:type="dxa"/>
                  <w:tcBorders>
                    <w:tl2br w:val="nil"/>
                    <w:tr2bl w:val="nil"/>
                  </w:tcBorders>
                  <w:shd w:val="clear" w:color="auto" w:fill="auto"/>
                  <w:noWrap w:val="0"/>
                  <w:vAlign w:val="center"/>
                </w:tcPr>
                <w:p w14:paraId="563A761B">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14:textFill>
                        <w14:solidFill>
                          <w14:schemeClr w14:val="tx1"/>
                        </w14:solidFill>
                      </w14:textFill>
                    </w:rPr>
                    <w:t>枕式包装机</w:t>
                  </w:r>
                </w:p>
              </w:tc>
              <w:tc>
                <w:tcPr>
                  <w:tcW w:w="777" w:type="dxa"/>
                  <w:tcBorders>
                    <w:tl2br w:val="nil"/>
                    <w:tr2bl w:val="nil"/>
                  </w:tcBorders>
                  <w:noWrap w:val="0"/>
                  <w:vAlign w:val="center"/>
                </w:tcPr>
                <w:p w14:paraId="6F7D88FE">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1511FBB7">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4FF5D3F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p>
              </w:tc>
              <w:tc>
                <w:tcPr>
                  <w:tcW w:w="1057" w:type="dxa"/>
                  <w:vMerge w:val="continue"/>
                  <w:tcBorders>
                    <w:tl2br w:val="nil"/>
                    <w:tr2bl w:val="nil"/>
                  </w:tcBorders>
                  <w:noWrap w:val="0"/>
                  <w:vAlign w:val="center"/>
                </w:tcPr>
                <w:p w14:paraId="79F3FC0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63F22CCA">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2151D5B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7257CAB8">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w:t>
                  </w:r>
                </w:p>
              </w:tc>
            </w:tr>
            <w:tr w14:paraId="38998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77377FCF">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22</w:t>
                  </w:r>
                </w:p>
              </w:tc>
              <w:tc>
                <w:tcPr>
                  <w:tcW w:w="1508" w:type="dxa"/>
                  <w:tcBorders>
                    <w:tl2br w:val="nil"/>
                    <w:tr2bl w:val="nil"/>
                  </w:tcBorders>
                  <w:shd w:val="clear" w:color="auto" w:fill="auto"/>
                  <w:noWrap w:val="0"/>
                  <w:vAlign w:val="center"/>
                </w:tcPr>
                <w:p w14:paraId="308C233A">
                  <w:pPr>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vertAlign w:val="baseline"/>
                      <w14:textFill>
                        <w14:solidFill>
                          <w14:schemeClr w14:val="tx1"/>
                        </w14:solidFill>
                      </w14:textFill>
                    </w:rPr>
                    <w:t>空气压缩机</w:t>
                  </w:r>
                </w:p>
              </w:tc>
              <w:tc>
                <w:tcPr>
                  <w:tcW w:w="777" w:type="dxa"/>
                  <w:tcBorders>
                    <w:tl2br w:val="nil"/>
                    <w:tr2bl w:val="nil"/>
                  </w:tcBorders>
                  <w:noWrap w:val="0"/>
                  <w:vAlign w:val="center"/>
                </w:tcPr>
                <w:p w14:paraId="45ED3C9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33F37A1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08D62C6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85</w:t>
                  </w:r>
                </w:p>
              </w:tc>
              <w:tc>
                <w:tcPr>
                  <w:tcW w:w="1057" w:type="dxa"/>
                  <w:vMerge w:val="continue"/>
                  <w:tcBorders>
                    <w:tl2br w:val="nil"/>
                    <w:tr2bl w:val="nil"/>
                  </w:tcBorders>
                  <w:noWrap w:val="0"/>
                  <w:vAlign w:val="center"/>
                </w:tcPr>
                <w:p w14:paraId="236FFA5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4A5443FD">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9B9D98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6524391">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p>
              </w:tc>
            </w:tr>
            <w:tr w14:paraId="592AB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474DDB4D">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w:t>
                  </w:r>
                </w:p>
              </w:tc>
              <w:tc>
                <w:tcPr>
                  <w:tcW w:w="1508" w:type="dxa"/>
                  <w:tcBorders>
                    <w:tl2br w:val="nil"/>
                    <w:tr2bl w:val="nil"/>
                  </w:tcBorders>
                  <w:shd w:val="clear" w:color="auto" w:fill="auto"/>
                  <w:noWrap w:val="0"/>
                  <w:vAlign w:val="center"/>
                </w:tcPr>
                <w:p w14:paraId="656FF8B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冷藏运输车4.2</w:t>
                  </w:r>
                </w:p>
              </w:tc>
              <w:tc>
                <w:tcPr>
                  <w:tcW w:w="777" w:type="dxa"/>
                  <w:tcBorders>
                    <w:tl2br w:val="nil"/>
                    <w:tr2bl w:val="nil"/>
                  </w:tcBorders>
                  <w:noWrap w:val="0"/>
                  <w:vAlign w:val="center"/>
                </w:tcPr>
                <w:p w14:paraId="203E83AF">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54B02B6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5042273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1057" w:type="dxa"/>
                  <w:vMerge w:val="continue"/>
                  <w:tcBorders>
                    <w:tl2br w:val="nil"/>
                    <w:tr2bl w:val="nil"/>
                  </w:tcBorders>
                  <w:noWrap w:val="0"/>
                  <w:vAlign w:val="center"/>
                </w:tcPr>
                <w:p w14:paraId="1772FB3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2A8B9269">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488C2A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B90466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w:t>
                  </w:r>
                </w:p>
              </w:tc>
            </w:tr>
            <w:tr w14:paraId="6C348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6F0410CD">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w:t>
                  </w:r>
                </w:p>
              </w:tc>
              <w:tc>
                <w:tcPr>
                  <w:tcW w:w="1508" w:type="dxa"/>
                  <w:tcBorders>
                    <w:tl2br w:val="nil"/>
                    <w:tr2bl w:val="nil"/>
                  </w:tcBorders>
                  <w:shd w:val="clear" w:color="auto" w:fill="auto"/>
                  <w:noWrap w:val="0"/>
                  <w:vAlign w:val="center"/>
                </w:tcPr>
                <w:p w14:paraId="3E45F4B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冷藏运输车9.6</w:t>
                  </w:r>
                </w:p>
              </w:tc>
              <w:tc>
                <w:tcPr>
                  <w:tcW w:w="777" w:type="dxa"/>
                  <w:tcBorders>
                    <w:tl2br w:val="nil"/>
                    <w:tr2bl w:val="nil"/>
                  </w:tcBorders>
                  <w:noWrap w:val="0"/>
                  <w:vAlign w:val="center"/>
                </w:tcPr>
                <w:p w14:paraId="15DD7BC5">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384FC28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18CB7A2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1057" w:type="dxa"/>
                  <w:vMerge w:val="continue"/>
                  <w:tcBorders>
                    <w:tl2br w:val="nil"/>
                    <w:tr2bl w:val="nil"/>
                  </w:tcBorders>
                  <w:noWrap w:val="0"/>
                  <w:vAlign w:val="center"/>
                </w:tcPr>
                <w:p w14:paraId="0C5D6BF7">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61456AEE">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0AD31F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3724BCC3">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w:t>
                  </w:r>
                </w:p>
              </w:tc>
            </w:tr>
            <w:tr w14:paraId="5C76D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4018C547">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1508" w:type="dxa"/>
                  <w:tcBorders>
                    <w:tl2br w:val="nil"/>
                    <w:tr2bl w:val="nil"/>
                  </w:tcBorders>
                  <w:noWrap w:val="0"/>
                  <w:vAlign w:val="center"/>
                </w:tcPr>
                <w:p w14:paraId="6FCE507B">
                  <w:pPr>
                    <w:pStyle w:val="43"/>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臭氧发生器</w:t>
                  </w:r>
                </w:p>
              </w:tc>
              <w:tc>
                <w:tcPr>
                  <w:tcW w:w="777" w:type="dxa"/>
                  <w:tcBorders>
                    <w:tl2br w:val="nil"/>
                    <w:tr2bl w:val="nil"/>
                  </w:tcBorders>
                  <w:noWrap w:val="0"/>
                  <w:vAlign w:val="center"/>
                </w:tcPr>
                <w:p w14:paraId="302380F8">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647E113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7808753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1057" w:type="dxa"/>
                  <w:vMerge w:val="continue"/>
                  <w:tcBorders>
                    <w:tl2br w:val="nil"/>
                    <w:tr2bl w:val="nil"/>
                  </w:tcBorders>
                  <w:noWrap w:val="0"/>
                  <w:vAlign w:val="center"/>
                </w:tcPr>
                <w:p w14:paraId="76C08B3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5422A450">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3CC28E73">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42D7A658">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w:t>
                  </w:r>
                </w:p>
              </w:tc>
            </w:tr>
            <w:tr w14:paraId="6D7C9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662FF183">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w:t>
                  </w:r>
                </w:p>
              </w:tc>
              <w:tc>
                <w:tcPr>
                  <w:tcW w:w="1508" w:type="dxa"/>
                  <w:tcBorders>
                    <w:tl2br w:val="nil"/>
                    <w:tr2bl w:val="nil"/>
                  </w:tcBorders>
                  <w:noWrap w:val="0"/>
                  <w:vAlign w:val="center"/>
                </w:tcPr>
                <w:p w14:paraId="071F65DF">
                  <w:pPr>
                    <w:pStyle w:val="43"/>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风机</w:t>
                  </w:r>
                </w:p>
              </w:tc>
              <w:tc>
                <w:tcPr>
                  <w:tcW w:w="777" w:type="dxa"/>
                  <w:tcBorders>
                    <w:tl2br w:val="nil"/>
                    <w:tr2bl w:val="nil"/>
                  </w:tcBorders>
                  <w:noWrap w:val="0"/>
                  <w:vAlign w:val="center"/>
                </w:tcPr>
                <w:p w14:paraId="4FED6C46">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频发</w:t>
                  </w:r>
                </w:p>
              </w:tc>
              <w:tc>
                <w:tcPr>
                  <w:tcW w:w="525" w:type="dxa"/>
                  <w:vMerge w:val="continue"/>
                  <w:tcBorders>
                    <w:tl2br w:val="nil"/>
                    <w:tr2bl w:val="nil"/>
                  </w:tcBorders>
                  <w:noWrap w:val="0"/>
                  <w:vAlign w:val="center"/>
                </w:tcPr>
                <w:p w14:paraId="77032C9D">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9" w:type="dxa"/>
                  <w:tcBorders>
                    <w:tl2br w:val="nil"/>
                    <w:tr2bl w:val="nil"/>
                  </w:tcBorders>
                  <w:noWrap w:val="0"/>
                  <w:vAlign w:val="center"/>
                </w:tcPr>
                <w:p w14:paraId="2E3E447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85</w:t>
                  </w:r>
                </w:p>
              </w:tc>
              <w:tc>
                <w:tcPr>
                  <w:tcW w:w="1057" w:type="dxa"/>
                  <w:vMerge w:val="continue"/>
                  <w:tcBorders>
                    <w:tl2br w:val="nil"/>
                    <w:tr2bl w:val="nil"/>
                  </w:tcBorders>
                  <w:noWrap w:val="0"/>
                  <w:vAlign w:val="center"/>
                </w:tcPr>
                <w:p w14:paraId="0C572D3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9" w:type="dxa"/>
                  <w:tcBorders>
                    <w:tl2br w:val="nil"/>
                    <w:tr2bl w:val="nil"/>
                  </w:tcBorders>
                  <w:noWrap w:val="0"/>
                  <w:vAlign w:val="center"/>
                </w:tcPr>
                <w:p w14:paraId="011DD13F">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w:t>
                  </w:r>
                </w:p>
              </w:tc>
              <w:tc>
                <w:tcPr>
                  <w:tcW w:w="624" w:type="dxa"/>
                  <w:vMerge w:val="continue"/>
                  <w:tcBorders>
                    <w:tl2br w:val="nil"/>
                    <w:tr2bl w:val="nil"/>
                  </w:tcBorders>
                  <w:noWrap w:val="0"/>
                  <w:vAlign w:val="center"/>
                </w:tcPr>
                <w:p w14:paraId="6570B8B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dxa"/>
                  <w:tcBorders>
                    <w:tl2br w:val="nil"/>
                    <w:tr2bl w:val="nil"/>
                  </w:tcBorders>
                  <w:noWrap w:val="0"/>
                  <w:vAlign w:val="center"/>
                </w:tcPr>
                <w:p w14:paraId="12835212">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p>
              </w:tc>
            </w:tr>
            <w:tr w14:paraId="77006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4" w:type="dxa"/>
                  <w:tcBorders>
                    <w:tl2br w:val="nil"/>
                    <w:tr2bl w:val="nil"/>
                  </w:tcBorders>
                  <w:noWrap w:val="0"/>
                  <w:vAlign w:val="center"/>
                </w:tcPr>
                <w:p w14:paraId="21586A8C">
                  <w:pPr>
                    <w:pStyle w:val="43"/>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27</w:t>
                  </w:r>
                </w:p>
              </w:tc>
              <w:tc>
                <w:tcPr>
                  <w:tcW w:w="1508" w:type="dxa"/>
                  <w:tcBorders>
                    <w:tl2br w:val="nil"/>
                    <w:tr2bl w:val="nil"/>
                  </w:tcBorders>
                  <w:noWrap w:val="0"/>
                  <w:vAlign w:val="center"/>
                </w:tcPr>
                <w:p w14:paraId="06B182ED">
                  <w:pPr>
                    <w:pStyle w:val="43"/>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污水处理站</w:t>
                  </w:r>
                </w:p>
              </w:tc>
              <w:tc>
                <w:tcPr>
                  <w:tcW w:w="777" w:type="dxa"/>
                  <w:tcBorders>
                    <w:tl2br w:val="nil"/>
                    <w:tr2bl w:val="nil"/>
                  </w:tcBorders>
                  <w:noWrap w:val="0"/>
                  <w:vAlign w:val="center"/>
                </w:tcPr>
                <w:p w14:paraId="491D7C97">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频发</w:t>
                  </w:r>
                </w:p>
              </w:tc>
              <w:tc>
                <w:tcPr>
                  <w:tcW w:w="525" w:type="dxa"/>
                  <w:vMerge w:val="continue"/>
                  <w:tcBorders>
                    <w:tl2br w:val="nil"/>
                    <w:tr2bl w:val="nil"/>
                  </w:tcBorders>
                  <w:noWrap w:val="0"/>
                  <w:vAlign w:val="center"/>
                </w:tcPr>
                <w:p w14:paraId="2EB1DB6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FF0000"/>
                      <w:sz w:val="21"/>
                      <w:szCs w:val="21"/>
                    </w:rPr>
                  </w:pPr>
                </w:p>
              </w:tc>
              <w:tc>
                <w:tcPr>
                  <w:tcW w:w="1019" w:type="dxa"/>
                  <w:tcBorders>
                    <w:tl2br w:val="nil"/>
                    <w:tr2bl w:val="nil"/>
                  </w:tcBorders>
                  <w:noWrap w:val="0"/>
                  <w:vAlign w:val="center"/>
                </w:tcPr>
                <w:p w14:paraId="1949C1FA">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85</w:t>
                  </w:r>
                </w:p>
              </w:tc>
              <w:tc>
                <w:tcPr>
                  <w:tcW w:w="1057" w:type="dxa"/>
                  <w:vMerge w:val="continue"/>
                  <w:tcBorders>
                    <w:tl2br w:val="nil"/>
                    <w:tr2bl w:val="nil"/>
                  </w:tcBorders>
                  <w:noWrap w:val="0"/>
                  <w:vAlign w:val="center"/>
                </w:tcPr>
                <w:p w14:paraId="43B410D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FF0000"/>
                      <w:sz w:val="21"/>
                      <w:szCs w:val="21"/>
                    </w:rPr>
                  </w:pPr>
                </w:p>
              </w:tc>
              <w:tc>
                <w:tcPr>
                  <w:tcW w:w="889" w:type="dxa"/>
                  <w:tcBorders>
                    <w:tl2br w:val="nil"/>
                    <w:tr2bl w:val="nil"/>
                  </w:tcBorders>
                  <w:noWrap w:val="0"/>
                  <w:vAlign w:val="center"/>
                </w:tcPr>
                <w:p w14:paraId="136B026B">
                  <w:pPr>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25</w:t>
                  </w:r>
                </w:p>
              </w:tc>
              <w:tc>
                <w:tcPr>
                  <w:tcW w:w="624" w:type="dxa"/>
                  <w:vMerge w:val="continue"/>
                  <w:tcBorders>
                    <w:tl2br w:val="nil"/>
                    <w:tr2bl w:val="nil"/>
                  </w:tcBorders>
                  <w:noWrap w:val="0"/>
                  <w:vAlign w:val="center"/>
                </w:tcPr>
                <w:p w14:paraId="4BCFF2B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color w:val="FF0000"/>
                      <w:sz w:val="21"/>
                      <w:szCs w:val="21"/>
                    </w:rPr>
                  </w:pPr>
                </w:p>
              </w:tc>
              <w:tc>
                <w:tcPr>
                  <w:tcW w:w="1356" w:type="dxa"/>
                  <w:tcBorders>
                    <w:tl2br w:val="nil"/>
                    <w:tr2bl w:val="nil"/>
                  </w:tcBorders>
                  <w:noWrap w:val="0"/>
                  <w:vAlign w:val="center"/>
                </w:tcPr>
                <w:p w14:paraId="1C7F82FC">
                  <w:pPr>
                    <w:pStyle w:val="42"/>
                    <w:keepNext w:val="0"/>
                    <w:keepLines w:val="0"/>
                    <w:pageBreakBefore w:val="0"/>
                    <w:kinsoku/>
                    <w:wordWrap/>
                    <w:overflowPunct/>
                    <w:topLinePunct w:val="0"/>
                    <w:bidi w:val="0"/>
                    <w:adjustRightInd w:val="0"/>
                    <w:snapToGrid w:val="0"/>
                    <w:spacing w:beforeLines="0" w:afterLines="0"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60</w:t>
                  </w:r>
                </w:p>
              </w:tc>
            </w:tr>
          </w:tbl>
          <w:p w14:paraId="03429FB5">
            <w:pPr>
              <w:pStyle w:val="7"/>
              <w:spacing w:beforeLines="0" w:afterLines="0" w:line="360" w:lineRule="auto"/>
              <w:ind w:firstLine="482" w:firstLineChars="200"/>
              <w:rPr>
                <w:rFonts w:hint="default" w:ascii="Times New Roman" w:hAnsi="Times New Roman" w:eastAsia="宋体" w:cs="Times New Roman"/>
                <w:b/>
                <w:color w:val="FF0000"/>
                <w:sz w:val="24"/>
                <w:szCs w:val="24"/>
                <w:lang w:val="en-US" w:eastAsia="zh-CN"/>
              </w:rPr>
            </w:pPr>
            <w:r>
              <w:rPr>
                <w:rFonts w:hint="default" w:ascii="Times New Roman" w:hAnsi="Times New Roman" w:eastAsia="宋体" w:cs="Times New Roman"/>
                <w:b/>
                <w:color w:val="FF0000"/>
                <w:sz w:val="24"/>
                <w:szCs w:val="24"/>
                <w:lang w:val="en-US" w:eastAsia="zh-CN"/>
              </w:rPr>
              <w:t>2、预测分析</w:t>
            </w:r>
          </w:p>
          <w:p w14:paraId="7F98695A">
            <w:pPr>
              <w:pStyle w:val="7"/>
              <w:spacing w:beforeLines="0" w:afterLines="0" w:line="360" w:lineRule="auto"/>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根据《环境影响评价技术导则声环境》（HJ2.4-2021）的要求，并结合建设项目声源的噪声排放特点，选择点声源预测模式，预测本项目运营期设备噪声贡献值对厂界的影响。</w:t>
            </w:r>
          </w:p>
          <w:p w14:paraId="7317CED7">
            <w:pPr>
              <w:pStyle w:val="8"/>
              <w:spacing w:beforeLines="0" w:afterLines="0"/>
              <w:rPr>
                <w:rFonts w:hint="default" w:ascii="Times New Roman" w:hAnsi="Times New Roman" w:eastAsia="宋体" w:cs="Times New Roman"/>
                <w:b/>
                <w:color w:val="FF0000"/>
                <w:sz w:val="24"/>
                <w:szCs w:val="24"/>
              </w:rPr>
            </w:pPr>
            <w:r>
              <w:rPr>
                <w:rFonts w:hint="default" w:ascii="Times New Roman" w:hAnsi="Times New Roman" w:eastAsia="宋体" w:cs="Times New Roman"/>
                <w:b/>
                <w:color w:val="FF0000"/>
                <w:sz w:val="24"/>
                <w:szCs w:val="24"/>
              </w:rPr>
              <w:t>表4-1</w:t>
            </w:r>
            <w:r>
              <w:rPr>
                <w:rFonts w:hint="default" w:ascii="Times New Roman" w:hAnsi="Times New Roman" w:eastAsia="宋体" w:cs="Times New Roman"/>
                <w:b/>
                <w:color w:val="FF0000"/>
                <w:sz w:val="24"/>
                <w:szCs w:val="24"/>
                <w:lang w:val="en-US" w:eastAsia="zh-CN"/>
              </w:rPr>
              <w:t>3</w:t>
            </w:r>
            <w:r>
              <w:rPr>
                <w:rFonts w:hint="default" w:ascii="Times New Roman" w:hAnsi="Times New Roman" w:eastAsia="宋体" w:cs="Times New Roman"/>
                <w:b/>
                <w:color w:val="FF0000"/>
                <w:sz w:val="24"/>
                <w:szCs w:val="24"/>
              </w:rPr>
              <w:t>运营期间厂界噪声</w:t>
            </w:r>
            <w:r>
              <w:rPr>
                <w:rFonts w:hint="default" w:ascii="Times New Roman" w:hAnsi="Times New Roman" w:eastAsia="宋体" w:cs="Times New Roman"/>
                <w:b/>
                <w:color w:val="FF0000"/>
                <w:sz w:val="24"/>
                <w:szCs w:val="24"/>
                <w:lang w:val="en-US" w:eastAsia="zh-CN"/>
              </w:rPr>
              <w:t>贡献值</w:t>
            </w:r>
            <w:r>
              <w:rPr>
                <w:rFonts w:hint="default" w:ascii="Times New Roman" w:hAnsi="Times New Roman" w:eastAsia="宋体" w:cs="Times New Roman"/>
                <w:b/>
                <w:color w:val="FF0000"/>
                <w:sz w:val="24"/>
                <w:szCs w:val="24"/>
              </w:rPr>
              <w:t>预测结果单位：dB（A）</w:t>
            </w:r>
          </w:p>
          <w:tbl>
            <w:tblPr>
              <w:tblStyle w:val="13"/>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854"/>
              <w:gridCol w:w="1457"/>
              <w:gridCol w:w="1366"/>
              <w:gridCol w:w="3581"/>
            </w:tblGrid>
            <w:tr w14:paraId="3C5907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122" w:type="pct"/>
                  <w:vMerge w:val="restart"/>
                  <w:tcBorders>
                    <w:tl2br w:val="nil"/>
                    <w:tr2bl w:val="nil"/>
                  </w:tcBorders>
                  <w:noWrap w:val="0"/>
                  <w:vAlign w:val="center"/>
                </w:tcPr>
                <w:p w14:paraId="32ABB42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预测点</w:t>
                  </w:r>
                </w:p>
              </w:tc>
              <w:tc>
                <w:tcPr>
                  <w:tcW w:w="1709" w:type="pct"/>
                  <w:gridSpan w:val="2"/>
                  <w:tcBorders>
                    <w:tl2br w:val="nil"/>
                    <w:tr2bl w:val="nil"/>
                  </w:tcBorders>
                  <w:noWrap w:val="0"/>
                  <w:vAlign w:val="center"/>
                </w:tcPr>
                <w:p w14:paraId="053A465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贡献值</w:t>
                  </w:r>
                </w:p>
              </w:tc>
              <w:tc>
                <w:tcPr>
                  <w:tcW w:w="2167" w:type="pct"/>
                  <w:vMerge w:val="restart"/>
                  <w:tcBorders>
                    <w:tl2br w:val="nil"/>
                    <w:tr2bl w:val="nil"/>
                  </w:tcBorders>
                  <w:noWrap w:val="0"/>
                  <w:vAlign w:val="center"/>
                </w:tcPr>
                <w:p w14:paraId="3A99154E">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评价结果</w:t>
                  </w:r>
                </w:p>
              </w:tc>
            </w:tr>
            <w:tr w14:paraId="657EAC0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2" w:type="pct"/>
                  <w:vMerge w:val="continue"/>
                  <w:tcBorders>
                    <w:tl2br w:val="nil"/>
                    <w:tr2bl w:val="nil"/>
                  </w:tcBorders>
                  <w:noWrap w:val="0"/>
                  <w:vAlign w:val="center"/>
                </w:tcPr>
                <w:p w14:paraId="341362C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p>
              </w:tc>
              <w:tc>
                <w:tcPr>
                  <w:tcW w:w="882" w:type="pct"/>
                  <w:tcBorders>
                    <w:tl2br w:val="nil"/>
                    <w:tr2bl w:val="nil"/>
                  </w:tcBorders>
                  <w:noWrap w:val="0"/>
                  <w:vAlign w:val="center"/>
                </w:tcPr>
                <w:p w14:paraId="034917A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昼间</w:t>
                  </w:r>
                </w:p>
              </w:tc>
              <w:tc>
                <w:tcPr>
                  <w:tcW w:w="827" w:type="pct"/>
                  <w:tcBorders>
                    <w:tl2br w:val="nil"/>
                    <w:tr2bl w:val="nil"/>
                  </w:tcBorders>
                  <w:noWrap w:val="0"/>
                  <w:vAlign w:val="center"/>
                </w:tcPr>
                <w:p w14:paraId="374EC2C9">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夜间</w:t>
                  </w:r>
                </w:p>
              </w:tc>
              <w:tc>
                <w:tcPr>
                  <w:tcW w:w="2167" w:type="pct"/>
                  <w:vMerge w:val="continue"/>
                  <w:tcBorders>
                    <w:tl2br w:val="nil"/>
                    <w:tr2bl w:val="nil"/>
                  </w:tcBorders>
                  <w:noWrap w:val="0"/>
                  <w:vAlign w:val="center"/>
                </w:tcPr>
                <w:p w14:paraId="28BC5CA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p>
              </w:tc>
            </w:tr>
            <w:tr w14:paraId="65886FD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2" w:type="pct"/>
                  <w:tcBorders>
                    <w:tl2br w:val="nil"/>
                    <w:tr2bl w:val="nil"/>
                  </w:tcBorders>
                  <w:noWrap w:val="0"/>
                  <w:vAlign w:val="center"/>
                </w:tcPr>
                <w:p w14:paraId="7EB88FD6">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厂界北侧</w:t>
                  </w:r>
                </w:p>
              </w:tc>
              <w:tc>
                <w:tcPr>
                  <w:tcW w:w="882" w:type="pct"/>
                  <w:tcBorders>
                    <w:tl2br w:val="nil"/>
                    <w:tr2bl w:val="nil"/>
                  </w:tcBorders>
                  <w:noWrap w:val="0"/>
                  <w:vAlign w:val="center"/>
                </w:tcPr>
                <w:p w14:paraId="103AC2D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39.04</w:t>
                  </w:r>
                </w:p>
              </w:tc>
              <w:tc>
                <w:tcPr>
                  <w:tcW w:w="827" w:type="pct"/>
                  <w:tcBorders>
                    <w:tl2br w:val="nil"/>
                    <w:tr2bl w:val="nil"/>
                  </w:tcBorders>
                  <w:noWrap w:val="0"/>
                  <w:vAlign w:val="center"/>
                </w:tcPr>
                <w:p w14:paraId="13B45F4B">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w:t>
                  </w:r>
                </w:p>
              </w:tc>
              <w:tc>
                <w:tcPr>
                  <w:tcW w:w="2167" w:type="pct"/>
                  <w:vMerge w:val="restart"/>
                  <w:tcBorders>
                    <w:tl2br w:val="nil"/>
                    <w:tr2bl w:val="nil"/>
                  </w:tcBorders>
                  <w:noWrap w:val="0"/>
                  <w:vAlign w:val="center"/>
                </w:tcPr>
                <w:p w14:paraId="4EC2AEC5">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val="0"/>
                      <w:bCs w:val="0"/>
                      <w:color w:val="FF0000"/>
                      <w:sz w:val="21"/>
                      <w:szCs w:val="21"/>
                      <w:lang w:val="en-US" w:eastAsia="zh-CN"/>
                    </w:rPr>
                    <w:t>西侧、北侧、南侧厂界噪声满足《工业企业厂界环境噪声排放标准》（GB12348-2008）中2类标准，东侧厂界噪声满足《工业企业厂界环境噪声排放标准》（GB12348-2008）中4类标准。标准限值</w:t>
                  </w:r>
                </w:p>
              </w:tc>
            </w:tr>
            <w:tr w14:paraId="28402C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2" w:type="pct"/>
                  <w:tcBorders>
                    <w:tl2br w:val="nil"/>
                    <w:tr2bl w:val="nil"/>
                  </w:tcBorders>
                  <w:noWrap w:val="0"/>
                  <w:vAlign w:val="center"/>
                </w:tcPr>
                <w:p w14:paraId="2BC1C0F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厂界西侧</w:t>
                  </w:r>
                </w:p>
              </w:tc>
              <w:tc>
                <w:tcPr>
                  <w:tcW w:w="882" w:type="pct"/>
                  <w:tcBorders>
                    <w:tl2br w:val="nil"/>
                    <w:tr2bl w:val="nil"/>
                  </w:tcBorders>
                  <w:noWrap w:val="0"/>
                  <w:vAlign w:val="center"/>
                </w:tcPr>
                <w:p w14:paraId="7BED8C50">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35.33</w:t>
                  </w:r>
                </w:p>
              </w:tc>
              <w:tc>
                <w:tcPr>
                  <w:tcW w:w="827" w:type="pct"/>
                  <w:tcBorders>
                    <w:tl2br w:val="nil"/>
                    <w:tr2bl w:val="nil"/>
                  </w:tcBorders>
                  <w:noWrap w:val="0"/>
                  <w:vAlign w:val="center"/>
                </w:tcPr>
                <w:p w14:paraId="2588E04C">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w:t>
                  </w:r>
                </w:p>
              </w:tc>
              <w:tc>
                <w:tcPr>
                  <w:tcW w:w="2167" w:type="pct"/>
                  <w:vMerge w:val="continue"/>
                  <w:tcBorders>
                    <w:tl2br w:val="nil"/>
                    <w:tr2bl w:val="nil"/>
                  </w:tcBorders>
                  <w:noWrap w:val="0"/>
                  <w:vAlign w:val="center"/>
                </w:tcPr>
                <w:p w14:paraId="3B75BEF6">
                  <w:pPr>
                    <w:widowControl/>
                    <w:spacing w:beforeLines="0" w:afterLines="0" w:line="360" w:lineRule="auto"/>
                    <w:jc w:val="left"/>
                    <w:rPr>
                      <w:rFonts w:hint="default" w:ascii="Times New Roman" w:hAnsi="Times New Roman" w:eastAsia="宋体" w:cs="Times New Roman"/>
                      <w:b/>
                      <w:bCs/>
                      <w:color w:val="FF0000"/>
                      <w:kern w:val="0"/>
                      <w:sz w:val="24"/>
                      <w:szCs w:val="24"/>
                      <w:lang w:bidi="ar"/>
                    </w:rPr>
                  </w:pPr>
                </w:p>
              </w:tc>
            </w:tr>
            <w:tr w14:paraId="22AE11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2" w:type="pct"/>
                  <w:tcBorders>
                    <w:tl2br w:val="nil"/>
                    <w:tr2bl w:val="nil"/>
                  </w:tcBorders>
                  <w:noWrap w:val="0"/>
                  <w:vAlign w:val="center"/>
                </w:tcPr>
                <w:p w14:paraId="21A5D74F">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厂界南侧</w:t>
                  </w:r>
                </w:p>
              </w:tc>
              <w:tc>
                <w:tcPr>
                  <w:tcW w:w="882" w:type="pct"/>
                  <w:tcBorders>
                    <w:tl2br w:val="nil"/>
                    <w:tr2bl w:val="nil"/>
                  </w:tcBorders>
                  <w:noWrap w:val="0"/>
                  <w:vAlign w:val="center"/>
                </w:tcPr>
                <w:p w14:paraId="090B1177">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38.74</w:t>
                  </w:r>
                </w:p>
              </w:tc>
              <w:tc>
                <w:tcPr>
                  <w:tcW w:w="827" w:type="pct"/>
                  <w:tcBorders>
                    <w:tl2br w:val="nil"/>
                    <w:tr2bl w:val="nil"/>
                  </w:tcBorders>
                  <w:noWrap w:val="0"/>
                  <w:vAlign w:val="center"/>
                </w:tcPr>
                <w:p w14:paraId="118A9B34">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w:t>
                  </w:r>
                </w:p>
              </w:tc>
              <w:tc>
                <w:tcPr>
                  <w:tcW w:w="2167" w:type="pct"/>
                  <w:vMerge w:val="continue"/>
                  <w:tcBorders>
                    <w:tl2br w:val="nil"/>
                    <w:tr2bl w:val="nil"/>
                  </w:tcBorders>
                  <w:noWrap w:val="0"/>
                  <w:vAlign w:val="center"/>
                </w:tcPr>
                <w:p w14:paraId="17CCCAF3">
                  <w:pPr>
                    <w:widowControl/>
                    <w:spacing w:beforeLines="0" w:afterLines="0" w:line="360" w:lineRule="auto"/>
                    <w:jc w:val="left"/>
                    <w:rPr>
                      <w:rFonts w:hint="default" w:ascii="Times New Roman" w:hAnsi="Times New Roman" w:eastAsia="宋体" w:cs="Times New Roman"/>
                      <w:color w:val="FF0000"/>
                      <w:kern w:val="0"/>
                      <w:sz w:val="24"/>
                      <w:szCs w:val="24"/>
                      <w:lang w:bidi="ar"/>
                    </w:rPr>
                  </w:pPr>
                </w:p>
              </w:tc>
            </w:tr>
            <w:tr w14:paraId="7118AD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1122" w:type="pct"/>
                  <w:tcBorders>
                    <w:tl2br w:val="nil"/>
                    <w:tr2bl w:val="nil"/>
                  </w:tcBorders>
                  <w:noWrap w:val="0"/>
                  <w:vAlign w:val="center"/>
                </w:tcPr>
                <w:p w14:paraId="0A17BB88">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厂界东侧</w:t>
                  </w:r>
                </w:p>
              </w:tc>
              <w:tc>
                <w:tcPr>
                  <w:tcW w:w="882" w:type="pct"/>
                  <w:tcBorders>
                    <w:tl2br w:val="nil"/>
                    <w:tr2bl w:val="nil"/>
                  </w:tcBorders>
                  <w:noWrap w:val="0"/>
                  <w:vAlign w:val="center"/>
                </w:tcPr>
                <w:p w14:paraId="248A4262">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50.04</w:t>
                  </w:r>
                </w:p>
              </w:tc>
              <w:tc>
                <w:tcPr>
                  <w:tcW w:w="827" w:type="pct"/>
                  <w:tcBorders>
                    <w:tl2br w:val="nil"/>
                    <w:tr2bl w:val="nil"/>
                  </w:tcBorders>
                  <w:noWrap w:val="0"/>
                  <w:vAlign w:val="center"/>
                </w:tcPr>
                <w:p w14:paraId="36F9C2C1">
                  <w:pPr>
                    <w:pStyle w:val="42"/>
                    <w:keepNext w:val="0"/>
                    <w:keepLines w:val="0"/>
                    <w:pageBreakBefore w:val="0"/>
                    <w:kinsoku/>
                    <w:wordWrap/>
                    <w:overflowPunct/>
                    <w:topLinePunct w:val="0"/>
                    <w:bidi w:val="0"/>
                    <w:adjustRightInd w:val="0"/>
                    <w:snapToGrid w:val="0"/>
                    <w:spacing w:beforeLines="0" w:afterLines="0" w:line="240" w:lineRule="auto"/>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w:t>
                  </w:r>
                </w:p>
              </w:tc>
              <w:tc>
                <w:tcPr>
                  <w:tcW w:w="2167" w:type="pct"/>
                  <w:vMerge w:val="continue"/>
                  <w:tcBorders>
                    <w:tl2br w:val="nil"/>
                    <w:tr2bl w:val="nil"/>
                  </w:tcBorders>
                  <w:noWrap w:val="0"/>
                  <w:vAlign w:val="center"/>
                </w:tcPr>
                <w:p w14:paraId="6D25A65D">
                  <w:pPr>
                    <w:widowControl/>
                    <w:spacing w:beforeLines="0" w:afterLines="0" w:line="360" w:lineRule="auto"/>
                    <w:jc w:val="left"/>
                    <w:rPr>
                      <w:rFonts w:hint="default" w:ascii="Times New Roman" w:hAnsi="Times New Roman" w:eastAsia="宋体" w:cs="Times New Roman"/>
                      <w:color w:val="FF0000"/>
                      <w:kern w:val="0"/>
                      <w:sz w:val="24"/>
                      <w:szCs w:val="24"/>
                      <w:lang w:bidi="ar"/>
                    </w:rPr>
                  </w:pPr>
                </w:p>
              </w:tc>
            </w:tr>
          </w:tbl>
          <w:p w14:paraId="08AB9BA3">
            <w:pPr>
              <w:widowControl/>
              <w:spacing w:beforeLines="0" w:afterLines="0" w:line="360" w:lineRule="auto"/>
              <w:ind w:firstLine="480" w:firstLineChars="200"/>
              <w:jc w:val="left"/>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本项目拟采取的降噪措施主要有：</w:t>
            </w:r>
          </w:p>
          <w:p w14:paraId="248DF0A8">
            <w:pPr>
              <w:widowControl/>
              <w:spacing w:beforeLines="0" w:afterLines="0" w:line="360" w:lineRule="auto"/>
              <w:ind w:firstLine="480" w:firstLineChars="200"/>
              <w:jc w:val="left"/>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（1）在设备选型时优先选择低噪声的设备，做好设备的调试，同时加强营运期间对各种机械的维修保养，保持其良好的运行效果。</w:t>
            </w:r>
          </w:p>
          <w:p w14:paraId="50866780">
            <w:pPr>
              <w:widowControl/>
              <w:spacing w:beforeLines="0" w:afterLines="0" w:line="360" w:lineRule="auto"/>
              <w:ind w:firstLine="480" w:firstLineChars="200"/>
              <w:jc w:val="left"/>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（2）工程降噪措施：设备加强维护，保持设备正常运行。</w:t>
            </w:r>
          </w:p>
          <w:p w14:paraId="00B8C3F3">
            <w:pPr>
              <w:widowControl/>
              <w:spacing w:beforeLines="0" w:afterLines="0" w:line="360" w:lineRule="auto"/>
              <w:ind w:firstLine="480" w:firstLineChars="200"/>
              <w:jc w:val="left"/>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（3）合理布置噪声源：高噪声设备合理布局，最大程度利用距离衰减减小厂界噪声。</w:t>
            </w:r>
          </w:p>
          <w:p w14:paraId="053C4DD2">
            <w:pPr>
              <w:widowControl/>
              <w:spacing w:beforeLines="0" w:afterLines="0" w:line="360" w:lineRule="auto"/>
              <w:ind w:firstLine="480" w:firstLineChars="200"/>
              <w:jc w:val="left"/>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eastAsia="zh-CN" w:bidi="ar"/>
                <w14:textFill>
                  <w14:solidFill>
                    <w14:schemeClr w14:val="tx1"/>
                  </w14:solidFill>
                </w14:textFill>
              </w:rPr>
              <w:t>建筑</w:t>
            </w:r>
            <w:r>
              <w:rPr>
                <w:rFonts w:hint="default" w:ascii="Times New Roman" w:hAnsi="Times New Roman" w:eastAsia="宋体" w:cs="Times New Roman"/>
                <w:color w:val="000000" w:themeColor="text1"/>
                <w:kern w:val="0"/>
                <w:sz w:val="24"/>
                <w:szCs w:val="24"/>
                <w:lang w:bidi="ar"/>
                <w14:textFill>
                  <w14:solidFill>
                    <w14:schemeClr w14:val="tx1"/>
                  </w14:solidFill>
                </w14:textFill>
              </w:rPr>
              <w:t>隔声：利用墙体隔声处理，以减小厂界噪声。</w:t>
            </w:r>
          </w:p>
          <w:p w14:paraId="4585098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采取以上措施后，本项目运营期西侧、北侧、南侧厂界噪声满足《工业企业厂界环境噪声排放标准》（GB12348-2008）中2类标准，东侧厂界噪声满足《工业企业厂界环境噪声排放标准》（GB12348-2008）中4类标准。标准限值见下表所示。因此项目的噪声控制措施是可行的。</w:t>
            </w:r>
          </w:p>
          <w:p w14:paraId="49A1F903">
            <w:pPr>
              <w:snapToGrid w:val="0"/>
              <w:spacing w:beforeLines="0" w:afterLines="0" w:line="360" w:lineRule="auto"/>
              <w:ind w:firstLine="482" w:firstLineChars="20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3、监测要求</w:t>
            </w:r>
          </w:p>
          <w:p w14:paraId="40B6E860">
            <w:pPr>
              <w:snapToGrid w:val="0"/>
              <w:spacing w:beforeLines="0" w:afterLines="0" w:line="360" w:lineRule="auto"/>
              <w:ind w:firstLine="480"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根据《排污单位自行监测技术指南总则》(HJ819-2017)，结合工程与环境特点，确定项目运行期的环境监测内容，各个指标的监测均按国家标准监测方法进行，委托有资质单位监测。环境监测计划见下表。</w:t>
            </w:r>
          </w:p>
          <w:p w14:paraId="2F415257">
            <w:pPr>
              <w:pStyle w:val="4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表4-</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  噪声监测方案</w:t>
            </w:r>
          </w:p>
          <w:tbl>
            <w:tblPr>
              <w:tblStyle w:val="1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361"/>
              <w:gridCol w:w="2537"/>
              <w:gridCol w:w="2285"/>
              <w:gridCol w:w="2075"/>
            </w:tblGrid>
            <w:tr w14:paraId="27F3D9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824" w:type="pct"/>
                  <w:shd w:val="clear" w:color="auto" w:fill="FFFFFF"/>
                  <w:noWrap w:val="0"/>
                  <w:vAlign w:val="center"/>
                </w:tcPr>
                <w:p w14:paraId="7C1995D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监测项目</w:t>
                  </w:r>
                </w:p>
              </w:tc>
              <w:tc>
                <w:tcPr>
                  <w:tcW w:w="1536" w:type="pct"/>
                  <w:shd w:val="clear" w:color="auto" w:fill="FFFFFF"/>
                  <w:noWrap w:val="0"/>
                  <w:vAlign w:val="center"/>
                </w:tcPr>
                <w:p w14:paraId="3E3F618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监测位点</w:t>
                  </w:r>
                </w:p>
              </w:tc>
              <w:tc>
                <w:tcPr>
                  <w:tcW w:w="1383" w:type="pct"/>
                  <w:tcBorders>
                    <w:right w:val="single" w:color="auto" w:sz="4" w:space="0"/>
                  </w:tcBorders>
                  <w:shd w:val="clear" w:color="auto" w:fill="FFFFFF"/>
                  <w:noWrap w:val="0"/>
                  <w:vAlign w:val="center"/>
                </w:tcPr>
                <w:p w14:paraId="63B8A4F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监测项目</w:t>
                  </w:r>
                </w:p>
              </w:tc>
              <w:tc>
                <w:tcPr>
                  <w:tcW w:w="1256" w:type="pct"/>
                  <w:tcBorders>
                    <w:left w:val="single" w:color="auto" w:sz="4" w:space="0"/>
                  </w:tcBorders>
                  <w:shd w:val="clear" w:color="auto" w:fill="FFFFFF"/>
                  <w:noWrap w:val="0"/>
                  <w:vAlign w:val="center"/>
                </w:tcPr>
                <w:p w14:paraId="0946D29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监测频率和时间</w:t>
                  </w:r>
                </w:p>
              </w:tc>
            </w:tr>
            <w:tr w14:paraId="403FD9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824" w:type="pct"/>
                  <w:shd w:val="clear" w:color="auto" w:fill="FFFFFF"/>
                  <w:noWrap w:val="0"/>
                  <w:vAlign w:val="center"/>
                </w:tcPr>
                <w:p w14:paraId="5AEE89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厂界噪声</w:t>
                  </w:r>
                </w:p>
              </w:tc>
              <w:tc>
                <w:tcPr>
                  <w:tcW w:w="1536" w:type="pct"/>
                  <w:shd w:val="clear" w:color="auto" w:fill="FFFFFF"/>
                  <w:noWrap w:val="0"/>
                  <w:vAlign w:val="center"/>
                </w:tcPr>
                <w:p w14:paraId="133B06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厂界外四周1m处布设4个监测点</w:t>
                  </w:r>
                </w:p>
              </w:tc>
              <w:tc>
                <w:tcPr>
                  <w:tcW w:w="1383" w:type="pct"/>
                  <w:tcBorders>
                    <w:right w:val="single" w:color="auto" w:sz="4" w:space="0"/>
                  </w:tcBorders>
                  <w:shd w:val="clear" w:color="auto" w:fill="FFFFFF"/>
                  <w:noWrap w:val="0"/>
                  <w:vAlign w:val="center"/>
                </w:tcPr>
                <w:p w14:paraId="27BD88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连续等效A声级</w:t>
                  </w:r>
                </w:p>
              </w:tc>
              <w:tc>
                <w:tcPr>
                  <w:tcW w:w="1256" w:type="pct"/>
                  <w:tcBorders>
                    <w:left w:val="single" w:color="auto" w:sz="4" w:space="0"/>
                  </w:tcBorders>
                  <w:shd w:val="clear" w:color="auto" w:fill="FFFFFF"/>
                  <w:noWrap w:val="0"/>
                  <w:vAlign w:val="center"/>
                </w:tcPr>
                <w:p w14:paraId="1B3F5C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每季度监测1次</w:t>
                  </w:r>
                </w:p>
              </w:tc>
            </w:tr>
          </w:tbl>
          <w:p w14:paraId="3D1A76AE">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四、固体废物</w:t>
            </w:r>
          </w:p>
          <w:p w14:paraId="7E81358E">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1、污染源分析</w:t>
            </w:r>
          </w:p>
          <w:p w14:paraId="23F51AEB">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本项目运营期固体废物主要有职工生活垃圾、废弃原材料及废原料包装袋及污水处理站设施产生的污泥等固体废物。</w:t>
            </w:r>
          </w:p>
          <w:p w14:paraId="652E5CF5">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（1）生活垃圾</w:t>
            </w:r>
          </w:p>
          <w:p w14:paraId="4497FA77">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本项目生活垃圾按照0.5kg/人·d计算，工作人员共计15人，年运营300天，则生活垃圾产生量为2.25t/a。生活垃圾集中收集，交由环卫部门统一进行外运处理。</w:t>
            </w:r>
          </w:p>
          <w:p w14:paraId="7F63BF55">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车间沉降面粉粉尘：本项目面粉投加工序产生少量粉尘，沉降在封闭车间地面，根据废气源强核算，90%粉尘沉降，则沉降面粉粉尘产生量约0.02295t/a，根据《固体废物分类与代码目录》（生态环境部办公厅2024年1月22日印发），面粉粉尘固废代码：900-002-S61。面粉粉尘统一收集后，</w:t>
            </w:r>
            <w:r>
              <w:rPr>
                <w:rFonts w:hint="default" w:ascii="Times New Roman" w:hAnsi="Times New Roman" w:eastAsia="宋体" w:cs="Times New Roman"/>
                <w:color w:val="FF0000"/>
                <w:kern w:val="2"/>
                <w:sz w:val="24"/>
                <w:szCs w:val="24"/>
                <w:highlight w:val="none"/>
                <w:lang w:val="en-US" w:eastAsia="zh-CN" w:bidi="ar-SA"/>
              </w:rPr>
              <w:t>由餐余垃圾收集单位收集处理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49A6349F">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废弃包装材料：本项目营运期产生的废弃包装材料，主要为原辅材料包装和出厂包装纸箱废料，根据《固体废物分类与代码目录》（生态环境部办公厅2024年1月22日印发），废弃包装材料固废代码：900-003-S17。根据建设单位提供资料，本项目废弃包装材料产生量约为1t/a，集中收集后，由废品收购站收购。</w:t>
            </w:r>
          </w:p>
          <w:p w14:paraId="1DF8EBA2">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（4）鸡蛋壳</w:t>
            </w:r>
          </w:p>
          <w:p w14:paraId="6F5D0813">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企业提供的数据，本项目鸡蛋外壳的产生量约为鸡蛋重量的11%，本项目鸡蛋用量为72t/a，则鸡蛋外壳产生量约为7.92t/a，根据《固体废物分类与代码目录》（生态环境部办公厅2024年1月22日印发），鸡蛋壳固废代码：900-002-S61。鸡蛋壳集中收集后，交由环卫部门统一进行外运处理。</w:t>
            </w:r>
          </w:p>
          <w:p w14:paraId="3E3E8033">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（5）废弃原材料及不合格产品</w:t>
            </w:r>
          </w:p>
          <w:p w14:paraId="0DF5EA95">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废弃原材料主要是处理蔬菜时产生的菜叶和残根、清理设备时产生的馅料残渣、不合格产品等，根据《固体废物分类与代码目录》（生态环境部办公厅2024年1月22日印发），废弃原材料固废代码：900-002-S61。根据建设单位提供资料，废弃原材料产生量约为3.5545t，该部分固废收集后，</w:t>
            </w:r>
            <w:r>
              <w:rPr>
                <w:rFonts w:hint="default" w:ascii="Times New Roman" w:hAnsi="Times New Roman" w:eastAsia="宋体" w:cs="Times New Roman"/>
                <w:color w:val="FF0000"/>
                <w:kern w:val="2"/>
                <w:sz w:val="24"/>
                <w:szCs w:val="24"/>
                <w:highlight w:val="none"/>
                <w:lang w:val="en-US" w:eastAsia="zh-CN" w:bidi="ar-SA"/>
              </w:rPr>
              <w:t>由餐余垃圾收集单位收集处理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78C77CA0">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（6）废油脂</w:t>
            </w:r>
          </w:p>
          <w:p w14:paraId="7213F397">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本项目废油脂产生量约为0.5t/a，根据《固体废物分类与代码目录》（生态环境部办公厅2024年1月22日印发），废油脂固废代码：900-002-S61，集中收集后，</w:t>
            </w:r>
            <w:r>
              <w:rPr>
                <w:rFonts w:hint="default" w:ascii="Times New Roman" w:hAnsi="Times New Roman" w:eastAsia="宋体" w:cs="Times New Roman"/>
                <w:color w:val="FF0000"/>
                <w:kern w:val="2"/>
                <w:sz w:val="24"/>
                <w:szCs w:val="24"/>
                <w:highlight w:val="none"/>
                <w:lang w:val="en-US" w:eastAsia="zh-CN" w:bidi="ar-SA"/>
              </w:rPr>
              <w:t>由餐余垃圾收集单位收集处理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3A4AA65C">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（7）污水处理站污泥</w:t>
            </w:r>
          </w:p>
          <w:p w14:paraId="5734B22A">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厂区污水处理站污泥，无有毒有害物质，属于一般固体废物，根据《固体废物分类与代码目录》（生态环境部办公厅2024年1月22日印发），污泥固废代码：140-001-S07。参考《集中式污染治理设施产排污系数手册》（2010 年修订），食品行业污泥产生量为 6.7 吨/万吨，本项目废水产生量为</w:t>
            </w:r>
            <w:r>
              <w:rPr>
                <w:rFonts w:hint="default" w:ascii="Times New Roman" w:hAnsi="Times New Roman" w:eastAsia="宋体" w:cs="Times New Roman"/>
                <w:color w:val="FF0000"/>
                <w:kern w:val="2"/>
                <w:sz w:val="24"/>
                <w:szCs w:val="24"/>
                <w:highlight w:val="none"/>
                <w:lang w:val="en-US" w:eastAsia="zh-CN" w:bidi="ar-SA"/>
              </w:rPr>
              <w:t>2192.1</w:t>
            </w:r>
            <w:r>
              <w:rPr>
                <w:rFonts w:hint="eastAsia" w:ascii="Times New Roman" w:hAnsi="Times New Roman" w:eastAsia="宋体" w:cs="Times New Roman"/>
                <w:color w:val="FF0000"/>
                <w:kern w:val="2"/>
                <w:sz w:val="24"/>
                <w:szCs w:val="24"/>
                <w:highlight w:val="none"/>
                <w:lang w:val="en-US" w:eastAsia="zh-CN" w:bidi="ar-SA"/>
              </w:rPr>
              <w:t>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 xml:space="preserve"> /a，则污泥产生量为</w:t>
            </w:r>
            <w:r>
              <w:rPr>
                <w:rFonts w:hint="default" w:ascii="Times New Roman" w:hAnsi="Times New Roman" w:eastAsia="宋体" w:cs="Times New Roman"/>
                <w:color w:val="FF0000"/>
                <w:kern w:val="2"/>
                <w:sz w:val="24"/>
                <w:szCs w:val="24"/>
                <w:highlight w:val="none"/>
                <w:lang w:val="en-US" w:eastAsia="zh-CN" w:bidi="ar-SA"/>
              </w:rPr>
              <w:t>1.469t/a</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FF0000"/>
                <w:kern w:val="2"/>
                <w:sz w:val="24"/>
                <w:szCs w:val="24"/>
                <w:highlight w:val="none"/>
                <w:lang w:val="en-US" w:eastAsia="zh-CN" w:bidi="ar-SA"/>
              </w:rPr>
              <w:t>污泥清掏后由污泥收集后暂存一般固废暂存间，定期委托有能力单位清运处置。</w:t>
            </w:r>
          </w:p>
          <w:p w14:paraId="0D268FEE">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（8）废RO反渗透膜</w:t>
            </w:r>
          </w:p>
          <w:p w14:paraId="32B7EDEB">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制备软水过程中RO反渗透膜单次使用量为0.02t，据企业提供平均每半年一换，则废RO反渗透膜产生量为0.04t/a，根据《固体废物分类与代码目录》（生态环境部办公厅2024年1月22日印发），废RO反渗透膜固废代码：900-009-S59，更换下来的废RO反渗透膜，由厂家回收利用。</w:t>
            </w:r>
          </w:p>
          <w:p w14:paraId="7FBEA4C6">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（9）检验室检验废液</w:t>
            </w:r>
          </w:p>
          <w:p w14:paraId="5B208BDB">
            <w:pPr>
              <w:pStyle w:val="35"/>
              <w:adjustRightInd w:val="0"/>
              <w:snapToGrid w:val="0"/>
              <w:spacing w:beforeLines="0" w:afterLines="0" w:line="360" w:lineRule="auto"/>
              <w:ind w:firstLine="480"/>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根据上文废水污染源强分析可知，</w:t>
            </w:r>
            <w:r>
              <w:rPr>
                <w:rFonts w:hint="default" w:ascii="Times New Roman" w:hAnsi="Times New Roman" w:eastAsia="宋体" w:cs="Times New Roman"/>
                <w:color w:val="FF0000"/>
                <w:kern w:val="2"/>
                <w:sz w:val="24"/>
                <w:szCs w:val="24"/>
                <w:highlight w:val="none"/>
                <w:lang w:val="en-US" w:eastAsia="zh-CN" w:bidi="ar-SA"/>
              </w:rPr>
              <w:t>本项目已配制的检测完成或久置失效后的试液和检验器皿前3次清洗废水应当做检验废液，共计0.01</w:t>
            </w:r>
            <w:r>
              <w:rPr>
                <w:rFonts w:hint="eastAsia" w:ascii="Times New Roman" w:hAnsi="Times New Roman" w:eastAsia="宋体" w:cs="Times New Roman"/>
                <w:color w:val="FF0000"/>
                <w:kern w:val="2"/>
                <w:sz w:val="24"/>
                <w:szCs w:val="24"/>
                <w:highlight w:val="none"/>
                <w:lang w:val="en-US" w:eastAsia="zh-CN" w:bidi="ar-SA"/>
              </w:rPr>
              <w:t>t</w:t>
            </w:r>
            <w:r>
              <w:rPr>
                <w:rFonts w:hint="default" w:ascii="Times New Roman" w:hAnsi="Times New Roman" w:eastAsia="宋体" w:cs="Times New Roman"/>
                <w:color w:val="FF0000"/>
                <w:kern w:val="2"/>
                <w:sz w:val="24"/>
                <w:szCs w:val="24"/>
                <w:highlight w:val="none"/>
                <w:lang w:val="en-US" w:eastAsia="zh-CN" w:bidi="ar-SA"/>
              </w:rPr>
              <w:t>/d，3</w:t>
            </w:r>
            <w:r>
              <w:rPr>
                <w:rFonts w:hint="eastAsia" w:ascii="Times New Roman" w:hAnsi="Times New Roman" w:eastAsia="宋体" w:cs="Times New Roman"/>
                <w:color w:val="FF0000"/>
                <w:kern w:val="2"/>
                <w:sz w:val="24"/>
                <w:szCs w:val="24"/>
                <w:highlight w:val="none"/>
                <w:lang w:val="en-US" w:eastAsia="zh-CN" w:bidi="ar-SA"/>
              </w:rPr>
              <w:t>t</w:t>
            </w:r>
            <w:r>
              <w:rPr>
                <w:rFonts w:hint="default" w:ascii="Times New Roman" w:hAnsi="Times New Roman" w:eastAsia="宋体" w:cs="Times New Roman"/>
                <w:color w:val="FF0000"/>
                <w:kern w:val="2"/>
                <w:sz w:val="24"/>
                <w:szCs w:val="24"/>
                <w:highlight w:val="none"/>
                <w:lang w:val="en-US" w:eastAsia="zh-CN" w:bidi="ar-SA"/>
              </w:rPr>
              <w:t>/a</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，经查阅《国家危险废物名录》（2025年版），检验室废液属于危险废物（HW49 其他废物，900-047-49），集中收集后，定期交由有资质单位处理。</w:t>
            </w:r>
          </w:p>
          <w:p w14:paraId="01DA13E9">
            <w:pPr>
              <w:pStyle w:val="35"/>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表4-15  一般工业固体废物产生及处理情况一览表</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
              <w:gridCol w:w="971"/>
              <w:gridCol w:w="799"/>
              <w:gridCol w:w="730"/>
              <w:gridCol w:w="1905"/>
              <w:gridCol w:w="1590"/>
              <w:gridCol w:w="1934"/>
            </w:tblGrid>
            <w:tr w14:paraId="7C43E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67CF9FF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序号</w:t>
                  </w:r>
                </w:p>
              </w:tc>
              <w:tc>
                <w:tcPr>
                  <w:tcW w:w="587" w:type="pct"/>
                  <w:tcBorders>
                    <w:tl2br w:val="nil"/>
                    <w:tr2bl w:val="nil"/>
                  </w:tcBorders>
                  <w:noWrap/>
                  <w:vAlign w:val="center"/>
                </w:tcPr>
                <w:p w14:paraId="237AFFE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固废名称</w:t>
                  </w:r>
                </w:p>
              </w:tc>
              <w:tc>
                <w:tcPr>
                  <w:tcW w:w="483" w:type="pct"/>
                  <w:tcBorders>
                    <w:tl2br w:val="nil"/>
                    <w:tr2bl w:val="nil"/>
                  </w:tcBorders>
                  <w:noWrap/>
                  <w:tcMar>
                    <w:left w:w="0" w:type="dxa"/>
                    <w:right w:w="0" w:type="dxa"/>
                  </w:tcMar>
                  <w:vAlign w:val="center"/>
                </w:tcPr>
                <w:p w14:paraId="68C66BA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废物量(t/a)</w:t>
                  </w:r>
                </w:p>
              </w:tc>
              <w:tc>
                <w:tcPr>
                  <w:tcW w:w="441" w:type="pct"/>
                  <w:tcBorders>
                    <w:tl2br w:val="nil"/>
                    <w:tr2bl w:val="nil"/>
                  </w:tcBorders>
                  <w:noWrap/>
                  <w:tcMar>
                    <w:left w:w="0" w:type="dxa"/>
                    <w:right w:w="0" w:type="dxa"/>
                  </w:tcMar>
                  <w:vAlign w:val="center"/>
                </w:tcPr>
                <w:p w14:paraId="7B87F1B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性质</w:t>
                  </w:r>
                </w:p>
              </w:tc>
              <w:tc>
                <w:tcPr>
                  <w:tcW w:w="1153" w:type="pct"/>
                  <w:tcBorders>
                    <w:tl2br w:val="nil"/>
                    <w:tr2bl w:val="nil"/>
                  </w:tcBorders>
                  <w:noWrap/>
                  <w:vAlign w:val="center"/>
                </w:tcPr>
                <w:p w14:paraId="042152A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固废代码</w:t>
                  </w:r>
                </w:p>
              </w:tc>
              <w:tc>
                <w:tcPr>
                  <w:tcW w:w="962" w:type="pct"/>
                  <w:tcBorders>
                    <w:tl2br w:val="nil"/>
                    <w:tr2bl w:val="nil"/>
                  </w:tcBorders>
                  <w:noWrap/>
                  <w:tcMar>
                    <w:left w:w="0" w:type="dxa"/>
                    <w:right w:w="0" w:type="dxa"/>
                  </w:tcMar>
                  <w:vAlign w:val="center"/>
                </w:tcPr>
                <w:p w14:paraId="3EFBE42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暂存方式</w:t>
                  </w:r>
                </w:p>
              </w:tc>
              <w:tc>
                <w:tcPr>
                  <w:tcW w:w="1170" w:type="pct"/>
                  <w:tcBorders>
                    <w:tl2br w:val="nil"/>
                    <w:tr2bl w:val="nil"/>
                  </w:tcBorders>
                  <w:noWrap/>
                  <w:vAlign w:val="center"/>
                </w:tcPr>
                <w:p w14:paraId="01D1FF8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处置方法</w:t>
                  </w:r>
                </w:p>
              </w:tc>
            </w:tr>
            <w:tr w14:paraId="3F0DF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4736AF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587" w:type="pct"/>
                  <w:tcBorders>
                    <w:tl2br w:val="nil"/>
                    <w:tr2bl w:val="nil"/>
                  </w:tcBorders>
                  <w:noWrap/>
                  <w:vAlign w:val="center"/>
                </w:tcPr>
                <w:p w14:paraId="61582C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生活垃圾</w:t>
                  </w:r>
                </w:p>
              </w:tc>
              <w:tc>
                <w:tcPr>
                  <w:tcW w:w="483" w:type="pct"/>
                  <w:tcBorders>
                    <w:tl2br w:val="nil"/>
                    <w:tr2bl w:val="nil"/>
                  </w:tcBorders>
                  <w:noWrap/>
                  <w:tcMar>
                    <w:left w:w="0" w:type="dxa"/>
                    <w:right w:w="0" w:type="dxa"/>
                  </w:tcMar>
                  <w:vAlign w:val="center"/>
                </w:tcPr>
                <w:p w14:paraId="2D7C6B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2.25</w:t>
                  </w:r>
                </w:p>
              </w:tc>
              <w:tc>
                <w:tcPr>
                  <w:tcW w:w="441" w:type="pct"/>
                  <w:tcBorders>
                    <w:tl2br w:val="nil"/>
                    <w:tr2bl w:val="nil"/>
                  </w:tcBorders>
                  <w:noWrap/>
                  <w:tcMar>
                    <w:left w:w="0" w:type="dxa"/>
                    <w:right w:w="0" w:type="dxa"/>
                  </w:tcMar>
                  <w:vAlign w:val="center"/>
                </w:tcPr>
                <w:p w14:paraId="5C237D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44B6739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62" w:type="pct"/>
                  <w:tcBorders>
                    <w:tl2br w:val="nil"/>
                    <w:tr2bl w:val="nil"/>
                  </w:tcBorders>
                  <w:noWrap/>
                  <w:tcMar>
                    <w:left w:w="0" w:type="dxa"/>
                    <w:right w:w="0" w:type="dxa"/>
                  </w:tcMar>
                  <w:vAlign w:val="center"/>
                </w:tcPr>
                <w:p w14:paraId="0BC78A1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垃圾桶</w:t>
                  </w:r>
                </w:p>
              </w:tc>
              <w:tc>
                <w:tcPr>
                  <w:tcW w:w="1170" w:type="pct"/>
                  <w:tcBorders>
                    <w:tl2br w:val="nil"/>
                    <w:tr2bl w:val="nil"/>
                  </w:tcBorders>
                  <w:noWrap/>
                  <w:vAlign w:val="center"/>
                </w:tcPr>
                <w:p w14:paraId="3FE636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集中收集，交由环卫部门统一进行外运处理</w:t>
                  </w:r>
                </w:p>
              </w:tc>
            </w:tr>
            <w:tr w14:paraId="6AB7B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40B306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587" w:type="pct"/>
                  <w:tcBorders>
                    <w:tl2br w:val="nil"/>
                    <w:tr2bl w:val="nil"/>
                  </w:tcBorders>
                  <w:noWrap/>
                  <w:vAlign w:val="center"/>
                </w:tcPr>
                <w:p w14:paraId="433ACC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车间沉降面粉粉尘</w:t>
                  </w:r>
                </w:p>
              </w:tc>
              <w:tc>
                <w:tcPr>
                  <w:tcW w:w="483" w:type="pct"/>
                  <w:tcBorders>
                    <w:tl2br w:val="nil"/>
                    <w:tr2bl w:val="nil"/>
                  </w:tcBorders>
                  <w:noWrap/>
                  <w:tcMar>
                    <w:left w:w="0" w:type="dxa"/>
                    <w:right w:w="0" w:type="dxa"/>
                  </w:tcMar>
                  <w:vAlign w:val="center"/>
                </w:tcPr>
                <w:p w14:paraId="692975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0.02295</w:t>
                  </w:r>
                </w:p>
              </w:tc>
              <w:tc>
                <w:tcPr>
                  <w:tcW w:w="441" w:type="pct"/>
                  <w:tcBorders>
                    <w:tl2br w:val="nil"/>
                    <w:tr2bl w:val="nil"/>
                  </w:tcBorders>
                  <w:noWrap/>
                  <w:tcMar>
                    <w:left w:w="0" w:type="dxa"/>
                    <w:right w:w="0" w:type="dxa"/>
                  </w:tcMar>
                  <w:vAlign w:val="center"/>
                </w:tcPr>
                <w:p w14:paraId="5946D2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2AAD23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900-002-S61</w:t>
                  </w:r>
                </w:p>
              </w:tc>
              <w:tc>
                <w:tcPr>
                  <w:tcW w:w="962" w:type="pct"/>
                  <w:tcBorders>
                    <w:tl2br w:val="nil"/>
                    <w:tr2bl w:val="nil"/>
                  </w:tcBorders>
                  <w:noWrap/>
                  <w:tcMar>
                    <w:left w:w="0" w:type="dxa"/>
                    <w:right w:w="0" w:type="dxa"/>
                  </w:tcMar>
                  <w:vAlign w:val="center"/>
                </w:tcPr>
                <w:p w14:paraId="05F53CE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737AA9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p>
              </w:tc>
            </w:tr>
            <w:tr w14:paraId="140C0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45ADE2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87" w:type="pct"/>
                  <w:tcBorders>
                    <w:tl2br w:val="nil"/>
                    <w:tr2bl w:val="nil"/>
                  </w:tcBorders>
                  <w:noWrap/>
                  <w:vAlign w:val="center"/>
                </w:tcPr>
                <w:p w14:paraId="2B4DF0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废弃包装材料</w:t>
                  </w:r>
                </w:p>
              </w:tc>
              <w:tc>
                <w:tcPr>
                  <w:tcW w:w="483" w:type="pct"/>
                  <w:tcBorders>
                    <w:tl2br w:val="nil"/>
                    <w:tr2bl w:val="nil"/>
                  </w:tcBorders>
                  <w:noWrap/>
                  <w:tcMar>
                    <w:left w:w="0" w:type="dxa"/>
                    <w:right w:w="0" w:type="dxa"/>
                  </w:tcMar>
                  <w:vAlign w:val="center"/>
                </w:tcPr>
                <w:p w14:paraId="1FAC6F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441" w:type="pct"/>
                  <w:tcBorders>
                    <w:tl2br w:val="nil"/>
                    <w:tr2bl w:val="nil"/>
                  </w:tcBorders>
                  <w:noWrap/>
                  <w:tcMar>
                    <w:left w:w="0" w:type="dxa"/>
                    <w:right w:w="0" w:type="dxa"/>
                  </w:tcMar>
                  <w:vAlign w:val="center"/>
                </w:tcPr>
                <w:p w14:paraId="5A63A4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3C4BED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900-003-S17</w:t>
                  </w:r>
                </w:p>
              </w:tc>
              <w:tc>
                <w:tcPr>
                  <w:tcW w:w="962" w:type="pct"/>
                  <w:tcBorders>
                    <w:tl2br w:val="nil"/>
                    <w:tr2bl w:val="nil"/>
                  </w:tcBorders>
                  <w:noWrap/>
                  <w:tcMar>
                    <w:left w:w="0" w:type="dxa"/>
                    <w:right w:w="0" w:type="dxa"/>
                  </w:tcMar>
                  <w:vAlign w:val="center"/>
                </w:tcPr>
                <w:p w14:paraId="784DC6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2C04B33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集中收集后，由废品收购站收购</w:t>
                  </w:r>
                </w:p>
              </w:tc>
            </w:tr>
            <w:tr w14:paraId="37A3F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2A2368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587" w:type="pct"/>
                  <w:tcBorders>
                    <w:tl2br w:val="nil"/>
                    <w:tr2bl w:val="nil"/>
                  </w:tcBorders>
                  <w:noWrap/>
                  <w:vAlign w:val="center"/>
                </w:tcPr>
                <w:p w14:paraId="317C9A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鸡蛋壳</w:t>
                  </w:r>
                </w:p>
              </w:tc>
              <w:tc>
                <w:tcPr>
                  <w:tcW w:w="483" w:type="pct"/>
                  <w:tcBorders>
                    <w:tl2br w:val="nil"/>
                    <w:tr2bl w:val="nil"/>
                  </w:tcBorders>
                  <w:noWrap/>
                  <w:tcMar>
                    <w:left w:w="0" w:type="dxa"/>
                    <w:right w:w="0" w:type="dxa"/>
                  </w:tcMar>
                  <w:vAlign w:val="center"/>
                </w:tcPr>
                <w:p w14:paraId="04F9BA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7.92</w:t>
                  </w:r>
                </w:p>
              </w:tc>
              <w:tc>
                <w:tcPr>
                  <w:tcW w:w="441" w:type="pct"/>
                  <w:tcBorders>
                    <w:tl2br w:val="nil"/>
                    <w:tr2bl w:val="nil"/>
                  </w:tcBorders>
                  <w:noWrap/>
                  <w:tcMar>
                    <w:left w:w="0" w:type="dxa"/>
                    <w:right w:w="0" w:type="dxa"/>
                  </w:tcMar>
                  <w:vAlign w:val="center"/>
                </w:tcPr>
                <w:p w14:paraId="6FAE7B6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5C4053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900-002-S61</w:t>
                  </w:r>
                </w:p>
              </w:tc>
              <w:tc>
                <w:tcPr>
                  <w:tcW w:w="962" w:type="pct"/>
                  <w:tcBorders>
                    <w:tl2br w:val="nil"/>
                    <w:tr2bl w:val="nil"/>
                  </w:tcBorders>
                  <w:noWrap/>
                  <w:tcMar>
                    <w:left w:w="0" w:type="dxa"/>
                    <w:right w:w="0" w:type="dxa"/>
                  </w:tcMar>
                  <w:vAlign w:val="center"/>
                </w:tcPr>
                <w:p w14:paraId="31A8B4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705502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集中收集后，交由环卫部门统一进行外运处理</w:t>
                  </w:r>
                </w:p>
              </w:tc>
            </w:tr>
            <w:tr w14:paraId="5535C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60F58C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587" w:type="pct"/>
                  <w:tcBorders>
                    <w:tl2br w:val="nil"/>
                    <w:tr2bl w:val="nil"/>
                  </w:tcBorders>
                  <w:noWrap/>
                  <w:vAlign w:val="center"/>
                </w:tcPr>
                <w:p w14:paraId="5EB57E7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废弃原材料</w:t>
                  </w:r>
                </w:p>
              </w:tc>
              <w:tc>
                <w:tcPr>
                  <w:tcW w:w="483" w:type="pct"/>
                  <w:tcBorders>
                    <w:tl2br w:val="nil"/>
                    <w:tr2bl w:val="nil"/>
                  </w:tcBorders>
                  <w:noWrap/>
                  <w:tcMar>
                    <w:left w:w="0" w:type="dxa"/>
                    <w:right w:w="0" w:type="dxa"/>
                  </w:tcMar>
                  <w:vAlign w:val="center"/>
                </w:tcPr>
                <w:p w14:paraId="2F25C5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3.5545</w:t>
                  </w:r>
                </w:p>
              </w:tc>
              <w:tc>
                <w:tcPr>
                  <w:tcW w:w="441" w:type="pct"/>
                  <w:tcBorders>
                    <w:tl2br w:val="nil"/>
                    <w:tr2bl w:val="nil"/>
                  </w:tcBorders>
                  <w:noWrap/>
                  <w:tcMar>
                    <w:left w:w="0" w:type="dxa"/>
                    <w:right w:w="0" w:type="dxa"/>
                  </w:tcMar>
                  <w:vAlign w:val="center"/>
                </w:tcPr>
                <w:p w14:paraId="121128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0D0EA9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900-002-S61</w:t>
                  </w:r>
                </w:p>
              </w:tc>
              <w:tc>
                <w:tcPr>
                  <w:tcW w:w="962" w:type="pct"/>
                  <w:tcBorders>
                    <w:tl2br w:val="nil"/>
                    <w:tr2bl w:val="nil"/>
                  </w:tcBorders>
                  <w:noWrap/>
                  <w:tcMar>
                    <w:left w:w="0" w:type="dxa"/>
                    <w:right w:w="0" w:type="dxa"/>
                  </w:tcMar>
                  <w:vAlign w:val="center"/>
                </w:tcPr>
                <w:p w14:paraId="79D0F0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6B58BE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p>
              </w:tc>
            </w:tr>
            <w:tr w14:paraId="3E394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248899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587" w:type="pct"/>
                  <w:tcBorders>
                    <w:tl2br w:val="nil"/>
                    <w:tr2bl w:val="nil"/>
                  </w:tcBorders>
                  <w:noWrap/>
                  <w:vAlign w:val="center"/>
                </w:tcPr>
                <w:p w14:paraId="55CD88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废油脂</w:t>
                  </w:r>
                </w:p>
              </w:tc>
              <w:tc>
                <w:tcPr>
                  <w:tcW w:w="483" w:type="pct"/>
                  <w:tcBorders>
                    <w:tl2br w:val="nil"/>
                    <w:tr2bl w:val="nil"/>
                  </w:tcBorders>
                  <w:noWrap/>
                  <w:tcMar>
                    <w:left w:w="0" w:type="dxa"/>
                    <w:right w:w="0" w:type="dxa"/>
                  </w:tcMar>
                  <w:vAlign w:val="center"/>
                </w:tcPr>
                <w:p w14:paraId="5E4CBC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441" w:type="pct"/>
                  <w:tcBorders>
                    <w:tl2br w:val="nil"/>
                    <w:tr2bl w:val="nil"/>
                  </w:tcBorders>
                  <w:noWrap/>
                  <w:tcMar>
                    <w:left w:w="0" w:type="dxa"/>
                    <w:right w:w="0" w:type="dxa"/>
                  </w:tcMar>
                  <w:vAlign w:val="center"/>
                </w:tcPr>
                <w:p w14:paraId="611BD9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30F137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900-002-S61</w:t>
                  </w:r>
                </w:p>
              </w:tc>
              <w:tc>
                <w:tcPr>
                  <w:tcW w:w="962" w:type="pct"/>
                  <w:tcBorders>
                    <w:tl2br w:val="nil"/>
                    <w:tr2bl w:val="nil"/>
                  </w:tcBorders>
                  <w:noWrap/>
                  <w:tcMar>
                    <w:left w:w="0" w:type="dxa"/>
                    <w:right w:w="0" w:type="dxa"/>
                  </w:tcMar>
                  <w:vAlign w:val="center"/>
                </w:tcPr>
                <w:p w14:paraId="55FE57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7DF5CA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p>
              </w:tc>
            </w:tr>
            <w:tr w14:paraId="1699A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6B2FC2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587" w:type="pct"/>
                  <w:tcBorders>
                    <w:tl2br w:val="nil"/>
                    <w:tr2bl w:val="nil"/>
                  </w:tcBorders>
                  <w:noWrap/>
                  <w:vAlign w:val="center"/>
                </w:tcPr>
                <w:p w14:paraId="4362DB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污水处理站污泥</w:t>
                  </w:r>
                </w:p>
              </w:tc>
              <w:tc>
                <w:tcPr>
                  <w:tcW w:w="483" w:type="pct"/>
                  <w:tcBorders>
                    <w:tl2br w:val="nil"/>
                    <w:tr2bl w:val="nil"/>
                  </w:tcBorders>
                  <w:noWrap/>
                  <w:tcMar>
                    <w:left w:w="0" w:type="dxa"/>
                    <w:right w:w="0" w:type="dxa"/>
                  </w:tcMar>
                  <w:vAlign w:val="center"/>
                </w:tcPr>
                <w:p w14:paraId="7C57C8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1.469</w:t>
                  </w:r>
                </w:p>
              </w:tc>
              <w:tc>
                <w:tcPr>
                  <w:tcW w:w="441" w:type="pct"/>
                  <w:tcBorders>
                    <w:tl2br w:val="nil"/>
                    <w:tr2bl w:val="nil"/>
                  </w:tcBorders>
                  <w:noWrap/>
                  <w:tcMar>
                    <w:left w:w="0" w:type="dxa"/>
                    <w:right w:w="0" w:type="dxa"/>
                  </w:tcMar>
                  <w:vAlign w:val="center"/>
                </w:tcPr>
                <w:p w14:paraId="285B3A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696A65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140-001-S07</w:t>
                  </w:r>
                </w:p>
              </w:tc>
              <w:tc>
                <w:tcPr>
                  <w:tcW w:w="962" w:type="pct"/>
                  <w:tcBorders>
                    <w:tl2br w:val="nil"/>
                    <w:tr2bl w:val="nil"/>
                  </w:tcBorders>
                  <w:noWrap/>
                  <w:tcMar>
                    <w:left w:w="0" w:type="dxa"/>
                    <w:right w:w="0" w:type="dxa"/>
                  </w:tcMar>
                  <w:vAlign w:val="center"/>
                </w:tcPr>
                <w:p w14:paraId="2F101A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3015D9A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w:t>
                  </w:r>
                  <w:r>
                    <w:rPr>
                      <w:rFonts w:hint="default" w:ascii="Times New Roman" w:hAnsi="Times New Roman" w:eastAsia="宋体" w:cs="Times New Roman"/>
                      <w:color w:val="FF0000"/>
                      <w:sz w:val="21"/>
                      <w:szCs w:val="21"/>
                      <w:highlight w:val="none"/>
                      <w:lang w:val="en-US" w:eastAsia="zh-CN"/>
                    </w:rPr>
                    <w:t>，委托有能力单位清运处置；</w:t>
                  </w:r>
                </w:p>
              </w:tc>
            </w:tr>
            <w:tr w14:paraId="09931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48C732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587" w:type="pct"/>
                  <w:tcBorders>
                    <w:tl2br w:val="nil"/>
                    <w:tr2bl w:val="nil"/>
                  </w:tcBorders>
                  <w:noWrap/>
                  <w:vAlign w:val="center"/>
                </w:tcPr>
                <w:p w14:paraId="3A688D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废RO反渗透膜</w:t>
                  </w:r>
                </w:p>
              </w:tc>
              <w:tc>
                <w:tcPr>
                  <w:tcW w:w="483" w:type="pct"/>
                  <w:tcBorders>
                    <w:tl2br w:val="nil"/>
                    <w:tr2bl w:val="nil"/>
                  </w:tcBorders>
                  <w:noWrap/>
                  <w:tcMar>
                    <w:left w:w="0" w:type="dxa"/>
                    <w:right w:w="0" w:type="dxa"/>
                  </w:tcMar>
                  <w:vAlign w:val="center"/>
                </w:tcPr>
                <w:p w14:paraId="77A61F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0.04</w:t>
                  </w:r>
                </w:p>
              </w:tc>
              <w:tc>
                <w:tcPr>
                  <w:tcW w:w="441" w:type="pct"/>
                  <w:tcBorders>
                    <w:tl2br w:val="nil"/>
                    <w:tr2bl w:val="nil"/>
                  </w:tcBorders>
                  <w:noWrap/>
                  <w:tcMar>
                    <w:left w:w="0" w:type="dxa"/>
                    <w:right w:w="0" w:type="dxa"/>
                  </w:tcMar>
                  <w:vAlign w:val="center"/>
                </w:tcPr>
                <w:p w14:paraId="66E5E6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w:t>
                  </w:r>
                </w:p>
              </w:tc>
              <w:tc>
                <w:tcPr>
                  <w:tcW w:w="1153" w:type="pct"/>
                  <w:tcBorders>
                    <w:tl2br w:val="nil"/>
                    <w:tr2bl w:val="nil"/>
                  </w:tcBorders>
                  <w:noWrap/>
                  <w:vAlign w:val="center"/>
                </w:tcPr>
                <w:p w14:paraId="18CEE5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900-009-S59</w:t>
                  </w:r>
                </w:p>
              </w:tc>
              <w:tc>
                <w:tcPr>
                  <w:tcW w:w="962" w:type="pct"/>
                  <w:tcBorders>
                    <w:tl2br w:val="nil"/>
                    <w:tr2bl w:val="nil"/>
                  </w:tcBorders>
                  <w:noWrap/>
                  <w:tcMar>
                    <w:left w:w="0" w:type="dxa"/>
                    <w:right w:w="0" w:type="dxa"/>
                  </w:tcMar>
                  <w:vAlign w:val="center"/>
                </w:tcPr>
                <w:p w14:paraId="4DD607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存放至一般固废暂存区</w:t>
                  </w:r>
                </w:p>
              </w:tc>
              <w:tc>
                <w:tcPr>
                  <w:tcW w:w="1170" w:type="pct"/>
                  <w:tcBorders>
                    <w:tl2br w:val="nil"/>
                    <w:tr2bl w:val="nil"/>
                  </w:tcBorders>
                  <w:noWrap/>
                  <w:vAlign w:val="center"/>
                </w:tcPr>
                <w:p w14:paraId="3ABBE2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由厂家回收利用</w:t>
                  </w:r>
                </w:p>
              </w:tc>
            </w:tr>
          </w:tbl>
          <w:p w14:paraId="5D220032">
            <w:pPr>
              <w:spacing w:beforeLines="0" w:afterLines="0" w:line="240" w:lineRule="auto"/>
              <w:ind w:firstLine="0" w:firstLineChar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16</w:t>
            </w:r>
            <w:r>
              <w:rPr>
                <w:rFonts w:hint="default" w:ascii="Times New Roman" w:hAnsi="Times New Roman" w:eastAsia="宋体" w:cs="Times New Roman"/>
                <w:b/>
                <w:color w:val="000000" w:themeColor="text1"/>
                <w:sz w:val="24"/>
                <w:szCs w:val="24"/>
                <w14:textFill>
                  <w14:solidFill>
                    <w14:schemeClr w14:val="tx1"/>
                  </w14:solidFill>
                </w14:textFill>
              </w:rPr>
              <w:t xml:space="preserve">  </w:t>
            </w:r>
            <w:r>
              <w:rPr>
                <w:rFonts w:hint="default" w:ascii="Times New Roman" w:hAnsi="Times New Roman" w:eastAsia="宋体" w:cs="Times New Roman"/>
                <w:b/>
                <w:color w:val="000000" w:themeColor="text1"/>
                <w:sz w:val="24"/>
                <w:szCs w:val="24"/>
                <w:lang w:eastAsia="zh-CN"/>
                <w14:textFill>
                  <w14:solidFill>
                    <w14:schemeClr w14:val="tx1"/>
                  </w14:solidFill>
                </w14:textFill>
              </w:rPr>
              <w:t>危</w:t>
            </w:r>
            <w:r>
              <w:rPr>
                <w:rFonts w:hint="default" w:ascii="Times New Roman" w:hAnsi="Times New Roman" w:eastAsia="宋体" w:cs="Times New Roman"/>
                <w:b/>
                <w:color w:val="000000" w:themeColor="text1"/>
                <w:sz w:val="24"/>
                <w:szCs w:val="24"/>
                <w14:textFill>
                  <w14:solidFill>
                    <w14:schemeClr w14:val="tx1"/>
                  </w14:solidFill>
                </w14:textFill>
              </w:rPr>
              <w:t>废产生及处理情况一览表</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
              <w:gridCol w:w="1247"/>
              <w:gridCol w:w="1077"/>
              <w:gridCol w:w="1186"/>
              <w:gridCol w:w="1706"/>
              <w:gridCol w:w="1266"/>
              <w:gridCol w:w="1447"/>
            </w:tblGrid>
            <w:tr w14:paraId="26B1F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6F78FF0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序号</w:t>
                  </w:r>
                </w:p>
              </w:tc>
              <w:tc>
                <w:tcPr>
                  <w:tcW w:w="754" w:type="pct"/>
                  <w:tcBorders>
                    <w:tl2br w:val="nil"/>
                    <w:tr2bl w:val="nil"/>
                  </w:tcBorders>
                  <w:noWrap/>
                  <w:vAlign w:val="center"/>
                </w:tcPr>
                <w:p w14:paraId="1B28373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固废名称</w:t>
                  </w:r>
                </w:p>
              </w:tc>
              <w:tc>
                <w:tcPr>
                  <w:tcW w:w="651" w:type="pct"/>
                  <w:tcBorders>
                    <w:tl2br w:val="nil"/>
                    <w:tr2bl w:val="nil"/>
                  </w:tcBorders>
                  <w:noWrap/>
                  <w:tcMar>
                    <w:left w:w="0" w:type="dxa"/>
                    <w:right w:w="0" w:type="dxa"/>
                  </w:tcMar>
                  <w:vAlign w:val="center"/>
                </w:tcPr>
                <w:p w14:paraId="54F1666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废物量(t/a)</w:t>
                  </w:r>
                </w:p>
              </w:tc>
              <w:tc>
                <w:tcPr>
                  <w:tcW w:w="717" w:type="pct"/>
                  <w:tcBorders>
                    <w:tl2br w:val="nil"/>
                    <w:tr2bl w:val="nil"/>
                  </w:tcBorders>
                  <w:noWrap/>
                  <w:tcMar>
                    <w:left w:w="0" w:type="dxa"/>
                    <w:right w:w="0" w:type="dxa"/>
                  </w:tcMar>
                  <w:vAlign w:val="center"/>
                </w:tcPr>
                <w:p w14:paraId="64E7646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性质</w:t>
                  </w:r>
                </w:p>
              </w:tc>
              <w:tc>
                <w:tcPr>
                  <w:tcW w:w="1032" w:type="pct"/>
                  <w:tcBorders>
                    <w:tl2br w:val="nil"/>
                    <w:tr2bl w:val="nil"/>
                  </w:tcBorders>
                  <w:noWrap/>
                  <w:vAlign w:val="center"/>
                </w:tcPr>
                <w:p w14:paraId="4C643A9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危废代码</w:t>
                  </w:r>
                </w:p>
              </w:tc>
              <w:tc>
                <w:tcPr>
                  <w:tcW w:w="766" w:type="pct"/>
                  <w:tcBorders>
                    <w:tl2br w:val="nil"/>
                    <w:tr2bl w:val="nil"/>
                  </w:tcBorders>
                  <w:noWrap/>
                  <w:tcMar>
                    <w:left w:w="0" w:type="dxa"/>
                    <w:right w:w="0" w:type="dxa"/>
                  </w:tcMar>
                  <w:vAlign w:val="center"/>
                </w:tcPr>
                <w:p w14:paraId="7685782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暂存位置</w:t>
                  </w:r>
                </w:p>
              </w:tc>
              <w:tc>
                <w:tcPr>
                  <w:tcW w:w="875" w:type="pct"/>
                  <w:tcBorders>
                    <w:tl2br w:val="nil"/>
                    <w:tr2bl w:val="nil"/>
                  </w:tcBorders>
                  <w:noWrap/>
                  <w:vAlign w:val="center"/>
                </w:tcPr>
                <w:p w14:paraId="6D85536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处置方法</w:t>
                  </w:r>
                </w:p>
              </w:tc>
            </w:tr>
            <w:tr w14:paraId="28F3C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0" w:type="pct"/>
                  <w:tcBorders>
                    <w:tl2br w:val="nil"/>
                    <w:tr2bl w:val="nil"/>
                  </w:tcBorders>
                  <w:noWrap/>
                  <w:vAlign w:val="center"/>
                </w:tcPr>
                <w:p w14:paraId="202DBE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754" w:type="pct"/>
                  <w:tcBorders>
                    <w:tl2br w:val="nil"/>
                    <w:tr2bl w:val="nil"/>
                  </w:tcBorders>
                  <w:noWrap/>
                  <w:vAlign w:val="center"/>
                </w:tcPr>
                <w:p w14:paraId="434B08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检验室检验废液</w:t>
                  </w:r>
                </w:p>
              </w:tc>
              <w:tc>
                <w:tcPr>
                  <w:tcW w:w="651" w:type="pct"/>
                  <w:tcBorders>
                    <w:tl2br w:val="nil"/>
                    <w:tr2bl w:val="nil"/>
                  </w:tcBorders>
                  <w:noWrap/>
                  <w:tcMar>
                    <w:left w:w="0" w:type="dxa"/>
                    <w:right w:w="0" w:type="dxa"/>
                  </w:tcMar>
                  <w:vAlign w:val="center"/>
                </w:tcPr>
                <w:p w14:paraId="38A989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3</w:t>
                  </w:r>
                </w:p>
              </w:tc>
              <w:tc>
                <w:tcPr>
                  <w:tcW w:w="717" w:type="pct"/>
                  <w:tcBorders>
                    <w:tl2br w:val="nil"/>
                    <w:tr2bl w:val="nil"/>
                  </w:tcBorders>
                  <w:noWrap/>
                  <w:tcMar>
                    <w:left w:w="0" w:type="dxa"/>
                    <w:right w:w="0" w:type="dxa"/>
                  </w:tcMar>
                  <w:vAlign w:val="center"/>
                </w:tcPr>
                <w:p w14:paraId="3974F7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液体</w:t>
                  </w:r>
                </w:p>
              </w:tc>
              <w:tc>
                <w:tcPr>
                  <w:tcW w:w="1032" w:type="pct"/>
                  <w:tcBorders>
                    <w:tl2br w:val="nil"/>
                    <w:tr2bl w:val="nil"/>
                  </w:tcBorders>
                  <w:noWrap/>
                  <w:vAlign w:val="center"/>
                </w:tcPr>
                <w:p w14:paraId="571920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HW49</w:t>
                  </w:r>
                </w:p>
                <w:p w14:paraId="11C49E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900-047-49</w:t>
                  </w:r>
                </w:p>
              </w:tc>
              <w:tc>
                <w:tcPr>
                  <w:tcW w:w="766" w:type="pct"/>
                  <w:tcBorders>
                    <w:tl2br w:val="nil"/>
                    <w:tr2bl w:val="nil"/>
                  </w:tcBorders>
                  <w:noWrap/>
                  <w:tcMar>
                    <w:left w:w="0" w:type="dxa"/>
                    <w:right w:w="0" w:type="dxa"/>
                  </w:tcMar>
                  <w:vAlign w:val="center"/>
                </w:tcPr>
                <w:p w14:paraId="3A1151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危废暂存间</w:t>
                  </w:r>
                </w:p>
              </w:tc>
              <w:tc>
                <w:tcPr>
                  <w:tcW w:w="875" w:type="pct"/>
                  <w:tcBorders>
                    <w:tl2br w:val="nil"/>
                    <w:tr2bl w:val="nil"/>
                  </w:tcBorders>
                  <w:noWrap/>
                  <w:vAlign w:val="center"/>
                </w:tcPr>
                <w:p w14:paraId="3860E1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集中收集后，定期交由有资质单位处理</w:t>
                  </w:r>
                </w:p>
              </w:tc>
            </w:tr>
          </w:tbl>
          <w:p w14:paraId="75F02B63">
            <w:pPr>
              <w:pStyle w:val="45"/>
              <w:keepNext w:val="0"/>
              <w:keepLines w:val="0"/>
              <w:pageBreakBefore w:val="0"/>
              <w:widowControl/>
              <w:kinsoku/>
              <w:wordWrap/>
              <w:overflowPunct/>
              <w:topLinePunct w:val="0"/>
              <w:autoSpaceDE/>
              <w:autoSpaceDN/>
              <w:bidi w:val="0"/>
              <w:adjustRightInd/>
              <w:snapToGrid/>
              <w:spacing w:before="157" w:beforeLines="50" w:afterLines="0" w:line="240" w:lineRule="auto"/>
              <w:ind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b/>
                <w:color w:val="000000" w:themeColor="text1"/>
                <w:sz w:val="24"/>
                <w:szCs w:val="24"/>
                <w14:textFill>
                  <w14:solidFill>
                    <w14:schemeClr w14:val="tx1"/>
                  </w14:solidFill>
                </w14:textFill>
              </w:rPr>
              <w:t xml:space="preserve">  建设项目危险废物贮存场所（设施）基本情况</w:t>
            </w:r>
          </w:p>
          <w:tbl>
            <w:tblPr>
              <w:tblStyle w:val="1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083"/>
              <w:gridCol w:w="956"/>
              <w:gridCol w:w="843"/>
              <w:gridCol w:w="1267"/>
              <w:gridCol w:w="766"/>
              <w:gridCol w:w="1245"/>
              <w:gridCol w:w="798"/>
              <w:gridCol w:w="805"/>
            </w:tblGrid>
            <w:tr w14:paraId="70178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01" w:type="pct"/>
                  <w:tcBorders>
                    <w:tl2br w:val="nil"/>
                    <w:tr2bl w:val="nil"/>
                  </w:tcBorders>
                  <w:noWrap/>
                  <w:vAlign w:val="center"/>
                </w:tcPr>
                <w:p w14:paraId="3FAE4EF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序号</w:t>
                  </w:r>
                </w:p>
              </w:tc>
              <w:tc>
                <w:tcPr>
                  <w:tcW w:w="655" w:type="pct"/>
                  <w:tcBorders>
                    <w:tl2br w:val="nil"/>
                    <w:tr2bl w:val="nil"/>
                  </w:tcBorders>
                  <w:noWrap/>
                  <w:vAlign w:val="center"/>
                </w:tcPr>
                <w:p w14:paraId="09FF798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贮存场所（设施）</w:t>
                  </w:r>
                </w:p>
                <w:p w14:paraId="35DDCD9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名称</w:t>
                  </w:r>
                </w:p>
              </w:tc>
              <w:tc>
                <w:tcPr>
                  <w:tcW w:w="578" w:type="pct"/>
                  <w:tcBorders>
                    <w:tl2br w:val="nil"/>
                    <w:tr2bl w:val="nil"/>
                  </w:tcBorders>
                  <w:noWrap/>
                  <w:vAlign w:val="center"/>
                </w:tcPr>
                <w:p w14:paraId="03ACA56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危险废物名称</w:t>
                  </w:r>
                </w:p>
              </w:tc>
              <w:tc>
                <w:tcPr>
                  <w:tcW w:w="510" w:type="pct"/>
                  <w:tcBorders>
                    <w:tl2br w:val="nil"/>
                    <w:tr2bl w:val="nil"/>
                  </w:tcBorders>
                  <w:noWrap/>
                  <w:vAlign w:val="center"/>
                </w:tcPr>
                <w:p w14:paraId="079A6A7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危险废物类别</w:t>
                  </w:r>
                </w:p>
              </w:tc>
              <w:tc>
                <w:tcPr>
                  <w:tcW w:w="766" w:type="pct"/>
                  <w:tcBorders>
                    <w:tl2br w:val="nil"/>
                    <w:tr2bl w:val="nil"/>
                  </w:tcBorders>
                  <w:noWrap/>
                  <w:vAlign w:val="center"/>
                </w:tcPr>
                <w:p w14:paraId="52E5E0E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危险废物代码</w:t>
                  </w:r>
                </w:p>
              </w:tc>
              <w:tc>
                <w:tcPr>
                  <w:tcW w:w="463" w:type="pct"/>
                  <w:tcBorders>
                    <w:tl2br w:val="nil"/>
                    <w:tr2bl w:val="nil"/>
                  </w:tcBorders>
                  <w:noWrap/>
                  <w:vAlign w:val="center"/>
                </w:tcPr>
                <w:p w14:paraId="1323F58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占地面积</w:t>
                  </w:r>
                </w:p>
              </w:tc>
              <w:tc>
                <w:tcPr>
                  <w:tcW w:w="753" w:type="pct"/>
                  <w:tcBorders>
                    <w:tl2br w:val="nil"/>
                    <w:tr2bl w:val="nil"/>
                  </w:tcBorders>
                  <w:noWrap/>
                  <w:vAlign w:val="center"/>
                </w:tcPr>
                <w:p w14:paraId="71E0A1E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贮存方式</w:t>
                  </w:r>
                </w:p>
              </w:tc>
              <w:tc>
                <w:tcPr>
                  <w:tcW w:w="482" w:type="pct"/>
                  <w:tcBorders>
                    <w:tl2br w:val="nil"/>
                    <w:tr2bl w:val="nil"/>
                  </w:tcBorders>
                  <w:noWrap/>
                  <w:vAlign w:val="center"/>
                </w:tcPr>
                <w:p w14:paraId="565F927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贮存</w:t>
                  </w:r>
                </w:p>
                <w:p w14:paraId="5A5615D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能力</w:t>
                  </w:r>
                </w:p>
              </w:tc>
              <w:tc>
                <w:tcPr>
                  <w:tcW w:w="487" w:type="pct"/>
                  <w:tcBorders>
                    <w:tl2br w:val="nil"/>
                    <w:tr2bl w:val="nil"/>
                  </w:tcBorders>
                  <w:noWrap/>
                  <w:vAlign w:val="center"/>
                </w:tcPr>
                <w:p w14:paraId="772CB13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贮存</w:t>
                  </w:r>
                </w:p>
                <w:p w14:paraId="239439D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周期</w:t>
                  </w:r>
                </w:p>
              </w:tc>
            </w:tr>
            <w:tr w14:paraId="1B95EA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301" w:type="pct"/>
                  <w:tcBorders>
                    <w:tl2br w:val="nil"/>
                    <w:tr2bl w:val="nil"/>
                  </w:tcBorders>
                  <w:noWrap/>
                  <w:vAlign w:val="center"/>
                </w:tcPr>
                <w:p w14:paraId="44C213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655" w:type="pct"/>
                  <w:tcBorders>
                    <w:tl2br w:val="nil"/>
                    <w:tr2bl w:val="nil"/>
                  </w:tcBorders>
                  <w:noWrap/>
                  <w:vAlign w:val="center"/>
                </w:tcPr>
                <w:p w14:paraId="4FB4263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危废暂存间</w:t>
                  </w:r>
                </w:p>
              </w:tc>
              <w:tc>
                <w:tcPr>
                  <w:tcW w:w="578" w:type="pct"/>
                  <w:tcBorders>
                    <w:tl2br w:val="nil"/>
                    <w:tr2bl w:val="nil"/>
                  </w:tcBorders>
                  <w:noWrap/>
                  <w:vAlign w:val="center"/>
                </w:tcPr>
                <w:p w14:paraId="3B3854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检验室检验废液</w:t>
                  </w:r>
                </w:p>
              </w:tc>
              <w:tc>
                <w:tcPr>
                  <w:tcW w:w="510" w:type="pct"/>
                  <w:tcBorders>
                    <w:tl2br w:val="nil"/>
                    <w:tr2bl w:val="nil"/>
                  </w:tcBorders>
                  <w:noWrap/>
                  <w:vAlign w:val="center"/>
                </w:tcPr>
                <w:p w14:paraId="55A792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HW49</w:t>
                  </w:r>
                </w:p>
              </w:tc>
              <w:tc>
                <w:tcPr>
                  <w:tcW w:w="766" w:type="pct"/>
                  <w:tcBorders>
                    <w:tl2br w:val="nil"/>
                    <w:tr2bl w:val="nil"/>
                  </w:tcBorders>
                  <w:noWrap/>
                  <w:vAlign w:val="center"/>
                </w:tcPr>
                <w:p w14:paraId="7F86B1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900-047-49</w:t>
                  </w:r>
                </w:p>
              </w:tc>
              <w:tc>
                <w:tcPr>
                  <w:tcW w:w="463" w:type="pct"/>
                  <w:tcBorders>
                    <w:tl2br w:val="nil"/>
                    <w:tr2bl w:val="nil"/>
                  </w:tcBorders>
                  <w:noWrap/>
                  <w:vAlign w:val="center"/>
                </w:tcPr>
                <w:p w14:paraId="3AE137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p>
              </w:tc>
              <w:tc>
                <w:tcPr>
                  <w:tcW w:w="753" w:type="pct"/>
                  <w:tcBorders>
                    <w:tl2br w:val="nil"/>
                    <w:tr2bl w:val="nil"/>
                  </w:tcBorders>
                  <w:noWrap/>
                  <w:vAlign w:val="center"/>
                </w:tcPr>
                <w:p w14:paraId="0C2C07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密闭储存</w:t>
                  </w:r>
                </w:p>
              </w:tc>
              <w:tc>
                <w:tcPr>
                  <w:tcW w:w="482" w:type="pct"/>
                  <w:tcBorders>
                    <w:tl2br w:val="nil"/>
                    <w:tr2bl w:val="nil"/>
                  </w:tcBorders>
                  <w:noWrap/>
                  <w:vAlign w:val="center"/>
                </w:tcPr>
                <w:p w14:paraId="0A7BC48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1t</w:t>
                  </w:r>
                </w:p>
              </w:tc>
              <w:tc>
                <w:tcPr>
                  <w:tcW w:w="487" w:type="pct"/>
                  <w:tcBorders>
                    <w:tl2br w:val="nil"/>
                    <w:tr2bl w:val="nil"/>
                  </w:tcBorders>
                  <w:noWrap/>
                  <w:vAlign w:val="center"/>
                </w:tcPr>
                <w:p w14:paraId="415AE57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3个月</w:t>
                  </w:r>
                </w:p>
              </w:tc>
            </w:tr>
          </w:tbl>
          <w:p w14:paraId="1C3DA8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、一般固体废物管理措施</w:t>
            </w:r>
          </w:p>
          <w:p w14:paraId="74ED11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为进一步确保项目产生的固体废物得到合理有效的收集处理，避免造成环境二次污染，地面采用坚固、防渗、耐腐蚀的材料建造，并设计有堵截泄漏的裙脚、围堰等设施。</w:t>
            </w:r>
          </w:p>
          <w:p w14:paraId="342124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本项目拟采取以下措施加强固废治理：</w:t>
            </w:r>
          </w:p>
          <w:p w14:paraId="71A08A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（1）设置生活垃圾桶、一般固废暂存区对项目产生的各类一般固废进行分类收集、暂存，并</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及时</w:t>
            </w:r>
            <w:r>
              <w:rPr>
                <w:rFonts w:hint="default" w:ascii="Times New Roman" w:hAnsi="Times New Roman" w:eastAsia="宋体" w:cs="Times New Roman"/>
                <w:color w:val="000000" w:themeColor="text1"/>
                <w:sz w:val="24"/>
                <w:szCs w:val="24"/>
                <w:highlight w:val="none"/>
                <w14:textFill>
                  <w14:solidFill>
                    <w14:schemeClr w14:val="tx1"/>
                  </w14:solidFill>
                </w14:textFill>
              </w:rPr>
              <w:t>委托有资质的单位拉运离场进行处理处置。</w:t>
            </w:r>
          </w:p>
          <w:p w14:paraId="6331AB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（2）垃圾桶中的垃圾日产日清，同时定期清洗消毒，防止蚊蝇滋生和恶臭对环境的影响。</w:t>
            </w:r>
          </w:p>
          <w:p w14:paraId="6202AD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通过采取以上措施后，本项目生产过程中产生的一般工业固体废物均可得到合理的处置，满足《一般工业固体废物贮存和填埋污染控制标准》（GB18599-2020）中的相关要求。因此本项目运行期所产生的一般工业固体废物对周围环境的影响相对较小，能够被周围环境所容纳。</w:t>
            </w:r>
          </w:p>
          <w:p w14:paraId="7C94DC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4、危险废物管理措施</w:t>
            </w:r>
          </w:p>
          <w:p w14:paraId="7F9D2F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（1）危险废物贮存设施建设要求</w:t>
            </w:r>
          </w:p>
          <w:p w14:paraId="1FED6F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根据《危险废物贮存污染控制标准》（GB18597-2023）中相关要求，本项目设置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危废</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，用于存储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本项目产生的</w:t>
            </w:r>
            <w:r>
              <w:rPr>
                <w:rFonts w:hint="default" w:ascii="Times New Roman" w:hAnsi="Times New Roman" w:eastAsia="宋体" w:cs="Times New Roman"/>
                <w:color w:val="000000" w:themeColor="text1"/>
                <w:sz w:val="24"/>
                <w:szCs w:val="24"/>
                <w:highlight w:val="none"/>
                <w14:textFill>
                  <w14:solidFill>
                    <w14:schemeClr w14:val="tx1"/>
                  </w14:solidFill>
                </w14:textFill>
              </w:rPr>
              <w:t>危险废物。本项目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产生的危险废物密闭储存</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FF0000"/>
                <w:sz w:val="24"/>
                <w:szCs w:val="24"/>
                <w:highlight w:val="none"/>
                <w:lang w:eastAsia="zh-CN"/>
              </w:rPr>
              <w:t>危废暂存间</w:t>
            </w:r>
            <w:r>
              <w:rPr>
                <w:rFonts w:hint="default" w:ascii="Times New Roman" w:hAnsi="Times New Roman" w:eastAsia="宋体" w:cs="Times New Roman"/>
                <w:color w:val="FF0000"/>
                <w:sz w:val="24"/>
                <w:szCs w:val="24"/>
                <w:highlight w:val="none"/>
              </w:rPr>
              <w:t>最大总储存量为</w:t>
            </w:r>
            <w:r>
              <w:rPr>
                <w:rFonts w:hint="default" w:ascii="Times New Roman" w:hAnsi="Times New Roman" w:eastAsia="宋体" w:cs="Times New Roman"/>
                <w:color w:val="FF0000"/>
                <w:sz w:val="24"/>
                <w:szCs w:val="24"/>
                <w:highlight w:val="none"/>
                <w:lang w:val="en-US" w:eastAsia="zh-CN"/>
              </w:rPr>
              <w:t>1</w:t>
            </w:r>
            <w:r>
              <w:rPr>
                <w:rFonts w:hint="default" w:ascii="Times New Roman" w:hAnsi="Times New Roman" w:eastAsia="宋体" w:cs="Times New Roman"/>
                <w:color w:val="FF0000"/>
                <w:sz w:val="24"/>
                <w:szCs w:val="24"/>
                <w:highlight w:val="none"/>
              </w:rPr>
              <w:t>t</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每</w:t>
            </w:r>
            <w:r>
              <w:rPr>
                <w:rFonts w:hint="default" w:ascii="Times New Roman" w:hAnsi="Times New Roman" w:eastAsia="宋体" w:cs="Times New Roman"/>
                <w:color w:val="FF0000"/>
                <w:sz w:val="24"/>
                <w:szCs w:val="24"/>
                <w:highlight w:val="none"/>
                <w:lang w:val="en-US" w:eastAsia="zh-CN"/>
              </w:rPr>
              <w:t>3个月</w:t>
            </w:r>
            <w:r>
              <w:rPr>
                <w:rFonts w:hint="default" w:ascii="Times New Roman" w:hAnsi="Times New Roman" w:eastAsia="宋体" w:cs="Times New Roman"/>
                <w:color w:val="FF0000"/>
                <w:sz w:val="24"/>
                <w:szCs w:val="24"/>
                <w:highlight w:val="none"/>
              </w:rPr>
              <w:t>转运一次</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地面采取防腐防渗措施。</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内要有安全照明设施、观察窗口及通风设施。</w:t>
            </w:r>
          </w:p>
          <w:p w14:paraId="3FD302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防渗建设要求</w:t>
            </w:r>
          </w:p>
          <w:p w14:paraId="41F8A3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根据《危险废物贮存污染控制标准》（GB18597-2023）中相关要求，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地面和裙脚防渗层为至少1m厚粘土层（渗透系数≤1.0×10</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-7</w:t>
            </w:r>
            <w:r>
              <w:rPr>
                <w:rFonts w:hint="default" w:ascii="Times New Roman" w:hAnsi="Times New Roman" w:eastAsia="宋体" w:cs="Times New Roman"/>
                <w:color w:val="000000" w:themeColor="text1"/>
                <w:sz w:val="24"/>
                <w:szCs w:val="24"/>
                <w:highlight w:val="none"/>
                <w14:textFill>
                  <w14:solidFill>
                    <w14:schemeClr w14:val="tx1"/>
                  </w14:solidFill>
                </w14:textFill>
              </w:rPr>
              <w:t>cm/s），或2mm厚高密度聚乙烯，或至少2mm厚的其他人工材料，渗透系数≤10</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cm/s。</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全部进行硬化地面，且表面无裂隙。</w:t>
            </w:r>
          </w:p>
          <w:p w14:paraId="241B6C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管理要求</w:t>
            </w:r>
          </w:p>
          <w:p w14:paraId="45E60A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①</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本项目产生的</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检验室检验废液收集</w:t>
            </w:r>
            <w:r>
              <w:rPr>
                <w:rFonts w:hint="default" w:ascii="Times New Roman" w:hAnsi="Times New Roman" w:eastAsia="宋体" w:cs="Times New Roman"/>
                <w:color w:val="000000" w:themeColor="text1"/>
                <w:sz w:val="24"/>
                <w:szCs w:val="24"/>
                <w:highlight w:val="none"/>
                <w14:textFill>
                  <w14:solidFill>
                    <w14:schemeClr w14:val="tx1"/>
                  </w14:solidFill>
                </w14:textFill>
              </w:rPr>
              <w:t>于密闭容器中储存。按照《危险废物贮存污染控制标准》（GB18597-2023）中相关要求，设置明显的警示标志，标明具体物质名称。</w:t>
            </w:r>
          </w:p>
          <w:p w14:paraId="6D06C5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②危废暂存间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按要求进行防渗并应设专人看管，严格进行日常安全防护管理，定期间进行日常检查。定期检查更换收集容器，保证完好无破损。制定危险废物贮存的台账制度。</w:t>
            </w:r>
          </w:p>
          <w:p w14:paraId="645707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通过采取上述措施，本项目危废废物处置可满足《危险废物贮存污染控制标准》（GB18597-2023）中相关要求，危险废物贮存及处置方式具备可行性。</w:t>
            </w:r>
          </w:p>
          <w:p w14:paraId="0ED439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textAlignment w:val="auto"/>
              <w:rPr>
                <w:rFonts w:hint="default" w:ascii="Times New Roman" w:hAnsi="Times New Roman" w:eastAsia="宋体" w:cs="Times New Roman"/>
                <w:b/>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eastAsia="zh-CN"/>
                <w14:textFill>
                  <w14:solidFill>
                    <w14:schemeClr w14:val="tx1"/>
                  </w14:solidFill>
                </w14:textFill>
              </w:rPr>
              <w:t>五</w:t>
            </w:r>
            <w:r>
              <w:rPr>
                <w:rFonts w:hint="default" w:ascii="Times New Roman" w:hAnsi="Times New Roman" w:eastAsia="宋体" w:cs="Times New Roman"/>
                <w:b/>
                <w:color w:val="000000" w:themeColor="text1"/>
                <w:sz w:val="24"/>
                <w:szCs w:val="24"/>
                <w:highlight w:val="none"/>
                <w14:textFill>
                  <w14:solidFill>
                    <w14:schemeClr w14:val="tx1"/>
                  </w14:solidFill>
                </w14:textFill>
              </w:rPr>
              <w:t>、地下水</w:t>
            </w:r>
            <w:r>
              <w:rPr>
                <w:rFonts w:hint="default" w:ascii="Times New Roman" w:hAnsi="Times New Roman" w:eastAsia="宋体" w:cs="Times New Roman"/>
                <w:b/>
                <w:color w:val="000000" w:themeColor="text1"/>
                <w:sz w:val="24"/>
                <w:szCs w:val="24"/>
                <w:highlight w:val="none"/>
                <w:lang w:eastAsia="zh-CN"/>
                <w14:textFill>
                  <w14:solidFill>
                    <w14:schemeClr w14:val="tx1"/>
                  </w14:solidFill>
                </w14:textFill>
              </w:rPr>
              <w:t>、土壤</w:t>
            </w:r>
          </w:p>
          <w:p w14:paraId="23507E5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危废暂存间、污水处理站</w:t>
            </w:r>
            <w:r>
              <w:rPr>
                <w:rFonts w:hint="default" w:ascii="Times New Roman" w:hAnsi="Times New Roman" w:eastAsia="宋体" w:cs="Times New Roman"/>
                <w:color w:val="000000" w:themeColor="text1"/>
                <w:sz w:val="24"/>
                <w:szCs w:val="24"/>
                <w:highlight w:val="none"/>
                <w14:textFill>
                  <w14:solidFill>
                    <w14:schemeClr w14:val="tx1"/>
                  </w14:solidFill>
                </w14:textFill>
              </w:rPr>
              <w:t>按重点防渗区要求进行防渗处理，防渗技术要求达到等效粘土防渗层Mb≥6.0m，K≤1×10</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-7</w:t>
            </w:r>
            <w:r>
              <w:rPr>
                <w:rFonts w:hint="default" w:ascii="Times New Roman" w:hAnsi="Times New Roman" w:eastAsia="宋体" w:cs="Times New Roman"/>
                <w:color w:val="000000" w:themeColor="text1"/>
                <w:sz w:val="24"/>
                <w:szCs w:val="24"/>
                <w:highlight w:val="none"/>
                <w14:textFill>
                  <w14:solidFill>
                    <w14:schemeClr w14:val="tx1"/>
                  </w14:solidFill>
                </w14:textFill>
              </w:rPr>
              <w:t>cm/s。生产车间等按一般防渗区要求进行防渗处理，防渗技术要求：等效黏土防渗层Mb≥1.5m，K≤1×10</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-7</w:t>
            </w:r>
            <w:r>
              <w:rPr>
                <w:rFonts w:hint="default" w:ascii="Times New Roman" w:hAnsi="Times New Roman" w:eastAsia="宋体" w:cs="Times New Roman"/>
                <w:color w:val="000000" w:themeColor="text1"/>
                <w:sz w:val="24"/>
                <w:szCs w:val="24"/>
                <w:highlight w:val="none"/>
                <w14:textFill>
                  <w14:solidFill>
                    <w14:schemeClr w14:val="tx1"/>
                  </w14:solidFill>
                </w14:textFill>
              </w:rPr>
              <w:t>cm/s。经以上措施后，不会污染地下水及土壤。</w:t>
            </w:r>
          </w:p>
          <w:p w14:paraId="269D742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综上所述，本项目不属于重污染项目，只要严格管理，在严格落实防渗措施的情况下，项目建设不存在向地下渗漏污染物的问题，对地下水及土壤环境影响较小。</w:t>
            </w:r>
          </w:p>
          <w:p w14:paraId="4F4D9DB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六</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、环境风险</w:t>
            </w:r>
          </w:p>
          <w:p w14:paraId="1229F39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评价工作等级</w:t>
            </w:r>
          </w:p>
          <w:p w14:paraId="729B36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根据《建设项目环境风险评价技术导则》（HJ169-2018）4.3 评价工作等级划分，环境风险评价工作等级划分为一级、二级、三级。根据建设项目涉及的物质及工艺系统危险性和所在地的环境敏感性确定环境风险潜势，确定评价工作等级。</w:t>
            </w:r>
          </w:p>
          <w:p w14:paraId="37D3358C">
            <w:pPr>
              <w:spacing w:beforeLines="0" w:afterLines="0" w:line="240" w:lineRule="auto"/>
              <w:ind w:firstLine="0" w:firstLineChars="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18</w:t>
            </w:r>
            <w:r>
              <w:rPr>
                <w:rFonts w:hint="default" w:ascii="Times New Roman" w:hAnsi="Times New Roman" w:eastAsia="宋体" w:cs="Times New Roman"/>
                <w:b/>
                <w:color w:val="000000" w:themeColor="text1"/>
                <w:sz w:val="24"/>
                <w:szCs w:val="24"/>
                <w14:textFill>
                  <w14:solidFill>
                    <w14:schemeClr w14:val="tx1"/>
                  </w14:solidFill>
                </w14:textFill>
              </w:rPr>
              <w:t xml:space="preserve"> 环境风险评价工作级别划分判据一览表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0"/>
              <w:gridCol w:w="1355"/>
              <w:gridCol w:w="1448"/>
              <w:gridCol w:w="1550"/>
              <w:gridCol w:w="2249"/>
            </w:tblGrid>
            <w:tr w14:paraId="46133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000" w:type="pct"/>
                  <w:tcBorders>
                    <w:top w:val="single" w:color="auto" w:sz="4" w:space="0"/>
                    <w:left w:val="single" w:color="auto" w:sz="4" w:space="0"/>
                    <w:bottom w:val="single" w:color="auto" w:sz="4" w:space="0"/>
                    <w:right w:val="single" w:color="auto" w:sz="4" w:space="0"/>
                    <w:tl2br w:val="nil"/>
                    <w:tr2bl w:val="nil"/>
                  </w:tcBorders>
                  <w:noWrap/>
                  <w:vAlign w:val="center"/>
                </w:tcPr>
                <w:p w14:paraId="0EB2F2B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环境风险潜势</w:t>
                  </w:r>
                </w:p>
              </w:tc>
              <w:tc>
                <w:tcPr>
                  <w:tcW w:w="821" w:type="pct"/>
                  <w:tcBorders>
                    <w:top w:val="single" w:color="auto" w:sz="4" w:space="0"/>
                    <w:left w:val="single" w:color="auto" w:sz="4" w:space="0"/>
                    <w:bottom w:val="single" w:color="auto" w:sz="4" w:space="0"/>
                    <w:right w:val="single" w:color="auto" w:sz="4" w:space="0"/>
                    <w:tl2br w:val="nil"/>
                    <w:tr2bl w:val="nil"/>
                  </w:tcBorders>
                  <w:noWrap/>
                  <w:vAlign w:val="center"/>
                </w:tcPr>
                <w:p w14:paraId="7A1D08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Ⅳ、Ⅳ+</w:t>
                  </w:r>
                </w:p>
              </w:tc>
              <w:tc>
                <w:tcPr>
                  <w:tcW w:w="877" w:type="pct"/>
                  <w:tcBorders>
                    <w:top w:val="single" w:color="auto" w:sz="4" w:space="0"/>
                    <w:left w:val="single" w:color="auto" w:sz="4" w:space="0"/>
                    <w:bottom w:val="single" w:color="auto" w:sz="4" w:space="0"/>
                    <w:right w:val="single" w:color="auto" w:sz="4" w:space="0"/>
                    <w:tl2br w:val="nil"/>
                    <w:tr2bl w:val="nil"/>
                  </w:tcBorders>
                  <w:noWrap/>
                  <w:vAlign w:val="center"/>
                </w:tcPr>
                <w:p w14:paraId="189EA5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Ⅲ</w:t>
                  </w:r>
                </w:p>
              </w:tc>
              <w:tc>
                <w:tcPr>
                  <w:tcW w:w="939" w:type="pct"/>
                  <w:tcBorders>
                    <w:top w:val="single" w:color="auto" w:sz="4" w:space="0"/>
                    <w:left w:val="single" w:color="auto" w:sz="4" w:space="0"/>
                    <w:bottom w:val="single" w:color="auto" w:sz="4" w:space="0"/>
                    <w:right w:val="single" w:color="auto" w:sz="4" w:space="0"/>
                    <w:tl2br w:val="nil"/>
                    <w:tr2bl w:val="nil"/>
                  </w:tcBorders>
                  <w:noWrap/>
                  <w:vAlign w:val="center"/>
                </w:tcPr>
                <w:p w14:paraId="7E34B8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Ⅱ</w:t>
                  </w:r>
                </w:p>
              </w:tc>
              <w:tc>
                <w:tcPr>
                  <w:tcW w:w="1362" w:type="pct"/>
                  <w:tcBorders>
                    <w:top w:val="single" w:color="auto" w:sz="4" w:space="0"/>
                    <w:left w:val="single" w:color="auto" w:sz="4" w:space="0"/>
                    <w:bottom w:val="single" w:color="auto" w:sz="4" w:space="0"/>
                    <w:right w:val="single" w:color="auto" w:sz="4" w:space="0"/>
                    <w:tl2br w:val="nil"/>
                    <w:tr2bl w:val="nil"/>
                  </w:tcBorders>
                  <w:noWrap/>
                  <w:vAlign w:val="center"/>
                </w:tcPr>
                <w:p w14:paraId="70E7B6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Ⅰ</w:t>
                  </w:r>
                </w:p>
              </w:tc>
            </w:tr>
            <w:tr w14:paraId="4A3F2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000" w:type="pct"/>
                  <w:tcBorders>
                    <w:top w:val="single" w:color="auto" w:sz="4" w:space="0"/>
                    <w:left w:val="single" w:color="auto" w:sz="4" w:space="0"/>
                    <w:bottom w:val="single" w:color="auto" w:sz="4" w:space="0"/>
                    <w:right w:val="single" w:color="auto" w:sz="4" w:space="0"/>
                    <w:tl2br w:val="nil"/>
                    <w:tr2bl w:val="nil"/>
                  </w:tcBorders>
                  <w:noWrap/>
                  <w:vAlign w:val="center"/>
                </w:tcPr>
                <w:p w14:paraId="43283C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评价工作等级</w:t>
                  </w:r>
                </w:p>
              </w:tc>
              <w:tc>
                <w:tcPr>
                  <w:tcW w:w="821" w:type="pct"/>
                  <w:tcBorders>
                    <w:top w:val="single" w:color="auto" w:sz="4" w:space="0"/>
                    <w:left w:val="single" w:color="auto" w:sz="4" w:space="0"/>
                    <w:bottom w:val="single" w:color="auto" w:sz="4" w:space="0"/>
                    <w:right w:val="single" w:color="auto" w:sz="4" w:space="0"/>
                    <w:tl2br w:val="nil"/>
                    <w:tr2bl w:val="nil"/>
                  </w:tcBorders>
                  <w:noWrap/>
                  <w:vAlign w:val="center"/>
                </w:tcPr>
                <w:p w14:paraId="3BED43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一</w:t>
                  </w:r>
                </w:p>
              </w:tc>
              <w:tc>
                <w:tcPr>
                  <w:tcW w:w="877" w:type="pct"/>
                  <w:tcBorders>
                    <w:top w:val="single" w:color="auto" w:sz="4" w:space="0"/>
                    <w:left w:val="single" w:color="auto" w:sz="4" w:space="0"/>
                    <w:bottom w:val="single" w:color="auto" w:sz="4" w:space="0"/>
                    <w:right w:val="single" w:color="auto" w:sz="4" w:space="0"/>
                    <w:tl2br w:val="nil"/>
                    <w:tr2bl w:val="nil"/>
                  </w:tcBorders>
                  <w:noWrap/>
                  <w:vAlign w:val="center"/>
                </w:tcPr>
                <w:p w14:paraId="423B72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二</w:t>
                  </w:r>
                </w:p>
              </w:tc>
              <w:tc>
                <w:tcPr>
                  <w:tcW w:w="939" w:type="pct"/>
                  <w:tcBorders>
                    <w:top w:val="single" w:color="auto" w:sz="4" w:space="0"/>
                    <w:left w:val="single" w:color="auto" w:sz="4" w:space="0"/>
                    <w:bottom w:val="single" w:color="auto" w:sz="4" w:space="0"/>
                    <w:right w:val="single" w:color="auto" w:sz="4" w:space="0"/>
                    <w:tl2br w:val="nil"/>
                    <w:tr2bl w:val="nil"/>
                  </w:tcBorders>
                  <w:noWrap/>
                  <w:vAlign w:val="center"/>
                </w:tcPr>
                <w:p w14:paraId="06E017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w:t>
                  </w:r>
                </w:p>
              </w:tc>
              <w:tc>
                <w:tcPr>
                  <w:tcW w:w="1362" w:type="pct"/>
                  <w:tcBorders>
                    <w:top w:val="single" w:color="auto" w:sz="4" w:space="0"/>
                    <w:left w:val="single" w:color="auto" w:sz="4" w:space="0"/>
                    <w:bottom w:val="single" w:color="auto" w:sz="4" w:space="0"/>
                    <w:right w:val="single" w:color="auto" w:sz="4" w:space="0"/>
                    <w:tl2br w:val="nil"/>
                    <w:tr2bl w:val="nil"/>
                  </w:tcBorders>
                  <w:noWrap/>
                  <w:vAlign w:val="center"/>
                </w:tcPr>
                <w:p w14:paraId="595660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简单分析a</w:t>
                  </w:r>
                </w:p>
              </w:tc>
            </w:tr>
            <w:tr w14:paraId="773D4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5000" w:type="pct"/>
                  <w:gridSpan w:val="5"/>
                  <w:tcBorders>
                    <w:top w:val="single" w:color="auto" w:sz="4" w:space="0"/>
                    <w:left w:val="single" w:color="auto" w:sz="4" w:space="0"/>
                    <w:bottom w:val="single" w:color="auto" w:sz="4" w:space="0"/>
                    <w:right w:val="single" w:color="auto" w:sz="4" w:space="0"/>
                    <w:tl2br w:val="nil"/>
                    <w:tr2bl w:val="nil"/>
                  </w:tcBorders>
                  <w:noWrap/>
                  <w:vAlign w:val="center"/>
                </w:tcPr>
                <w:p w14:paraId="17BD9E8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a 是相对于详细评价工作内容而言，在描述危险物质、环境影响途径、环境危害后果、风险防范措施等方面给出定性的说明，详见《建设项目环境风险评价技术导则》（HJ169-2018）附录A。</w:t>
                  </w:r>
                </w:p>
              </w:tc>
            </w:tr>
          </w:tbl>
          <w:p w14:paraId="4D8DFB3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环境风险</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物质识别</w:t>
            </w:r>
          </w:p>
          <w:p w14:paraId="476941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本项目涉及的环境风险物质主要为检验室检测试剂和检验室检验废液。</w:t>
            </w:r>
          </w:p>
          <w:p w14:paraId="06A2870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）计算</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危险物质数量与临界量比值（Q）</w:t>
            </w:r>
          </w:p>
          <w:p w14:paraId="3FE21E7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计算所涉及的每种危险物质在厂界内的最大存在总量与其在《建设项目环境风险评价技术导则》（HJ169-2018）附录B中对应临界量的比值Q。在不同厂区的每一种物质，按其在厂界内的最大存在总量计算。</w:t>
            </w:r>
          </w:p>
          <w:p w14:paraId="715A137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当只涉及一种危险物质时，计算该物质的总量与其临界量比值，即为Q；</w:t>
            </w:r>
          </w:p>
          <w:p w14:paraId="3DCEA5E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当存在多种危险物质时，则按下式计算物质总量与其临界量比值（Q）：</w:t>
            </w:r>
          </w:p>
          <w:p w14:paraId="3DF57DF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drawing>
                <wp:inline distT="0" distB="0" distL="114300" distR="114300">
                  <wp:extent cx="1385570" cy="427355"/>
                  <wp:effectExtent l="0" t="0" r="0" b="12065"/>
                  <wp:docPr id="19"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87"/>
                          <pic:cNvPicPr>
                            <a:picLocks noChangeAspect="1"/>
                          </pic:cNvPicPr>
                        </pic:nvPicPr>
                        <pic:blipFill>
                          <a:blip r:embed="rId19"/>
                          <a:stretch>
                            <a:fillRect/>
                          </a:stretch>
                        </pic:blipFill>
                        <pic:spPr>
                          <a:xfrm>
                            <a:off x="0" y="0"/>
                            <a:ext cx="1385570" cy="427355"/>
                          </a:xfrm>
                          <a:prstGeom prst="rect">
                            <a:avLst/>
                          </a:prstGeom>
                          <a:noFill/>
                          <a:ln>
                            <a:noFill/>
                          </a:ln>
                        </pic:spPr>
                      </pic:pic>
                    </a:graphicData>
                  </a:graphic>
                </wp:inline>
              </w:drawing>
            </w:r>
          </w:p>
          <w:p w14:paraId="6AC0506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w:t>
            </w:r>
            <w:r>
              <w:rPr>
                <w:rFonts w:hint="default" w:ascii="Times New Roman" w:hAnsi="Times New Roman" w:eastAsia="宋体" w:cs="Times New Roman"/>
                <w:color w:val="000000" w:themeColor="text1"/>
                <w:sz w:val="24"/>
                <w:szCs w:val="24"/>
                <w:highlight w:val="none"/>
                <w14:textFill>
                  <w14:solidFill>
                    <w14:schemeClr w14:val="tx1"/>
                  </w14:solidFill>
                </w14:textFill>
              </w:rPr>
              <w:drawing>
                <wp:inline distT="0" distB="0" distL="114300" distR="114300">
                  <wp:extent cx="723900" cy="227965"/>
                  <wp:effectExtent l="0" t="0" r="0" b="63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20"/>
                          <a:stretch>
                            <a:fillRect/>
                          </a:stretch>
                        </pic:blipFill>
                        <pic:spPr>
                          <a:xfrm>
                            <a:off x="0" y="0"/>
                            <a:ext cx="723900" cy="227965"/>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14:textFill>
                  <w14:solidFill>
                    <w14:schemeClr w14:val="tx1"/>
                  </w14:solidFill>
                </w14:textFill>
              </w:rPr>
              <w:t>——每种危险物质的最大存在总量，t；</w:t>
            </w:r>
          </w:p>
          <w:p w14:paraId="688CF30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drawing>
                <wp:inline distT="0" distB="0" distL="114300" distR="114300">
                  <wp:extent cx="787400" cy="227965"/>
                  <wp:effectExtent l="0" t="0" r="12700" b="635"/>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21"/>
                          <a:stretch>
                            <a:fillRect/>
                          </a:stretch>
                        </pic:blipFill>
                        <pic:spPr>
                          <a:xfrm>
                            <a:off x="0" y="0"/>
                            <a:ext cx="787400" cy="227965"/>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14:textFill>
                  <w14:solidFill>
                    <w14:schemeClr w14:val="tx1"/>
                  </w14:solidFill>
                </w14:textFill>
              </w:rPr>
              <w:t>——每种危险物质的的临界量，t。</w:t>
            </w:r>
          </w:p>
          <w:p w14:paraId="7C763DB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当Q＜1时，该项目环境风险  潜势为Ⅰ。</w:t>
            </w:r>
          </w:p>
          <w:p w14:paraId="3E590F8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当Q≥1时，将Q值划分为：（1）1≤Q＜10；（2）10≤Q＜100；（3）Q≥100。</w:t>
            </w:r>
          </w:p>
          <w:p w14:paraId="2C79C51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本项目项目涉及的危险物质主要为检验室试剂及检验室废液。计算结果见下表。</w:t>
            </w:r>
          </w:p>
          <w:p w14:paraId="0F8BEE57">
            <w:pPr>
              <w:autoSpaceDE w:val="0"/>
              <w:autoSpaceDN w:val="0"/>
              <w:adjustRightInd w:val="0"/>
              <w:snapToGrid w:val="0"/>
              <w:spacing w:beforeLines="0" w:afterLines="0"/>
              <w:ind w:firstLine="482" w:firstLineChars="200"/>
              <w:jc w:val="center"/>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19</w:t>
            </w:r>
            <w:r>
              <w:rPr>
                <w:rFonts w:hint="default" w:ascii="Times New Roman" w:hAnsi="Times New Roman" w:eastAsia="宋体" w:cs="Times New Roman"/>
                <w:b/>
                <w:color w:val="000000" w:themeColor="text1"/>
                <w:sz w:val="24"/>
                <w:szCs w:val="24"/>
                <w14:textFill>
                  <w14:solidFill>
                    <w14:schemeClr w14:val="tx1"/>
                  </w14:solidFill>
                </w14:textFill>
              </w:rPr>
              <w:t xml:space="preserve"> 重大危险源辨识表</w:t>
            </w:r>
          </w:p>
          <w:tbl>
            <w:tblPr>
              <w:tblStyle w:val="13"/>
              <w:tblW w:w="826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470"/>
              <w:gridCol w:w="1437"/>
              <w:gridCol w:w="2178"/>
              <w:gridCol w:w="1153"/>
              <w:gridCol w:w="1377"/>
            </w:tblGrid>
            <w:tr w14:paraId="67B3E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12" w:space="0"/>
                    <w:left w:val="nil"/>
                    <w:bottom w:val="single" w:color="auto" w:sz="4" w:space="0"/>
                    <w:right w:val="single" w:color="auto" w:sz="4" w:space="0"/>
                    <w:tl2br w:val="nil"/>
                    <w:tr2bl w:val="nil"/>
                  </w:tcBorders>
                  <w:noWrap w:val="0"/>
                  <w:vAlign w:val="center"/>
                </w:tcPr>
                <w:p w14:paraId="551EED0A">
                  <w:pPr>
                    <w:spacing w:beforeLines="0" w:afterLine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序号</w:t>
                  </w:r>
                </w:p>
              </w:tc>
              <w:tc>
                <w:tcPr>
                  <w:tcW w:w="1470"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51BF980">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风险</w:t>
                  </w:r>
                  <w:r>
                    <w:rPr>
                      <w:rFonts w:hint="default" w:ascii="Times New Roman" w:hAnsi="Times New Roman" w:eastAsia="宋体" w:cs="Times New Roman"/>
                      <w:color w:val="FF0000"/>
                      <w:sz w:val="21"/>
                      <w:szCs w:val="21"/>
                    </w:rPr>
                    <w:t>物质</w:t>
                  </w:r>
                  <w:r>
                    <w:rPr>
                      <w:rFonts w:hint="default" w:ascii="Times New Roman" w:hAnsi="Times New Roman" w:eastAsia="宋体" w:cs="Times New Roman"/>
                      <w:color w:val="FF0000"/>
                      <w:sz w:val="21"/>
                      <w:szCs w:val="21"/>
                      <w:lang w:eastAsia="zh-CN"/>
                    </w:rPr>
                    <w:t>存放位置</w:t>
                  </w:r>
                </w:p>
              </w:tc>
              <w:tc>
                <w:tcPr>
                  <w:tcW w:w="1437"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9A283BB">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风险物质名称</w:t>
                  </w:r>
                </w:p>
              </w:tc>
              <w:tc>
                <w:tcPr>
                  <w:tcW w:w="2178"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12C559C8">
                  <w:pPr>
                    <w:spacing w:beforeLines="0" w:afterLine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最大存在总量（t）</w:t>
                  </w:r>
                </w:p>
              </w:tc>
              <w:tc>
                <w:tcPr>
                  <w:tcW w:w="1153" w:type="dxa"/>
                  <w:tcBorders>
                    <w:top w:val="single" w:color="auto" w:sz="12" w:space="0"/>
                    <w:left w:val="single" w:color="auto" w:sz="4" w:space="0"/>
                    <w:bottom w:val="single" w:color="auto" w:sz="4" w:space="0"/>
                    <w:right w:val="single" w:color="auto" w:sz="4" w:space="0"/>
                    <w:tl2br w:val="nil"/>
                    <w:tr2bl w:val="nil"/>
                  </w:tcBorders>
                  <w:noWrap w:val="0"/>
                  <w:vAlign w:val="center"/>
                </w:tcPr>
                <w:p w14:paraId="654C1B3E">
                  <w:pPr>
                    <w:spacing w:beforeLines="0" w:afterLine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临界值（t）</w:t>
                  </w:r>
                </w:p>
              </w:tc>
              <w:tc>
                <w:tcPr>
                  <w:tcW w:w="1377" w:type="dxa"/>
                  <w:tcBorders>
                    <w:top w:val="single" w:color="auto" w:sz="12" w:space="0"/>
                    <w:left w:val="single" w:color="auto" w:sz="4" w:space="0"/>
                    <w:bottom w:val="single" w:color="auto" w:sz="4" w:space="0"/>
                    <w:right w:val="nil"/>
                    <w:tl2br w:val="nil"/>
                    <w:tr2bl w:val="nil"/>
                  </w:tcBorders>
                  <w:noWrap w:val="0"/>
                  <w:vAlign w:val="center"/>
                </w:tcPr>
                <w:p w14:paraId="7B77ACF7">
                  <w:pPr>
                    <w:spacing w:beforeLines="0" w:afterLine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Q值</w:t>
                  </w:r>
                </w:p>
              </w:tc>
            </w:tr>
            <w:tr w14:paraId="691AE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4" w:space="0"/>
                    <w:left w:val="nil"/>
                    <w:bottom w:val="single" w:color="auto" w:sz="4" w:space="0"/>
                    <w:right w:val="single" w:color="auto" w:sz="4" w:space="0"/>
                    <w:tl2br w:val="nil"/>
                    <w:tr2bl w:val="nil"/>
                  </w:tcBorders>
                  <w:noWrap w:val="0"/>
                  <w:vAlign w:val="center"/>
                </w:tcPr>
                <w:p w14:paraId="6E0E1551">
                  <w:pPr>
                    <w:spacing w:beforeLines="0" w:afterLine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w:t>
                  </w:r>
                </w:p>
              </w:tc>
              <w:tc>
                <w:tcPr>
                  <w:tcW w:w="1470" w:type="dxa"/>
                  <w:vMerge w:val="restart"/>
                  <w:tcBorders>
                    <w:top w:val="single" w:color="auto" w:sz="4" w:space="0"/>
                    <w:left w:val="single" w:color="auto" w:sz="4" w:space="0"/>
                    <w:right w:val="single" w:color="auto" w:sz="4" w:space="0"/>
                    <w:tl2br w:val="nil"/>
                    <w:tr2bl w:val="nil"/>
                  </w:tcBorders>
                  <w:noWrap w:val="0"/>
                  <w:vAlign w:val="center"/>
                </w:tcPr>
                <w:p w14:paraId="7A19D691">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检验室</w:t>
                  </w:r>
                </w:p>
              </w:tc>
              <w:tc>
                <w:tcPr>
                  <w:tcW w:w="143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C76E67B">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冰乙酸</w:t>
                  </w:r>
                </w:p>
              </w:tc>
              <w:tc>
                <w:tcPr>
                  <w:tcW w:w="21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B294F8">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0.00168</w:t>
                  </w:r>
                </w:p>
              </w:tc>
              <w:tc>
                <w:tcPr>
                  <w:tcW w:w="11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02052F">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w:t>
                  </w:r>
                </w:p>
              </w:tc>
              <w:tc>
                <w:tcPr>
                  <w:tcW w:w="1377" w:type="dxa"/>
                  <w:tcBorders>
                    <w:top w:val="single" w:color="auto" w:sz="4" w:space="0"/>
                    <w:left w:val="single" w:color="auto" w:sz="4" w:space="0"/>
                    <w:bottom w:val="single" w:color="auto" w:sz="4" w:space="0"/>
                    <w:right w:val="nil"/>
                    <w:tl2br w:val="nil"/>
                    <w:tr2bl w:val="nil"/>
                  </w:tcBorders>
                  <w:noWrap w:val="0"/>
                  <w:vAlign w:val="center"/>
                </w:tcPr>
                <w:p w14:paraId="462EF1DA">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0.000168</w:t>
                  </w:r>
                </w:p>
              </w:tc>
            </w:tr>
            <w:tr w14:paraId="4231D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4" w:space="0"/>
                    <w:left w:val="nil"/>
                    <w:bottom w:val="single" w:color="auto" w:sz="4" w:space="0"/>
                    <w:right w:val="single" w:color="auto" w:sz="4" w:space="0"/>
                    <w:tl2br w:val="nil"/>
                    <w:tr2bl w:val="nil"/>
                  </w:tcBorders>
                  <w:noWrap w:val="0"/>
                  <w:vAlign w:val="center"/>
                </w:tcPr>
                <w:p w14:paraId="2D00E388">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w:t>
                  </w:r>
                </w:p>
              </w:tc>
              <w:tc>
                <w:tcPr>
                  <w:tcW w:w="1470" w:type="dxa"/>
                  <w:vMerge w:val="continue"/>
                  <w:tcBorders>
                    <w:left w:val="single" w:color="auto" w:sz="4" w:space="0"/>
                    <w:right w:val="single" w:color="auto" w:sz="4" w:space="0"/>
                    <w:tl2br w:val="nil"/>
                    <w:tr2bl w:val="nil"/>
                  </w:tcBorders>
                  <w:noWrap w:val="0"/>
                  <w:vAlign w:val="center"/>
                </w:tcPr>
                <w:p w14:paraId="5DA24785">
                  <w:pPr>
                    <w:spacing w:beforeLines="0" w:afterLines="0"/>
                    <w:jc w:val="center"/>
                    <w:rPr>
                      <w:rFonts w:hint="default" w:ascii="Times New Roman" w:hAnsi="Times New Roman" w:eastAsia="宋体" w:cs="Times New Roman"/>
                      <w:color w:val="FF0000"/>
                      <w:sz w:val="21"/>
                      <w:szCs w:val="21"/>
                      <w:lang w:eastAsia="zh-CN"/>
                    </w:rPr>
                  </w:pPr>
                </w:p>
              </w:tc>
              <w:tc>
                <w:tcPr>
                  <w:tcW w:w="143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9E12FE">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乙醇</w:t>
                  </w:r>
                </w:p>
              </w:tc>
              <w:tc>
                <w:tcPr>
                  <w:tcW w:w="21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34E47A">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0.0008</w:t>
                  </w:r>
                </w:p>
              </w:tc>
              <w:tc>
                <w:tcPr>
                  <w:tcW w:w="11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88486C">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500</w:t>
                  </w:r>
                </w:p>
              </w:tc>
              <w:tc>
                <w:tcPr>
                  <w:tcW w:w="1377" w:type="dxa"/>
                  <w:tcBorders>
                    <w:top w:val="single" w:color="auto" w:sz="4" w:space="0"/>
                    <w:left w:val="single" w:color="auto" w:sz="4" w:space="0"/>
                    <w:bottom w:val="single" w:color="auto" w:sz="4" w:space="0"/>
                    <w:right w:val="nil"/>
                    <w:tl2br w:val="nil"/>
                    <w:tr2bl w:val="nil"/>
                  </w:tcBorders>
                  <w:noWrap w:val="0"/>
                  <w:vAlign w:val="center"/>
                </w:tcPr>
                <w:p w14:paraId="57860403">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0.0000016</w:t>
                  </w:r>
                </w:p>
              </w:tc>
            </w:tr>
            <w:tr w14:paraId="089F1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4" w:space="0"/>
                    <w:left w:val="nil"/>
                    <w:bottom w:val="single" w:color="auto" w:sz="4" w:space="0"/>
                    <w:right w:val="single" w:color="auto" w:sz="4" w:space="0"/>
                    <w:tl2br w:val="nil"/>
                    <w:tr2bl w:val="nil"/>
                  </w:tcBorders>
                  <w:noWrap w:val="0"/>
                  <w:vAlign w:val="center"/>
                </w:tcPr>
                <w:p w14:paraId="29A41FFE">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w:t>
                  </w:r>
                </w:p>
              </w:tc>
              <w:tc>
                <w:tcPr>
                  <w:tcW w:w="1470" w:type="dxa"/>
                  <w:vMerge w:val="continue"/>
                  <w:tcBorders>
                    <w:left w:val="single" w:color="auto" w:sz="4" w:space="0"/>
                    <w:bottom w:val="single" w:color="auto" w:sz="4" w:space="0"/>
                    <w:right w:val="single" w:color="auto" w:sz="4" w:space="0"/>
                    <w:tl2br w:val="nil"/>
                    <w:tr2bl w:val="nil"/>
                  </w:tcBorders>
                  <w:noWrap w:val="0"/>
                  <w:vAlign w:val="center"/>
                </w:tcPr>
                <w:p w14:paraId="0423AD10">
                  <w:pPr>
                    <w:spacing w:beforeLines="0" w:afterLines="0"/>
                    <w:jc w:val="center"/>
                    <w:rPr>
                      <w:rFonts w:hint="default" w:ascii="Times New Roman" w:hAnsi="Times New Roman" w:eastAsia="宋体" w:cs="Times New Roman"/>
                      <w:color w:val="FF0000"/>
                      <w:sz w:val="21"/>
                      <w:szCs w:val="21"/>
                      <w:lang w:eastAsia="zh-CN"/>
                    </w:rPr>
                  </w:pPr>
                </w:p>
              </w:tc>
              <w:tc>
                <w:tcPr>
                  <w:tcW w:w="143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E6FB98">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石油醚</w:t>
                  </w:r>
                </w:p>
              </w:tc>
              <w:tc>
                <w:tcPr>
                  <w:tcW w:w="21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B9BFA2">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0.00012</w:t>
                  </w:r>
                </w:p>
              </w:tc>
              <w:tc>
                <w:tcPr>
                  <w:tcW w:w="11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D115A3">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w:t>
                  </w:r>
                </w:p>
              </w:tc>
              <w:tc>
                <w:tcPr>
                  <w:tcW w:w="1377" w:type="dxa"/>
                  <w:tcBorders>
                    <w:top w:val="single" w:color="auto" w:sz="4" w:space="0"/>
                    <w:left w:val="single" w:color="auto" w:sz="4" w:space="0"/>
                    <w:bottom w:val="single" w:color="auto" w:sz="4" w:space="0"/>
                    <w:right w:val="nil"/>
                    <w:tl2br w:val="nil"/>
                    <w:tr2bl w:val="nil"/>
                  </w:tcBorders>
                  <w:noWrap w:val="0"/>
                  <w:vAlign w:val="center"/>
                </w:tcPr>
                <w:p w14:paraId="7637104E">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0.000012</w:t>
                  </w:r>
                </w:p>
              </w:tc>
            </w:tr>
            <w:tr w14:paraId="7703D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4" w:space="0"/>
                    <w:left w:val="nil"/>
                    <w:bottom w:val="single" w:color="auto" w:sz="4" w:space="0"/>
                    <w:right w:val="single" w:color="auto" w:sz="4" w:space="0"/>
                    <w:tl2br w:val="nil"/>
                    <w:tr2bl w:val="nil"/>
                  </w:tcBorders>
                  <w:noWrap w:val="0"/>
                  <w:vAlign w:val="center"/>
                </w:tcPr>
                <w:p w14:paraId="25E23B0E">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w:t>
                  </w:r>
                </w:p>
              </w:tc>
              <w:tc>
                <w:tcPr>
                  <w:tcW w:w="14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97AA467">
                  <w:pPr>
                    <w:spacing w:beforeLines="0" w:afterLines="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危废间</w:t>
                  </w:r>
                </w:p>
              </w:tc>
              <w:tc>
                <w:tcPr>
                  <w:tcW w:w="143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13703D">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检验室废液</w:t>
                  </w:r>
                </w:p>
              </w:tc>
              <w:tc>
                <w:tcPr>
                  <w:tcW w:w="2178"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544582F">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w:t>
                  </w:r>
                </w:p>
              </w:tc>
              <w:tc>
                <w:tcPr>
                  <w:tcW w:w="115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E199C5">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50</w:t>
                  </w:r>
                </w:p>
              </w:tc>
              <w:tc>
                <w:tcPr>
                  <w:tcW w:w="1377" w:type="dxa"/>
                  <w:tcBorders>
                    <w:top w:val="single" w:color="auto" w:sz="4" w:space="0"/>
                    <w:left w:val="single" w:color="auto" w:sz="4" w:space="0"/>
                    <w:bottom w:val="single" w:color="auto" w:sz="4" w:space="0"/>
                    <w:right w:val="nil"/>
                    <w:tl2br w:val="nil"/>
                    <w:tr2bl w:val="nil"/>
                  </w:tcBorders>
                  <w:noWrap w:val="0"/>
                  <w:vAlign w:val="center"/>
                </w:tcPr>
                <w:p w14:paraId="1264BF7C">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w:t>
                  </w:r>
                </w:p>
              </w:tc>
            </w:tr>
            <w:tr w14:paraId="0EE0A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84" w:type="dxa"/>
                  <w:gridSpan w:val="5"/>
                  <w:tcBorders>
                    <w:top w:val="single" w:color="auto" w:sz="4" w:space="0"/>
                    <w:left w:val="nil"/>
                    <w:bottom w:val="single" w:color="auto" w:sz="12" w:space="0"/>
                    <w:right w:val="single" w:color="auto" w:sz="4" w:space="0"/>
                    <w:tl2br w:val="nil"/>
                    <w:tr2bl w:val="nil"/>
                  </w:tcBorders>
                  <w:noWrap w:val="0"/>
                  <w:vAlign w:val="center"/>
                </w:tcPr>
                <w:p w14:paraId="09E9785E">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项目Q值（∑）</w:t>
                  </w:r>
                </w:p>
              </w:tc>
              <w:tc>
                <w:tcPr>
                  <w:tcW w:w="1377" w:type="dxa"/>
                  <w:tcBorders>
                    <w:top w:val="single" w:color="auto" w:sz="4" w:space="0"/>
                    <w:left w:val="single" w:color="auto" w:sz="4" w:space="0"/>
                    <w:bottom w:val="single" w:color="auto" w:sz="12" w:space="0"/>
                    <w:right w:val="nil"/>
                    <w:tl2br w:val="nil"/>
                    <w:tr2bl w:val="nil"/>
                  </w:tcBorders>
                  <w:noWrap w:val="0"/>
                  <w:vAlign w:val="center"/>
                </w:tcPr>
                <w:p w14:paraId="348BA249">
                  <w:pPr>
                    <w:spacing w:beforeLines="0" w:afterLine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0.0201816</w:t>
                  </w:r>
                </w:p>
              </w:tc>
            </w:tr>
          </w:tbl>
          <w:p w14:paraId="6A1331C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根据《建设项目环境风险评价技术导则》（HJ169-2018）计算，本项目Q＜1，本项目环境风险潜势为Ⅰ，本项目风险评价仅进行简要分析。</w:t>
            </w:r>
          </w:p>
          <w:p w14:paraId="6B9E661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2、环境风险分析</w:t>
            </w:r>
          </w:p>
          <w:p w14:paraId="48BCEF3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本项目存在的环境风险包括环境风险物质及危险废物泄漏、粉尘爆炸风险产生的次生环境风险。</w:t>
            </w:r>
          </w:p>
          <w:p w14:paraId="7A13F7D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风险防范措施</w:t>
            </w:r>
          </w:p>
          <w:p w14:paraId="090F718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①</w:t>
            </w:r>
            <w:r>
              <w:rPr>
                <w:rFonts w:hint="default" w:ascii="Times New Roman" w:hAnsi="Times New Roman" w:eastAsia="宋体" w:cs="Times New Roman"/>
                <w:color w:val="000000" w:themeColor="text1"/>
                <w:sz w:val="24"/>
                <w:szCs w:val="24"/>
                <w:highlight w:val="none"/>
                <w14:textFill>
                  <w14:solidFill>
                    <w14:schemeClr w14:val="tx1"/>
                  </w14:solidFill>
                </w14:textFill>
              </w:rPr>
              <w:t>环境风险物质及危险废物泄漏，并针对上述情形提出以下针对性的风险防范措施</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776CBC9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检验室及危废暂存间地面均需采取防腐防渗措施。</w:t>
            </w:r>
          </w:p>
          <w:p w14:paraId="7827C57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4"/>
                <w:szCs w:val="24"/>
                <w:highlight w:val="none"/>
                <w14:textFill>
                  <w14:solidFill>
                    <w14:schemeClr w14:val="tx1"/>
                  </w14:solidFill>
                </w14:textFill>
              </w:rPr>
              <w:t>检验室各试剂存放于专用化学品储柜中，并加强检验室内通排风，控制室内温度及湿度。</w:t>
            </w:r>
          </w:p>
          <w:p w14:paraId="426BAE3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4"/>
                <w:szCs w:val="24"/>
                <w:highlight w:val="none"/>
                <w14:textFill>
                  <w14:solidFill>
                    <w14:schemeClr w14:val="tx1"/>
                  </w14:solidFill>
                </w14:textFill>
              </w:rPr>
              <w:t>在检验室及危废暂存间附近设置消防沙等吸附物资，加强对泄漏物质的截流和吸附，避免其四处溢流。</w:t>
            </w:r>
          </w:p>
          <w:p w14:paraId="22753E4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4"/>
                <w:szCs w:val="24"/>
                <w:highlight w:val="none"/>
                <w14:textFill>
                  <w14:solidFill>
                    <w14:schemeClr w14:val="tx1"/>
                  </w14:solidFill>
                </w14:textFill>
              </w:rPr>
              <w:t>加强职工培训，提高人员素质，严格检查检验室物品的质量、数量、包装以及有无泄漏。加强人员的管理，严禁火源，对明火严格控制，明火发生源为火柴、打火机等，同时应配备消防灭火器、防毒面具等消防应急设备，并定期检查设备有效性。</w:t>
            </w:r>
          </w:p>
          <w:p w14:paraId="6986295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②</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粉尘爆炸环境风险防范措施：</w:t>
            </w:r>
          </w:p>
          <w:p w14:paraId="4471EEB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控制粉尘浓度。投料(上料)工序减少无组织粉尘的排放，生产车间需配套良好的通风设备，以降低空气中粉尘含量。</w:t>
            </w:r>
          </w:p>
          <w:p w14:paraId="18475FB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4"/>
                <w:szCs w:val="24"/>
                <w:highlight w:val="none"/>
                <w14:textFill>
                  <w14:solidFill>
                    <w14:schemeClr w14:val="tx1"/>
                  </w14:solidFill>
                </w14:textFill>
              </w:rPr>
              <w:t>减少粉尘沉积。应定期及时清理沉积于车间内各角落、设备、管道上的粉尘，使设备外面的粉尘和系统内各部件之间的粉尘减至最少。</w:t>
            </w:r>
          </w:p>
          <w:p w14:paraId="2E82C6A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4"/>
                <w:szCs w:val="24"/>
                <w:highlight w:val="none"/>
                <w14:textFill>
                  <w14:solidFill>
                    <w14:schemeClr w14:val="tx1"/>
                  </w14:solidFill>
                </w14:textFill>
              </w:rPr>
              <w:t>防止电火花和静电放电。和面间的电气设备要按规定选择相应的防爆型设备，电气线路应经常维护和检查。设备接地线必须连接牢靠，有足够的机械强度，否则在松断处可能产生静电火花。</w:t>
            </w:r>
          </w:p>
          <w:p w14:paraId="0BDE173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应急预案</w:t>
            </w:r>
          </w:p>
          <w:p w14:paraId="3A2B8D4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本项目一旦发生环境风险事故，应立即启动应急预案，与区域突发环境事件应急预案实现对接和联动，当风险事故严重时，应联合社会应急组织一起抢险，使事故的范围、损失降至最小。</w:t>
            </w:r>
          </w:p>
          <w:p w14:paraId="5946086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按照《建设项目环境风险评价技术导则》、《关于印发《企业事业单位突发环境事件应急预案备案管理办法（试行）》的通知》（环发【2015】4 号），本次评价提出《环境风险事件应急预案》的原则和总体要求，作为建设单位在项目正式投产前制定《环境风险事件应急预案》的管理、技术依据。</w:t>
            </w:r>
          </w:p>
          <w:p w14:paraId="2025ACD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本项目环境风险应急预案主要内容和要求见下表。</w:t>
            </w:r>
          </w:p>
          <w:p w14:paraId="50D87FE7">
            <w:pPr>
              <w:spacing w:beforeLines="0" w:afterLines="0" w:line="240" w:lineRule="auto"/>
              <w:ind w:firstLine="0" w:firstLineChars="0"/>
              <w:jc w:val="center"/>
              <w:rPr>
                <w:rFonts w:hint="default" w:ascii="Times New Roman" w:hAnsi="Times New Roman" w:eastAsia="宋体" w:cs="Times New Roman"/>
                <w:b/>
                <w:color w:val="000000" w:themeColor="text1"/>
                <w:sz w:val="24"/>
                <w:szCs w:val="24"/>
                <w:lang w:val="zh-CN"/>
                <w14:textFill>
                  <w14:solidFill>
                    <w14:schemeClr w14:val="tx1"/>
                  </w14:solidFill>
                </w14:textFill>
              </w:rPr>
            </w:pPr>
            <w:r>
              <w:rPr>
                <w:rFonts w:hint="default" w:ascii="Times New Roman" w:hAnsi="Times New Roman" w:eastAsia="宋体" w:cs="Times New Roman"/>
                <w:b/>
                <w:color w:val="000000" w:themeColor="text1"/>
                <w:sz w:val="24"/>
                <w:szCs w:val="24"/>
                <w:lang w:val="zh-CN"/>
                <w14:textFill>
                  <w14:solidFill>
                    <w14:schemeClr w14:val="tx1"/>
                  </w14:solidFill>
                </w14:textFill>
              </w:rPr>
              <w:t>表</w:t>
            </w:r>
            <w:r>
              <w:rPr>
                <w:rFonts w:hint="default" w:ascii="Times New Roman" w:hAnsi="Times New Roman" w:eastAsia="宋体" w:cs="Times New Roman"/>
                <w:b/>
                <w:color w:val="000000" w:themeColor="text1"/>
                <w:sz w:val="24"/>
                <w:szCs w:val="24"/>
                <w14:textFill>
                  <w14:solidFill>
                    <w14:schemeClr w14:val="tx1"/>
                  </w14:solidFill>
                </w14:textFill>
              </w:rPr>
              <w:t>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20</w:t>
            </w:r>
            <w:r>
              <w:rPr>
                <w:rFonts w:hint="default" w:ascii="Times New Roman" w:hAnsi="Times New Roman" w:eastAsia="宋体" w:cs="Times New Roman"/>
                <w:b/>
                <w:color w:val="000000" w:themeColor="text1"/>
                <w:sz w:val="24"/>
                <w:szCs w:val="24"/>
                <w14:textFill>
                  <w14:solidFill>
                    <w14:schemeClr w14:val="tx1"/>
                  </w14:solidFill>
                </w14:textFill>
              </w:rPr>
              <w:t xml:space="preserve">  </w:t>
            </w:r>
            <w:r>
              <w:rPr>
                <w:rFonts w:hint="default" w:ascii="Times New Roman" w:hAnsi="Times New Roman" w:eastAsia="宋体" w:cs="Times New Roman"/>
                <w:b/>
                <w:color w:val="000000" w:themeColor="text1"/>
                <w:sz w:val="24"/>
                <w:szCs w:val="24"/>
                <w:lang w:val="zh-CN"/>
                <w14:textFill>
                  <w14:solidFill>
                    <w14:schemeClr w14:val="tx1"/>
                  </w14:solidFill>
                </w14:textFill>
              </w:rPr>
              <w:t>本项目应急预案的主要内容</w:t>
            </w:r>
          </w:p>
          <w:tbl>
            <w:tblPr>
              <w:tblStyle w:val="13"/>
              <w:tblW w:w="805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8"/>
              <w:gridCol w:w="2298"/>
              <w:gridCol w:w="5063"/>
            </w:tblGrid>
            <w:tr w14:paraId="31C70A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12" w:space="0"/>
                    <w:left w:val="nil"/>
                    <w:bottom w:val="single" w:color="auto" w:sz="6" w:space="0"/>
                    <w:right w:val="single" w:color="auto" w:sz="6" w:space="0"/>
                    <w:tl2br w:val="nil"/>
                    <w:tr2bl w:val="nil"/>
                  </w:tcBorders>
                  <w:noWrap w:val="0"/>
                  <w:vAlign w:val="center"/>
                </w:tcPr>
                <w:p w14:paraId="4EA97F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序号</w:t>
                  </w:r>
                </w:p>
              </w:tc>
              <w:tc>
                <w:tcPr>
                  <w:tcW w:w="2298" w:type="dxa"/>
                  <w:tcBorders>
                    <w:top w:val="single" w:color="auto" w:sz="12" w:space="0"/>
                    <w:left w:val="single" w:color="auto" w:sz="6" w:space="0"/>
                    <w:bottom w:val="single" w:color="auto" w:sz="6" w:space="0"/>
                    <w:right w:val="single" w:color="auto" w:sz="6" w:space="0"/>
                    <w:tl2br w:val="nil"/>
                    <w:tr2bl w:val="nil"/>
                  </w:tcBorders>
                  <w:noWrap w:val="0"/>
                  <w:vAlign w:val="center"/>
                </w:tcPr>
                <w:p w14:paraId="7A4123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p>
              </w:tc>
              <w:tc>
                <w:tcPr>
                  <w:tcW w:w="5063" w:type="dxa"/>
                  <w:tcBorders>
                    <w:top w:val="single" w:color="auto" w:sz="12" w:space="0"/>
                    <w:left w:val="single" w:color="auto" w:sz="6" w:space="0"/>
                    <w:bottom w:val="single" w:color="auto" w:sz="6" w:space="0"/>
                    <w:right w:val="nil"/>
                    <w:tl2br w:val="nil"/>
                    <w:tr2bl w:val="nil"/>
                  </w:tcBorders>
                  <w:noWrap w:val="0"/>
                  <w:vAlign w:val="center"/>
                </w:tcPr>
                <w:p w14:paraId="51C147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内容及要求</w:t>
                  </w:r>
                </w:p>
              </w:tc>
            </w:tr>
            <w:tr w14:paraId="65781D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785901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227ED7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应急计划区</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446950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厂区</w:t>
                  </w:r>
                </w:p>
              </w:tc>
            </w:tr>
            <w:tr w14:paraId="2AF62D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1F57B12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D06E1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应急组织机构、人员</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5049F6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应急组织机构、厂领导及操作人员</w:t>
                  </w:r>
                </w:p>
              </w:tc>
            </w:tr>
            <w:tr w14:paraId="4C3789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44293D8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140A2D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预案分级响应条件</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4612C41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规定预案的级别及分别响应程序</w:t>
                  </w:r>
                </w:p>
              </w:tc>
            </w:tr>
            <w:tr w14:paraId="4D0D51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2FE45A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6D1354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应急救援保障</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431BF9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应急设施和器材准备全面</w:t>
                  </w:r>
                </w:p>
              </w:tc>
            </w:tr>
            <w:tr w14:paraId="1AEC5F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16ABF36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1A33BC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报警、通讯联络方式</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6958C7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通过电话等及时通知相关部门</w:t>
                  </w:r>
                </w:p>
              </w:tc>
            </w:tr>
            <w:tr w14:paraId="69ACBB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433D8E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BC89AC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应急环境监测、抢救、救援及控制措施</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553009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由专业队伍负责对事故现场进行侦查监测、对事故性质、参数与后果进行评估，为指挥部门提供决策依据</w:t>
                  </w:r>
                </w:p>
              </w:tc>
            </w:tr>
            <w:tr w14:paraId="297EFC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1EDAAE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49AC85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应急检测、防护措施、</w:t>
                  </w:r>
                </w:p>
                <w:p w14:paraId="1F6DE1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防泄漏措施和器材</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376728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配备各种防护器材</w:t>
                  </w:r>
                </w:p>
              </w:tc>
            </w:tr>
            <w:tr w14:paraId="15FA47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700E2E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6A400E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事故应急救援程序与恢复措施</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0E7F1E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制定应急状态终止程序，对事故现场进行善后和恢复</w:t>
                  </w:r>
                </w:p>
              </w:tc>
            </w:tr>
            <w:tr w14:paraId="43A8FB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698" w:type="dxa"/>
                  <w:tcBorders>
                    <w:top w:val="single" w:color="auto" w:sz="6" w:space="0"/>
                    <w:left w:val="nil"/>
                    <w:bottom w:val="single" w:color="auto" w:sz="6" w:space="0"/>
                    <w:right w:val="single" w:color="auto" w:sz="6" w:space="0"/>
                    <w:tl2br w:val="nil"/>
                    <w:tr2bl w:val="nil"/>
                  </w:tcBorders>
                  <w:noWrap w:val="0"/>
                  <w:vAlign w:val="center"/>
                </w:tcPr>
                <w:p w14:paraId="0C1F6C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w:t>
                  </w:r>
                </w:p>
              </w:tc>
              <w:tc>
                <w:tcPr>
                  <w:tcW w:w="2298" w:type="dxa"/>
                  <w:tcBorders>
                    <w:top w:val="single" w:color="auto" w:sz="6" w:space="0"/>
                    <w:left w:val="single" w:color="auto" w:sz="6" w:space="0"/>
                    <w:bottom w:val="single" w:color="auto" w:sz="6" w:space="0"/>
                    <w:right w:val="single" w:color="auto" w:sz="6" w:space="0"/>
                    <w:tl2br w:val="nil"/>
                    <w:tr2bl w:val="nil"/>
                  </w:tcBorders>
                  <w:noWrap w:val="0"/>
                  <w:vAlign w:val="center"/>
                </w:tcPr>
                <w:p w14:paraId="764FEA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应急培训计划</w:t>
                  </w:r>
                </w:p>
              </w:tc>
              <w:tc>
                <w:tcPr>
                  <w:tcW w:w="5063" w:type="dxa"/>
                  <w:tcBorders>
                    <w:top w:val="single" w:color="auto" w:sz="6" w:space="0"/>
                    <w:left w:val="single" w:color="auto" w:sz="6" w:space="0"/>
                    <w:bottom w:val="single" w:color="auto" w:sz="6" w:space="0"/>
                    <w:right w:val="nil"/>
                    <w:tl2br w:val="nil"/>
                    <w:tr2bl w:val="nil"/>
                  </w:tcBorders>
                  <w:noWrap w:val="0"/>
                  <w:vAlign w:val="center"/>
                </w:tcPr>
                <w:p w14:paraId="7C59E1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安排人员培训与演练</w:t>
                  </w:r>
                </w:p>
              </w:tc>
            </w:tr>
            <w:tr w14:paraId="3F4225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698" w:type="dxa"/>
                  <w:tcBorders>
                    <w:top w:val="single" w:color="auto" w:sz="6" w:space="0"/>
                    <w:left w:val="nil"/>
                    <w:bottom w:val="single" w:color="auto" w:sz="12" w:space="0"/>
                    <w:right w:val="single" w:color="auto" w:sz="6" w:space="0"/>
                    <w:tl2br w:val="nil"/>
                    <w:tr2bl w:val="nil"/>
                  </w:tcBorders>
                  <w:noWrap w:val="0"/>
                  <w:vAlign w:val="center"/>
                </w:tcPr>
                <w:p w14:paraId="5B153E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p>
              </w:tc>
              <w:tc>
                <w:tcPr>
                  <w:tcW w:w="2298" w:type="dxa"/>
                  <w:tcBorders>
                    <w:top w:val="single" w:color="auto" w:sz="6" w:space="0"/>
                    <w:left w:val="single" w:color="auto" w:sz="6" w:space="0"/>
                    <w:bottom w:val="single" w:color="auto" w:sz="12" w:space="0"/>
                    <w:right w:val="single" w:color="auto" w:sz="6" w:space="0"/>
                    <w:tl2br w:val="nil"/>
                    <w:tr2bl w:val="nil"/>
                  </w:tcBorders>
                  <w:noWrap w:val="0"/>
                  <w:vAlign w:val="center"/>
                </w:tcPr>
                <w:p w14:paraId="6C865D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公众教育和信息</w:t>
                  </w:r>
                </w:p>
              </w:tc>
              <w:tc>
                <w:tcPr>
                  <w:tcW w:w="5063" w:type="dxa"/>
                  <w:tcBorders>
                    <w:top w:val="single" w:color="auto" w:sz="6" w:space="0"/>
                    <w:left w:val="single" w:color="auto" w:sz="6" w:space="0"/>
                    <w:bottom w:val="single" w:color="auto" w:sz="12" w:space="0"/>
                    <w:right w:val="nil"/>
                    <w:tl2br w:val="nil"/>
                    <w:tr2bl w:val="nil"/>
                  </w:tcBorders>
                  <w:noWrap w:val="0"/>
                  <w:vAlign w:val="center"/>
                </w:tcPr>
                <w:p w14:paraId="1C0F3A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对附近地区开展公众教育、培训和发布有关信息</w:t>
                  </w:r>
                </w:p>
              </w:tc>
            </w:tr>
          </w:tbl>
          <w:p w14:paraId="0F17D933">
            <w:pPr>
              <w:keepNext w:val="0"/>
              <w:keepLines w:val="0"/>
              <w:pageBreakBefore w:val="0"/>
              <w:widowControl w:val="0"/>
              <w:kinsoku/>
              <w:wordWrap/>
              <w:overflowPunct/>
              <w:topLinePunct w:val="0"/>
              <w:autoSpaceDE/>
              <w:autoSpaceDN/>
              <w:bidi w:val="0"/>
              <w:adjustRightInd/>
              <w:snapToGrid/>
              <w:spacing w:before="157" w:beforeLines="50" w:afterLines="0" w:line="240" w:lineRule="auto"/>
              <w:ind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表4-</w:t>
            </w: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21</w:t>
            </w:r>
            <w:r>
              <w:rPr>
                <w:rFonts w:hint="default" w:ascii="Times New Roman" w:hAnsi="Times New Roman" w:eastAsia="宋体" w:cs="Times New Roman"/>
                <w:b/>
                <w:color w:val="000000" w:themeColor="text1"/>
                <w:sz w:val="24"/>
                <w:szCs w:val="24"/>
                <w14:textFill>
                  <w14:solidFill>
                    <w14:schemeClr w14:val="tx1"/>
                  </w14:solidFill>
                </w14:textFill>
              </w:rPr>
              <w:t xml:space="preserve"> 建设项目环境风险简单分析内容表</w:t>
            </w:r>
          </w:p>
          <w:tbl>
            <w:tblPr>
              <w:tblStyle w:val="13"/>
              <w:tblW w:w="49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46"/>
              <w:gridCol w:w="787"/>
              <w:gridCol w:w="2263"/>
              <w:gridCol w:w="722"/>
              <w:gridCol w:w="2126"/>
            </w:tblGrid>
            <w:tr w14:paraId="2E7CB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12" w:space="0"/>
                    <w:left w:val="nil"/>
                    <w:bottom w:val="single" w:color="auto" w:sz="4" w:space="0"/>
                    <w:right w:val="single" w:color="auto" w:sz="4" w:space="0"/>
                    <w:tl2br w:val="nil"/>
                    <w:tr2bl w:val="nil"/>
                  </w:tcBorders>
                  <w:noWrap w:val="0"/>
                  <w:vAlign w:val="center"/>
                </w:tcPr>
                <w:p w14:paraId="6687FA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建设项目名称</w:t>
                  </w:r>
                </w:p>
              </w:tc>
              <w:tc>
                <w:tcPr>
                  <w:tcW w:w="5899" w:type="dxa"/>
                  <w:gridSpan w:val="4"/>
                  <w:tcBorders>
                    <w:top w:val="single" w:color="auto" w:sz="12" w:space="0"/>
                    <w:left w:val="single" w:color="auto" w:sz="4" w:space="0"/>
                    <w:bottom w:val="single" w:color="auto" w:sz="4" w:space="0"/>
                    <w:right w:val="nil"/>
                    <w:tl2br w:val="nil"/>
                    <w:tr2bl w:val="nil"/>
                  </w:tcBorders>
                  <w:noWrap w:val="0"/>
                  <w:vAlign w:val="center"/>
                </w:tcPr>
                <w:p w14:paraId="00FCBB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双鸭山市嘉程食品加工有限公司建设项目</w:t>
                  </w:r>
                </w:p>
              </w:tc>
            </w:tr>
            <w:tr w14:paraId="44BE1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4" w:space="0"/>
                    <w:left w:val="nil"/>
                    <w:bottom w:val="single" w:color="auto" w:sz="4" w:space="0"/>
                    <w:right w:val="single" w:color="auto" w:sz="4" w:space="0"/>
                    <w:tl2br w:val="nil"/>
                    <w:tr2bl w:val="nil"/>
                  </w:tcBorders>
                  <w:noWrap w:val="0"/>
                  <w:vAlign w:val="center"/>
                </w:tcPr>
                <w:p w14:paraId="27E291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建设地点</w:t>
                  </w:r>
                </w:p>
              </w:tc>
              <w:tc>
                <w:tcPr>
                  <w:tcW w:w="5899" w:type="dxa"/>
                  <w:gridSpan w:val="4"/>
                  <w:tcBorders>
                    <w:top w:val="single" w:color="auto" w:sz="4" w:space="0"/>
                    <w:left w:val="single" w:color="auto" w:sz="4" w:space="0"/>
                    <w:bottom w:val="single" w:color="auto" w:sz="4" w:space="0"/>
                    <w:right w:val="nil"/>
                    <w:tl2br w:val="nil"/>
                    <w:tr2bl w:val="nil"/>
                  </w:tcBorders>
                  <w:noWrap w:val="0"/>
                  <w:vAlign w:val="center"/>
                </w:tcPr>
                <w:p w14:paraId="7BF5C2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黑龙江省双鸭山市岭东区青山路933号</w:t>
                  </w:r>
                </w:p>
              </w:tc>
            </w:tr>
            <w:tr w14:paraId="7F7C9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4" w:space="0"/>
                    <w:left w:val="nil"/>
                    <w:bottom w:val="single" w:color="auto" w:sz="4" w:space="0"/>
                    <w:right w:val="single" w:color="auto" w:sz="4" w:space="0"/>
                    <w:tl2br w:val="nil"/>
                    <w:tr2bl w:val="nil"/>
                  </w:tcBorders>
                  <w:noWrap w:val="0"/>
                  <w:vAlign w:val="center"/>
                </w:tcPr>
                <w:p w14:paraId="3E6E66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地理坐标</w:t>
                  </w:r>
                </w:p>
              </w:tc>
              <w:tc>
                <w:tcPr>
                  <w:tcW w:w="78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D69B9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经度</w:t>
                  </w:r>
                </w:p>
              </w:tc>
              <w:tc>
                <w:tcPr>
                  <w:tcW w:w="226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7A863A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131度8分46.018秒</w:t>
                  </w:r>
                </w:p>
              </w:tc>
              <w:tc>
                <w:tcPr>
                  <w:tcW w:w="72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DEB6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纬度</w:t>
                  </w:r>
                </w:p>
              </w:tc>
              <w:tc>
                <w:tcPr>
                  <w:tcW w:w="2126" w:type="dxa"/>
                  <w:tcBorders>
                    <w:top w:val="single" w:color="auto" w:sz="4" w:space="0"/>
                    <w:left w:val="single" w:color="auto" w:sz="4" w:space="0"/>
                    <w:bottom w:val="single" w:color="auto" w:sz="4" w:space="0"/>
                    <w:right w:val="nil"/>
                    <w:tl2br w:val="nil"/>
                    <w:tr2bl w:val="nil"/>
                  </w:tcBorders>
                  <w:noWrap w:val="0"/>
                  <w:vAlign w:val="center"/>
                </w:tcPr>
                <w:p w14:paraId="01C216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46度33分2.295秒</w:t>
                  </w:r>
                </w:p>
              </w:tc>
            </w:tr>
            <w:tr w14:paraId="652A6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4" w:space="0"/>
                    <w:left w:val="nil"/>
                    <w:bottom w:val="single" w:color="auto" w:sz="4" w:space="0"/>
                    <w:right w:val="single" w:color="auto" w:sz="4" w:space="0"/>
                    <w:tl2br w:val="nil"/>
                    <w:tr2bl w:val="nil"/>
                  </w:tcBorders>
                  <w:noWrap w:val="0"/>
                  <w:vAlign w:val="center"/>
                </w:tcPr>
                <w:p w14:paraId="67EF24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主要危险物质及分布</w:t>
                  </w:r>
                </w:p>
              </w:tc>
              <w:tc>
                <w:tcPr>
                  <w:tcW w:w="5899" w:type="dxa"/>
                  <w:gridSpan w:val="4"/>
                  <w:tcBorders>
                    <w:top w:val="single" w:color="auto" w:sz="4" w:space="0"/>
                    <w:left w:val="single" w:color="auto" w:sz="4" w:space="0"/>
                    <w:bottom w:val="single" w:color="auto" w:sz="4" w:space="0"/>
                    <w:right w:val="nil"/>
                    <w:tl2br w:val="nil"/>
                    <w:tr2bl w:val="nil"/>
                  </w:tcBorders>
                  <w:noWrap w:val="0"/>
                  <w:vAlign w:val="center"/>
                </w:tcPr>
                <w:p w14:paraId="151B30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检验室试剂及检验室废液；</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检验室、危险废物暂存间</w:t>
                  </w:r>
                </w:p>
              </w:tc>
            </w:tr>
            <w:tr w14:paraId="4D989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4" w:space="0"/>
                    <w:left w:val="nil"/>
                    <w:bottom w:val="single" w:color="auto" w:sz="4" w:space="0"/>
                    <w:right w:val="single" w:color="auto" w:sz="4" w:space="0"/>
                    <w:tl2br w:val="nil"/>
                    <w:tr2bl w:val="nil"/>
                  </w:tcBorders>
                  <w:noWrap w:val="0"/>
                  <w:vAlign w:val="center"/>
                </w:tcPr>
                <w:p w14:paraId="6E3A2A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环境影响途径及危害后果（大气、地表水、地下水等）</w:t>
                  </w:r>
                </w:p>
              </w:tc>
              <w:tc>
                <w:tcPr>
                  <w:tcW w:w="5899" w:type="dxa"/>
                  <w:gridSpan w:val="4"/>
                  <w:tcBorders>
                    <w:top w:val="single" w:color="auto" w:sz="4" w:space="0"/>
                    <w:left w:val="single" w:color="auto" w:sz="4" w:space="0"/>
                    <w:bottom w:val="single" w:color="auto" w:sz="4" w:space="0"/>
                    <w:right w:val="nil"/>
                    <w:tl2br w:val="nil"/>
                    <w:tr2bl w:val="nil"/>
                  </w:tcBorders>
                  <w:noWrap w:val="0"/>
                  <w:vAlign w:val="center"/>
                </w:tcPr>
                <w:p w14:paraId="268B4A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环境风险物质及危险废物泄漏、粉尘爆炸等，有害物质进入大气、地表水体、土壤、地下水，从而对环境造成危害。</w:t>
                  </w:r>
                </w:p>
              </w:tc>
            </w:tr>
            <w:tr w14:paraId="7EAE1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47" w:type="dxa"/>
                  <w:tcBorders>
                    <w:top w:val="single" w:color="auto" w:sz="4" w:space="0"/>
                    <w:left w:val="nil"/>
                    <w:bottom w:val="single" w:color="auto" w:sz="4" w:space="0"/>
                    <w:right w:val="single" w:color="auto" w:sz="4" w:space="0"/>
                    <w:tl2br w:val="nil"/>
                    <w:tr2bl w:val="nil"/>
                  </w:tcBorders>
                  <w:noWrap w:val="0"/>
                  <w:vAlign w:val="center"/>
                </w:tcPr>
                <w:p w14:paraId="306163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风险防范措施要求</w:t>
                  </w:r>
                </w:p>
              </w:tc>
              <w:tc>
                <w:tcPr>
                  <w:tcW w:w="5899" w:type="dxa"/>
                  <w:gridSpan w:val="4"/>
                  <w:tcBorders>
                    <w:top w:val="single" w:color="auto" w:sz="4" w:space="0"/>
                    <w:left w:val="single" w:color="auto" w:sz="4" w:space="0"/>
                    <w:bottom w:val="single" w:color="auto" w:sz="4" w:space="0"/>
                    <w:right w:val="nil"/>
                    <w:tl2br w:val="nil"/>
                    <w:tr2bl w:val="nil"/>
                  </w:tcBorders>
                  <w:noWrap w:val="0"/>
                  <w:vAlign w:val="center"/>
                </w:tcPr>
                <w:p w14:paraId="76823B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制定环境风险应急预案。</w:t>
                  </w:r>
                </w:p>
              </w:tc>
            </w:tr>
            <w:tr w14:paraId="23124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246" w:type="dxa"/>
                  <w:gridSpan w:val="5"/>
                  <w:tcBorders>
                    <w:top w:val="single" w:color="auto" w:sz="4" w:space="0"/>
                    <w:left w:val="nil"/>
                    <w:bottom w:val="single" w:color="auto" w:sz="12" w:space="0"/>
                    <w:right w:val="nil"/>
                    <w:tl2br w:val="nil"/>
                    <w:tr2bl w:val="nil"/>
                  </w:tcBorders>
                  <w:noWrap w:val="0"/>
                  <w:vAlign w:val="top"/>
                </w:tcPr>
                <w:p w14:paraId="290489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填表说明（列出项目相关信息及评价说明）：</w:t>
                  </w:r>
                </w:p>
                <w:p w14:paraId="14056D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本项目危险物质数量与临界量比值</w:t>
                  </w:r>
                  <w:r>
                    <w:rPr>
                      <w:rFonts w:hint="default" w:ascii="Times New Roman" w:hAnsi="Times New Roman" w:eastAsia="宋体" w:cs="Times New Roman"/>
                      <w:color w:val="FF0000"/>
                      <w:sz w:val="21"/>
                      <w:szCs w:val="21"/>
                      <w:highlight w:val="none"/>
                      <w:lang w:val="en-US" w:eastAsia="zh-CN"/>
                    </w:rPr>
                    <w:t>Q为0.0201816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Q＜1，危险物质存储量较少远低于其临界量，不构成重大风险源，本项目环境风险评价等级为简单分析，根据建设项目环境风险评价技术导则》（HJ169-218）要求，进行了风险识别、风险分析，提出了风险防范措施和应急要求。</w:t>
                  </w:r>
                </w:p>
              </w:tc>
            </w:tr>
          </w:tbl>
          <w:p w14:paraId="61085DB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分析结论</w:t>
            </w:r>
          </w:p>
          <w:p w14:paraId="26F0227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通过落实本次评价中提出的风险防范措施和应急要求，可以使项目环境风险发生的概率和影响后果降到最低限度；同时，在日常生产过程中应加强风险管控和优化应急处置措施，可以进一步降低项目的环境风险水平。综上所述，本项目的环境风险处于可接受水平。</w:t>
            </w:r>
          </w:p>
          <w:p w14:paraId="253EE8A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七</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、与排污许可证衔接</w:t>
            </w:r>
          </w:p>
          <w:p w14:paraId="7A15432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根据《国务院办公厅关于印发控制污染物排放许可制实施方案的通知》（国办发[2016]81 号），将排污许可制建设成为固定污染源环境管理的核心制度。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w:t>
            </w:r>
          </w:p>
          <w:p w14:paraId="5D8A30A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按照《排污许可管理办法》（2024年7月1日起施行）和《固定污染源排污许可分类管理名录（2019版）》相关要求，本项目需进行排污许可证简化管理的填报。</w:t>
            </w:r>
          </w:p>
          <w:p w14:paraId="6E3DDD2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right="0"/>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八、</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环保投资</w:t>
            </w:r>
          </w:p>
          <w:p w14:paraId="07622B2C">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本项目总投资为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568.22</w:t>
            </w:r>
            <w:r>
              <w:rPr>
                <w:rFonts w:hint="default" w:ascii="Times New Roman" w:hAnsi="Times New Roman" w:eastAsia="宋体" w:cs="Times New Roman"/>
                <w:color w:val="000000" w:themeColor="text1"/>
                <w:sz w:val="24"/>
                <w:szCs w:val="24"/>
                <w:highlight w:val="none"/>
                <w14:textFill>
                  <w14:solidFill>
                    <w14:schemeClr w14:val="tx1"/>
                  </w14:solidFill>
                </w14:textFill>
              </w:rPr>
              <w:t>万元，其中环保设施投资为</w:t>
            </w:r>
            <w:r>
              <w:rPr>
                <w:rFonts w:hint="default" w:ascii="Times New Roman" w:hAnsi="Times New Roman" w:eastAsia="宋体" w:cs="Times New Roman"/>
                <w:color w:val="0000FF"/>
                <w:sz w:val="24"/>
                <w:szCs w:val="24"/>
                <w:highlight w:val="none"/>
                <w:lang w:val="en-US" w:eastAsia="zh-CN"/>
              </w:rPr>
              <w:t>4</w:t>
            </w:r>
            <w:r>
              <w:rPr>
                <w:rFonts w:hint="eastAsia" w:ascii="Times New Roman" w:hAnsi="Times New Roman" w:eastAsia="宋体" w:cs="Times New Roman"/>
                <w:color w:val="0000FF"/>
                <w:sz w:val="24"/>
                <w:szCs w:val="24"/>
                <w:highlight w:val="none"/>
                <w:lang w:val="en-US" w:eastAsia="zh-CN"/>
              </w:rPr>
              <w:t>7</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万元，占项目投资总额的</w:t>
            </w:r>
            <w:r>
              <w:rPr>
                <w:rFonts w:hint="eastAsia" w:ascii="Times New Roman" w:hAnsi="Times New Roman" w:eastAsia="宋体" w:cs="Times New Roman"/>
                <w:color w:val="0000FF"/>
                <w:sz w:val="24"/>
                <w:szCs w:val="24"/>
                <w:highlight w:val="none"/>
                <w:lang w:val="en-US" w:eastAsia="zh-CN"/>
              </w:rPr>
              <w:t>8.31</w:t>
            </w:r>
            <w:r>
              <w:rPr>
                <w:rFonts w:hint="default" w:ascii="Times New Roman" w:hAnsi="Times New Roman" w:eastAsia="宋体" w:cs="Times New Roman"/>
                <w:color w:val="0000FF"/>
                <w:sz w:val="24"/>
                <w:szCs w:val="24"/>
                <w:highlight w:val="none"/>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。环保投资估算见表4-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2BEC72B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表4-22 项目环保投资估算一览表   单位：万元</w:t>
            </w:r>
          </w:p>
          <w:tbl>
            <w:tblPr>
              <w:tblStyle w:val="1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2095"/>
              <w:gridCol w:w="3745"/>
              <w:gridCol w:w="1306"/>
            </w:tblGrid>
            <w:tr w14:paraId="37E25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0" w:type="pct"/>
                  <w:gridSpan w:val="2"/>
                  <w:tcBorders>
                    <w:tl2br w:val="nil"/>
                    <w:tr2bl w:val="nil"/>
                  </w:tcBorders>
                  <w:noWrap w:val="0"/>
                  <w:vAlign w:val="center"/>
                </w:tcPr>
                <w:p w14:paraId="2D069009">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项目</w:t>
                  </w:r>
                </w:p>
              </w:tc>
              <w:tc>
                <w:tcPr>
                  <w:tcW w:w="2268" w:type="pct"/>
                  <w:tcBorders>
                    <w:tl2br w:val="nil"/>
                    <w:tr2bl w:val="nil"/>
                  </w:tcBorders>
                  <w:noWrap w:val="0"/>
                  <w:vAlign w:val="center"/>
                </w:tcPr>
                <w:p w14:paraId="3B0C63FC">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内容</w:t>
                  </w:r>
                </w:p>
              </w:tc>
              <w:tc>
                <w:tcPr>
                  <w:tcW w:w="791" w:type="pct"/>
                  <w:tcBorders>
                    <w:tl2br w:val="nil"/>
                    <w:tr2bl w:val="nil"/>
                  </w:tcBorders>
                  <w:noWrap w:val="0"/>
                  <w:vAlign w:val="center"/>
                </w:tcPr>
                <w:p w14:paraId="0C240387">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投资（万元）</w:t>
                  </w:r>
                </w:p>
              </w:tc>
            </w:tr>
            <w:tr w14:paraId="3FB76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restart"/>
                  <w:tcBorders>
                    <w:tl2br w:val="nil"/>
                    <w:tr2bl w:val="nil"/>
                  </w:tcBorders>
                  <w:noWrap w:val="0"/>
                  <w:vAlign w:val="center"/>
                </w:tcPr>
                <w:p w14:paraId="178D286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p w14:paraId="63ABD3F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治理</w:t>
                  </w:r>
                </w:p>
              </w:tc>
              <w:tc>
                <w:tcPr>
                  <w:tcW w:w="1269" w:type="pct"/>
                  <w:tcBorders>
                    <w:tl2br w:val="nil"/>
                    <w:tr2bl w:val="nil"/>
                  </w:tcBorders>
                  <w:noWrap w:val="0"/>
                  <w:vAlign w:val="center"/>
                </w:tcPr>
                <w:p w14:paraId="38E3C81B">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油烟废气</w:t>
                  </w:r>
                </w:p>
              </w:tc>
              <w:tc>
                <w:tcPr>
                  <w:tcW w:w="2268" w:type="pct"/>
                  <w:tcBorders>
                    <w:tl2br w:val="nil"/>
                    <w:tr2bl w:val="nil"/>
                  </w:tcBorders>
                  <w:noWrap w:val="0"/>
                  <w:vAlign w:val="center"/>
                </w:tcPr>
                <w:p w14:paraId="0E3CDF75">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排气筒（DA001）</w:t>
                  </w:r>
                </w:p>
              </w:tc>
              <w:tc>
                <w:tcPr>
                  <w:tcW w:w="791" w:type="pct"/>
                  <w:tcBorders>
                    <w:tl2br w:val="nil"/>
                    <w:tr2bl w:val="nil"/>
                  </w:tcBorders>
                  <w:noWrap w:val="0"/>
                  <w:vAlign w:val="center"/>
                </w:tcPr>
                <w:p w14:paraId="57E913D6">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r>
            <w:tr w14:paraId="1E1CE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continue"/>
                  <w:tcBorders>
                    <w:tl2br w:val="nil"/>
                    <w:tr2bl w:val="nil"/>
                  </w:tcBorders>
                  <w:noWrap w:val="0"/>
                  <w:vAlign w:val="center"/>
                </w:tcPr>
                <w:p w14:paraId="29C8FCF0">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9" w:type="pct"/>
                  <w:tcBorders>
                    <w:tl2br w:val="nil"/>
                    <w:tr2bl w:val="nil"/>
                  </w:tcBorders>
                  <w:noWrap w:val="0"/>
                  <w:vAlign w:val="center"/>
                </w:tcPr>
                <w:p w14:paraId="626CFF50">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污水处理站废气</w:t>
                  </w:r>
                </w:p>
              </w:tc>
              <w:tc>
                <w:tcPr>
                  <w:tcW w:w="2268" w:type="pct"/>
                  <w:tcBorders>
                    <w:tl2br w:val="nil"/>
                    <w:tr2bl w:val="nil"/>
                  </w:tcBorders>
                  <w:noWrap w:val="0"/>
                  <w:vAlign w:val="center"/>
                </w:tcPr>
                <w:p w14:paraId="42A6F0F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产臭区域加盖，</w:t>
                  </w:r>
                  <w:r>
                    <w:rPr>
                      <w:rFonts w:hint="default" w:ascii="Times New Roman" w:hAnsi="Times New Roman" w:eastAsia="宋体" w:cs="Times New Roman"/>
                      <w:color w:val="000000" w:themeColor="text1"/>
                      <w:sz w:val="21"/>
                      <w:szCs w:val="21"/>
                      <w14:textFill>
                        <w14:solidFill>
                          <w14:schemeClr w14:val="tx1"/>
                        </w14:solidFill>
                      </w14:textFill>
                    </w:rPr>
                    <w:t>喷洒除臭剂</w:t>
                  </w:r>
                </w:p>
              </w:tc>
              <w:tc>
                <w:tcPr>
                  <w:tcW w:w="791" w:type="pct"/>
                  <w:tcBorders>
                    <w:tl2br w:val="nil"/>
                    <w:tr2bl w:val="nil"/>
                  </w:tcBorders>
                  <w:noWrap w:val="0"/>
                  <w:vAlign w:val="center"/>
                </w:tcPr>
                <w:p w14:paraId="675BFF4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0.5</w:t>
                  </w:r>
                </w:p>
              </w:tc>
            </w:tr>
            <w:tr w14:paraId="1FFA1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restart"/>
                  <w:tcBorders>
                    <w:tl2br w:val="nil"/>
                    <w:tr2bl w:val="nil"/>
                  </w:tcBorders>
                  <w:noWrap w:val="0"/>
                  <w:vAlign w:val="center"/>
                </w:tcPr>
                <w:p w14:paraId="3D490758">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废水治理</w:t>
                  </w:r>
                </w:p>
              </w:tc>
              <w:tc>
                <w:tcPr>
                  <w:tcW w:w="1269" w:type="pct"/>
                  <w:tcBorders>
                    <w:tl2br w:val="nil"/>
                    <w:tr2bl w:val="nil"/>
                  </w:tcBorders>
                  <w:noWrap w:val="0"/>
                  <w:vAlign w:val="center"/>
                </w:tcPr>
                <w:p w14:paraId="53DA429F">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生活废水</w:t>
                  </w:r>
                </w:p>
              </w:tc>
              <w:tc>
                <w:tcPr>
                  <w:tcW w:w="2268" w:type="pct"/>
                  <w:tcBorders>
                    <w:tl2br w:val="nil"/>
                    <w:tr2bl w:val="nil"/>
                  </w:tcBorders>
                  <w:noWrap w:val="0"/>
                  <w:vAlign w:val="center"/>
                </w:tcPr>
                <w:p w14:paraId="1B5D9432">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化粪池</w:t>
                  </w:r>
                </w:p>
              </w:tc>
              <w:tc>
                <w:tcPr>
                  <w:tcW w:w="791" w:type="pct"/>
                  <w:tcBorders>
                    <w:tl2br w:val="nil"/>
                    <w:tr2bl w:val="nil"/>
                  </w:tcBorders>
                  <w:noWrap w:val="0"/>
                  <w:vAlign w:val="center"/>
                </w:tcPr>
                <w:p w14:paraId="358F2DD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r>
            <w:tr w14:paraId="085A3E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continue"/>
                  <w:tcBorders>
                    <w:tl2br w:val="nil"/>
                    <w:tr2bl w:val="nil"/>
                  </w:tcBorders>
                  <w:noWrap w:val="0"/>
                  <w:vAlign w:val="center"/>
                </w:tcPr>
                <w:p w14:paraId="4B88AA97">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p>
              </w:tc>
              <w:tc>
                <w:tcPr>
                  <w:tcW w:w="1269" w:type="pct"/>
                  <w:tcBorders>
                    <w:tl2br w:val="nil"/>
                    <w:tr2bl w:val="nil"/>
                  </w:tcBorders>
                  <w:noWrap w:val="0"/>
                  <w:vAlign w:val="center"/>
                </w:tcPr>
                <w:p w14:paraId="565C40D7">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生产废水</w:t>
                  </w:r>
                </w:p>
              </w:tc>
              <w:tc>
                <w:tcPr>
                  <w:tcW w:w="2268" w:type="pct"/>
                  <w:tcBorders>
                    <w:tl2br w:val="nil"/>
                    <w:tr2bl w:val="nil"/>
                  </w:tcBorders>
                  <w:noWrap w:val="0"/>
                  <w:vAlign w:val="center"/>
                </w:tcPr>
                <w:p w14:paraId="3D2F0E1B">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污水处理站</w:t>
                  </w:r>
                </w:p>
              </w:tc>
              <w:tc>
                <w:tcPr>
                  <w:tcW w:w="791" w:type="pct"/>
                  <w:tcBorders>
                    <w:tl2br w:val="nil"/>
                    <w:tr2bl w:val="nil"/>
                  </w:tcBorders>
                  <w:noWrap w:val="0"/>
                  <w:vAlign w:val="center"/>
                </w:tcPr>
                <w:p w14:paraId="485F7F0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35.2</w:t>
                  </w:r>
                </w:p>
              </w:tc>
            </w:tr>
            <w:tr w14:paraId="547A9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tcBorders>
                    <w:tl2br w:val="nil"/>
                    <w:tr2bl w:val="nil"/>
                  </w:tcBorders>
                  <w:noWrap w:val="0"/>
                  <w:vAlign w:val="center"/>
                </w:tcPr>
                <w:p w14:paraId="49EB20EC">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噪声治理</w:t>
                  </w:r>
                </w:p>
              </w:tc>
              <w:tc>
                <w:tcPr>
                  <w:tcW w:w="1269" w:type="pct"/>
                  <w:tcBorders>
                    <w:tl2br w:val="nil"/>
                    <w:tr2bl w:val="nil"/>
                  </w:tcBorders>
                  <w:noWrap w:val="0"/>
                  <w:vAlign w:val="center"/>
                </w:tcPr>
                <w:p w14:paraId="422479A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设备运行噪声</w:t>
                  </w:r>
                </w:p>
              </w:tc>
              <w:tc>
                <w:tcPr>
                  <w:tcW w:w="2268" w:type="pct"/>
                  <w:tcBorders>
                    <w:tl2br w:val="nil"/>
                    <w:tr2bl w:val="nil"/>
                  </w:tcBorders>
                  <w:noWrap w:val="0"/>
                  <w:vAlign w:val="center"/>
                </w:tcPr>
                <w:p w14:paraId="1243EB0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减振、隔声等措施</w:t>
                  </w:r>
                </w:p>
              </w:tc>
              <w:tc>
                <w:tcPr>
                  <w:tcW w:w="791" w:type="pct"/>
                  <w:tcBorders>
                    <w:tl2br w:val="nil"/>
                    <w:tr2bl w:val="nil"/>
                  </w:tcBorders>
                  <w:noWrap w:val="0"/>
                  <w:vAlign w:val="center"/>
                </w:tcPr>
                <w:p w14:paraId="7D0E7BE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r>
            <w:tr w14:paraId="08A03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restart"/>
                  <w:tcBorders>
                    <w:tl2br w:val="nil"/>
                    <w:tr2bl w:val="nil"/>
                  </w:tcBorders>
                  <w:noWrap w:val="0"/>
                  <w:vAlign w:val="center"/>
                </w:tcPr>
                <w:p w14:paraId="20CF2669">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w:t>
                  </w:r>
                  <w:r>
                    <w:rPr>
                      <w:rFonts w:hint="default" w:ascii="Times New Roman" w:hAnsi="Times New Roman" w:eastAsia="宋体" w:cs="Times New Roman"/>
                      <w:color w:val="000000" w:themeColor="text1"/>
                      <w:sz w:val="21"/>
                      <w:szCs w:val="21"/>
                      <w:lang w:eastAsia="zh-CN"/>
                      <w14:textFill>
                        <w14:solidFill>
                          <w14:schemeClr w14:val="tx1"/>
                        </w14:solidFill>
                      </w14:textFill>
                    </w:rPr>
                    <w:t>治理</w:t>
                  </w:r>
                </w:p>
              </w:tc>
              <w:tc>
                <w:tcPr>
                  <w:tcW w:w="1269" w:type="pct"/>
                  <w:tcBorders>
                    <w:tl2br w:val="nil"/>
                    <w:tr2bl w:val="nil"/>
                  </w:tcBorders>
                  <w:noWrap w:val="0"/>
                  <w:vAlign w:val="center"/>
                </w:tcPr>
                <w:p w14:paraId="5557E3D4">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一般固体废物</w:t>
                  </w:r>
                </w:p>
              </w:tc>
              <w:tc>
                <w:tcPr>
                  <w:tcW w:w="2268" w:type="pct"/>
                  <w:tcBorders>
                    <w:tl2br w:val="nil"/>
                    <w:tr2bl w:val="nil"/>
                  </w:tcBorders>
                  <w:noWrap w:val="0"/>
                  <w:vAlign w:val="center"/>
                </w:tcPr>
                <w:p w14:paraId="50A8B16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垃圾箱、一般固废暂存区</w:t>
                  </w:r>
                </w:p>
              </w:tc>
              <w:tc>
                <w:tcPr>
                  <w:tcW w:w="791" w:type="pct"/>
                  <w:tcBorders>
                    <w:tl2br w:val="nil"/>
                    <w:tr2bl w:val="nil"/>
                  </w:tcBorders>
                  <w:noWrap w:val="0"/>
                  <w:vAlign w:val="center"/>
                </w:tcPr>
                <w:p w14:paraId="7B1CE384">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r>
            <w:tr w14:paraId="3C4E2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vMerge w:val="continue"/>
                  <w:tcBorders>
                    <w:tl2br w:val="nil"/>
                    <w:tr2bl w:val="nil"/>
                  </w:tcBorders>
                  <w:noWrap w:val="0"/>
                  <w:vAlign w:val="center"/>
                </w:tcPr>
                <w:p w14:paraId="5577FC47">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69" w:type="pct"/>
                  <w:tcBorders>
                    <w:tl2br w:val="nil"/>
                    <w:tr2bl w:val="nil"/>
                  </w:tcBorders>
                  <w:noWrap w:val="0"/>
                  <w:vAlign w:val="center"/>
                </w:tcPr>
                <w:p w14:paraId="392A2DFA">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危险废物</w:t>
                  </w:r>
                </w:p>
              </w:tc>
              <w:tc>
                <w:tcPr>
                  <w:tcW w:w="2268" w:type="pct"/>
                  <w:tcBorders>
                    <w:tl2br w:val="nil"/>
                    <w:tr2bl w:val="nil"/>
                  </w:tcBorders>
                  <w:noWrap w:val="0"/>
                  <w:vAlign w:val="center"/>
                </w:tcPr>
                <w:p w14:paraId="485C8CF6">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建设危废暂存间，委托处置危险废物</w:t>
                  </w:r>
                </w:p>
              </w:tc>
              <w:tc>
                <w:tcPr>
                  <w:tcW w:w="791" w:type="pct"/>
                  <w:tcBorders>
                    <w:tl2br w:val="nil"/>
                    <w:tr2bl w:val="nil"/>
                  </w:tcBorders>
                  <w:noWrap w:val="0"/>
                  <w:vAlign w:val="center"/>
                </w:tcPr>
                <w:p w14:paraId="5DDEE2A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r>
            <w:tr w14:paraId="6F861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tcBorders>
                    <w:tl2br w:val="nil"/>
                    <w:tr2bl w:val="nil"/>
                  </w:tcBorders>
                  <w:noWrap w:val="0"/>
                  <w:vAlign w:val="center"/>
                </w:tcPr>
                <w:p w14:paraId="3275BA6B">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地下水、土壤污染防治</w:t>
                  </w:r>
                </w:p>
              </w:tc>
              <w:tc>
                <w:tcPr>
                  <w:tcW w:w="1269" w:type="pct"/>
                  <w:tcBorders>
                    <w:tl2br w:val="nil"/>
                    <w:tr2bl w:val="nil"/>
                  </w:tcBorders>
                  <w:noWrap w:val="0"/>
                  <w:vAlign w:val="center"/>
                </w:tcPr>
                <w:p w14:paraId="11B52758">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防渗措施</w:t>
                  </w:r>
                </w:p>
              </w:tc>
              <w:tc>
                <w:tcPr>
                  <w:tcW w:w="2268" w:type="pct"/>
                  <w:tcBorders>
                    <w:tl2br w:val="nil"/>
                    <w:tr2bl w:val="nil"/>
                  </w:tcBorders>
                  <w:noWrap w:val="0"/>
                  <w:vAlign w:val="center"/>
                </w:tcPr>
                <w:p w14:paraId="789D353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分区防渗措施</w:t>
                  </w:r>
                </w:p>
              </w:tc>
              <w:tc>
                <w:tcPr>
                  <w:tcW w:w="791" w:type="pct"/>
                  <w:tcBorders>
                    <w:tl2br w:val="nil"/>
                    <w:tr2bl w:val="nil"/>
                  </w:tcBorders>
                  <w:noWrap w:val="0"/>
                  <w:vAlign w:val="center"/>
                </w:tcPr>
                <w:p w14:paraId="0ACF78F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r>
            <w:tr w14:paraId="75CE3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tcBorders>
                    <w:tl2br w:val="nil"/>
                    <w:tr2bl w:val="nil"/>
                  </w:tcBorders>
                  <w:noWrap w:val="0"/>
                  <w:vAlign w:val="center"/>
                </w:tcPr>
                <w:p w14:paraId="4551C5AF">
                  <w:pPr>
                    <w:jc w:val="center"/>
                    <w:rPr>
                      <w:rFonts w:hint="default" w:ascii="Times New Roman" w:hAnsi="Times New Roman" w:eastAsia="宋体" w:cs="Times New Roman"/>
                      <w:color w:val="0000FF"/>
                      <w:sz w:val="21"/>
                      <w:szCs w:val="21"/>
                      <w:lang w:val="zh-CN"/>
                    </w:rPr>
                  </w:pPr>
                  <w:r>
                    <w:rPr>
                      <w:rFonts w:hint="eastAsia" w:ascii="Times New Roman" w:hAnsi="Times New Roman" w:eastAsia="宋体" w:cs="Times New Roman"/>
                      <w:color w:val="0000FF"/>
                      <w:sz w:val="21"/>
                      <w:szCs w:val="21"/>
                      <w:lang w:val="zh-CN"/>
                    </w:rPr>
                    <w:t>环境风险</w:t>
                  </w:r>
                </w:p>
              </w:tc>
              <w:tc>
                <w:tcPr>
                  <w:tcW w:w="1269" w:type="pct"/>
                  <w:tcBorders>
                    <w:tl2br w:val="nil"/>
                    <w:tr2bl w:val="nil"/>
                  </w:tcBorders>
                  <w:noWrap w:val="0"/>
                  <w:vAlign w:val="center"/>
                </w:tcPr>
                <w:p w14:paraId="6EF7BFDA">
                  <w:pPr>
                    <w:jc w:val="center"/>
                    <w:rPr>
                      <w:rFonts w:hint="default" w:ascii="Times New Roman" w:hAnsi="Times New Roman" w:eastAsia="宋体" w:cs="Times New Roman"/>
                      <w:color w:val="0000FF"/>
                      <w:sz w:val="21"/>
                      <w:szCs w:val="21"/>
                      <w:lang w:val="zh-CN"/>
                    </w:rPr>
                  </w:pPr>
                  <w:r>
                    <w:rPr>
                      <w:rFonts w:hint="default" w:ascii="Times New Roman" w:hAnsi="Times New Roman" w:eastAsia="宋体" w:cs="Times New Roman"/>
                      <w:color w:val="0000FF"/>
                      <w:sz w:val="21"/>
                      <w:szCs w:val="21"/>
                      <w:lang w:val="zh-CN"/>
                    </w:rPr>
                    <w:t>风险防范</w:t>
                  </w:r>
                </w:p>
              </w:tc>
              <w:tc>
                <w:tcPr>
                  <w:tcW w:w="2268" w:type="pct"/>
                  <w:tcBorders>
                    <w:tl2br w:val="nil"/>
                    <w:tr2bl w:val="nil"/>
                  </w:tcBorders>
                  <w:noWrap w:val="0"/>
                  <w:vAlign w:val="center"/>
                </w:tcPr>
                <w:p w14:paraId="047A853E">
                  <w:pPr>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15m</w:t>
                  </w:r>
                  <w:r>
                    <w:rPr>
                      <w:rFonts w:hint="eastAsia" w:ascii="Times New Roman" w:hAnsi="Times New Roman" w:eastAsia="宋体" w:cs="Times New Roman"/>
                      <w:color w:val="0000FF"/>
                      <w:sz w:val="21"/>
                      <w:szCs w:val="21"/>
                      <w:vertAlign w:val="superscript"/>
                      <w:lang w:val="en-US" w:eastAsia="zh-CN"/>
                    </w:rPr>
                    <w:t>3</w:t>
                  </w:r>
                  <w:r>
                    <w:rPr>
                      <w:rFonts w:hint="eastAsia" w:ascii="Times New Roman" w:hAnsi="Times New Roman" w:eastAsia="宋体" w:cs="Times New Roman"/>
                      <w:color w:val="0000FF"/>
                      <w:sz w:val="21"/>
                      <w:szCs w:val="21"/>
                      <w:lang w:val="en-US" w:eastAsia="zh-CN"/>
                    </w:rPr>
                    <w:t>事故池</w:t>
                  </w:r>
                </w:p>
              </w:tc>
              <w:tc>
                <w:tcPr>
                  <w:tcW w:w="791" w:type="pct"/>
                  <w:tcBorders>
                    <w:tl2br w:val="nil"/>
                    <w:tr2bl w:val="nil"/>
                  </w:tcBorders>
                  <w:noWrap w:val="0"/>
                  <w:vAlign w:val="center"/>
                </w:tcPr>
                <w:p w14:paraId="27F7B00A">
                  <w:pPr>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3</w:t>
                  </w:r>
                </w:p>
              </w:tc>
            </w:tr>
            <w:tr w14:paraId="146F0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pct"/>
                  <w:tcBorders>
                    <w:tl2br w:val="nil"/>
                    <w:tr2bl w:val="nil"/>
                  </w:tcBorders>
                  <w:noWrap w:val="0"/>
                  <w:vAlign w:val="center"/>
                </w:tcPr>
                <w:p w14:paraId="5B760851">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日常费用</w:t>
                  </w:r>
                </w:p>
              </w:tc>
              <w:tc>
                <w:tcPr>
                  <w:tcW w:w="1269" w:type="pct"/>
                  <w:tcBorders>
                    <w:tl2br w:val="nil"/>
                    <w:tr2bl w:val="nil"/>
                  </w:tcBorders>
                  <w:noWrap w:val="0"/>
                  <w:vAlign w:val="center"/>
                </w:tcPr>
                <w:p w14:paraId="00949C69">
                  <w:pPr>
                    <w:jc w:val="center"/>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环保设施日常运维</w:t>
                  </w:r>
                </w:p>
              </w:tc>
              <w:tc>
                <w:tcPr>
                  <w:tcW w:w="2268" w:type="pct"/>
                  <w:tcBorders>
                    <w:tl2br w:val="nil"/>
                    <w:tr2bl w:val="nil"/>
                  </w:tcBorders>
                  <w:noWrap w:val="0"/>
                  <w:vAlign w:val="center"/>
                </w:tcPr>
                <w:p w14:paraId="6914BA8A">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91" w:type="pct"/>
                  <w:tcBorders>
                    <w:tl2br w:val="nil"/>
                    <w:tr2bl w:val="nil"/>
                  </w:tcBorders>
                  <w:noWrap w:val="0"/>
                  <w:vAlign w:val="center"/>
                </w:tcPr>
                <w:p w14:paraId="7F2FFAD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r>
            <w:tr w14:paraId="16E02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8" w:type="pct"/>
                  <w:gridSpan w:val="3"/>
                  <w:tcBorders>
                    <w:tl2br w:val="nil"/>
                    <w:tr2bl w:val="nil"/>
                  </w:tcBorders>
                  <w:noWrap w:val="0"/>
                  <w:vAlign w:val="center"/>
                </w:tcPr>
                <w:p w14:paraId="203F000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环保投资合计</w:t>
                  </w:r>
                </w:p>
              </w:tc>
              <w:tc>
                <w:tcPr>
                  <w:tcW w:w="791" w:type="pct"/>
                  <w:tcBorders>
                    <w:tl2br w:val="nil"/>
                    <w:tr2bl w:val="nil"/>
                  </w:tcBorders>
                  <w:noWrap w:val="0"/>
                  <w:vAlign w:val="center"/>
                </w:tcPr>
                <w:p w14:paraId="695FB264">
                  <w:pPr>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FF"/>
                      <w:sz w:val="21"/>
                      <w:szCs w:val="21"/>
                      <w:lang w:val="en-US" w:eastAsia="zh-CN"/>
                    </w:rPr>
                    <w:t>4</w:t>
                  </w:r>
                  <w:r>
                    <w:rPr>
                      <w:rFonts w:hint="eastAsia" w:ascii="Times New Roman" w:hAnsi="Times New Roman" w:eastAsia="宋体" w:cs="Times New Roman"/>
                      <w:color w:val="0000FF"/>
                      <w:sz w:val="21"/>
                      <w:szCs w:val="21"/>
                      <w:lang w:val="en-US" w:eastAsia="zh-CN"/>
                    </w:rPr>
                    <w:t>7</w:t>
                  </w:r>
                  <w:r>
                    <w:rPr>
                      <w:rFonts w:hint="default" w:ascii="Times New Roman" w:hAnsi="Times New Roman" w:eastAsia="宋体" w:cs="Times New Roman"/>
                      <w:color w:val="0000FF"/>
                      <w:sz w:val="21"/>
                      <w:szCs w:val="21"/>
                      <w:lang w:val="en-US" w:eastAsia="zh-CN"/>
                    </w:rPr>
                    <w:t>.2</w:t>
                  </w:r>
                </w:p>
              </w:tc>
            </w:tr>
            <w:tr w14:paraId="15AAC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8" w:type="pct"/>
                  <w:gridSpan w:val="3"/>
                  <w:tcBorders>
                    <w:tl2br w:val="nil"/>
                    <w:tr2bl w:val="nil"/>
                  </w:tcBorders>
                  <w:noWrap w:val="0"/>
                  <w:vAlign w:val="center"/>
                </w:tcPr>
                <w:p w14:paraId="52067508">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工程总投资</w:t>
                  </w:r>
                </w:p>
              </w:tc>
              <w:tc>
                <w:tcPr>
                  <w:tcW w:w="791" w:type="pct"/>
                  <w:tcBorders>
                    <w:tl2br w:val="nil"/>
                    <w:tr2bl w:val="nil"/>
                  </w:tcBorders>
                  <w:noWrap w:val="0"/>
                  <w:vAlign w:val="center"/>
                </w:tcPr>
                <w:p w14:paraId="1940FA3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568.22</w:t>
                  </w:r>
                </w:p>
              </w:tc>
            </w:tr>
            <w:tr w14:paraId="48F01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8" w:type="pct"/>
                  <w:gridSpan w:val="3"/>
                  <w:tcBorders>
                    <w:tl2br w:val="nil"/>
                    <w:tr2bl w:val="nil"/>
                  </w:tcBorders>
                  <w:noWrap w:val="0"/>
                  <w:vAlign w:val="center"/>
                </w:tcPr>
                <w:p w14:paraId="33629EF8">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环保投资比（%）</w:t>
                  </w:r>
                </w:p>
              </w:tc>
              <w:tc>
                <w:tcPr>
                  <w:tcW w:w="791" w:type="pct"/>
                  <w:tcBorders>
                    <w:tl2br w:val="nil"/>
                    <w:tr2bl w:val="nil"/>
                  </w:tcBorders>
                  <w:noWrap w:val="0"/>
                  <w:vAlign w:val="center"/>
                </w:tcPr>
                <w:p w14:paraId="0F5CF155">
                  <w:pPr>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8.31</w:t>
                  </w:r>
                </w:p>
              </w:tc>
            </w:tr>
          </w:tbl>
          <w:p w14:paraId="72AD148E">
            <w:pPr>
              <w:pStyle w:val="9"/>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bl>
    <w:p w14:paraId="52C83099">
      <w:pPr>
        <w:adjustRightInd w:val="0"/>
        <w:snapToGrid w:val="0"/>
        <w:spacing w:line="360" w:lineRule="auto"/>
        <w:rPr>
          <w:rFonts w:hint="default" w:ascii="Times New Roman" w:hAnsi="Times New Roman" w:eastAsia="宋体" w:cs="Times New Roman"/>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B818764">
      <w:pPr>
        <w:widowControl w:val="0"/>
        <w:spacing w:before="100" w:beforeAutospacing="1" w:after="100" w:afterAutospacing="1"/>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五、</w:t>
      </w:r>
      <w:bookmarkStart w:id="13" w:name="_Hlk54167917"/>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环境保护措施监督检查清单</w:t>
      </w:r>
      <w:bookmarkEnd w:id="9"/>
      <w:bookmarkEnd w:id="10"/>
      <w:bookmarkEnd w:id="13"/>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2519"/>
        <w:gridCol w:w="1419"/>
        <w:gridCol w:w="1858"/>
        <w:gridCol w:w="2036"/>
      </w:tblGrid>
      <w:tr w14:paraId="7CB76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tcBorders>
              <w:tl2br w:val="single" w:color="auto" w:sz="4" w:space="0"/>
            </w:tcBorders>
          </w:tcPr>
          <w:p w14:paraId="05A7439D">
            <w:pPr>
              <w:keepNext w:val="0"/>
              <w:keepLines w:val="0"/>
              <w:suppressLineNumbers w:val="0"/>
              <w:adjustRightInd w:val="0"/>
              <w:snapToGrid w:val="0"/>
              <w:spacing w:before="0" w:beforeAutospacing="0" w:after="0" w:afterAutospacing="0"/>
              <w:ind w:left="0" w:right="0"/>
              <w:jc w:val="righ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内容</w:t>
            </w:r>
          </w:p>
          <w:p w14:paraId="36943E38">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要素</w:t>
            </w:r>
          </w:p>
        </w:tc>
        <w:tc>
          <w:tcPr>
            <w:tcW w:w="2519" w:type="dxa"/>
            <w:vAlign w:val="center"/>
          </w:tcPr>
          <w:p w14:paraId="4C4F336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排放口（编号、</w:t>
            </w:r>
          </w:p>
          <w:p w14:paraId="4A8F11D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名称）/污染源</w:t>
            </w:r>
          </w:p>
        </w:tc>
        <w:tc>
          <w:tcPr>
            <w:tcW w:w="1419" w:type="dxa"/>
            <w:vAlign w:val="center"/>
          </w:tcPr>
          <w:p w14:paraId="535C109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污染物项目</w:t>
            </w:r>
          </w:p>
        </w:tc>
        <w:tc>
          <w:tcPr>
            <w:tcW w:w="1858" w:type="dxa"/>
            <w:tcBorders>
              <w:bottom w:val="single" w:color="auto" w:sz="4" w:space="0"/>
            </w:tcBorders>
            <w:vAlign w:val="center"/>
          </w:tcPr>
          <w:p w14:paraId="3B213FE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环境保护措施</w:t>
            </w:r>
          </w:p>
        </w:tc>
        <w:tc>
          <w:tcPr>
            <w:tcW w:w="2036" w:type="dxa"/>
            <w:tcBorders>
              <w:bottom w:val="single" w:color="auto" w:sz="4" w:space="0"/>
            </w:tcBorders>
            <w:vAlign w:val="center"/>
          </w:tcPr>
          <w:p w14:paraId="68A93D8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执行标准</w:t>
            </w:r>
          </w:p>
        </w:tc>
      </w:tr>
      <w:tr w14:paraId="73ADE7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vMerge w:val="restart"/>
            <w:vAlign w:val="center"/>
          </w:tcPr>
          <w:p w14:paraId="1078A61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大气环境</w:t>
            </w:r>
          </w:p>
        </w:tc>
        <w:tc>
          <w:tcPr>
            <w:tcW w:w="2519" w:type="dxa"/>
            <w:vAlign w:val="center"/>
          </w:tcPr>
          <w:p w14:paraId="3A0E2A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DA001</w:t>
            </w:r>
          </w:p>
        </w:tc>
        <w:tc>
          <w:tcPr>
            <w:tcW w:w="1419" w:type="dxa"/>
            <w:vAlign w:val="center"/>
          </w:tcPr>
          <w:p w14:paraId="33D610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油烟</w:t>
            </w:r>
          </w:p>
        </w:tc>
        <w:tc>
          <w:tcPr>
            <w:tcW w:w="1858" w:type="dxa"/>
            <w:vAlign w:val="center"/>
          </w:tcPr>
          <w:p w14:paraId="782954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油烟废气经收集后引入油烟净化器处理达标后经生产车间顶部排放</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2036" w:type="dxa"/>
            <w:vAlign w:val="center"/>
          </w:tcPr>
          <w:p w14:paraId="3902A4C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zh-CN" w:eastAsia="zh-CN"/>
                <w14:textFill>
                  <w14:solidFill>
                    <w14:schemeClr w14:val="tx1"/>
                  </w14:solidFill>
                </w14:textFill>
              </w:rPr>
              <w:t>满足</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《饮食业油烟排放标准》（试行）（GB18483-2001）中型规模标准限值</w:t>
            </w:r>
          </w:p>
        </w:tc>
      </w:tr>
      <w:tr w14:paraId="701968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vMerge w:val="continue"/>
            <w:vAlign w:val="center"/>
          </w:tcPr>
          <w:p w14:paraId="1C1D066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19" w:type="dxa"/>
            <w:vAlign w:val="center"/>
          </w:tcPr>
          <w:p w14:paraId="148299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厂界</w:t>
            </w:r>
          </w:p>
        </w:tc>
        <w:tc>
          <w:tcPr>
            <w:tcW w:w="1419" w:type="dxa"/>
            <w:vAlign w:val="center"/>
          </w:tcPr>
          <w:p w14:paraId="464DAAB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颗粒物</w:t>
            </w:r>
          </w:p>
        </w:tc>
        <w:tc>
          <w:tcPr>
            <w:tcW w:w="1858" w:type="dxa"/>
            <w:tcBorders>
              <w:bottom w:val="single" w:color="auto" w:sz="4" w:space="0"/>
            </w:tcBorders>
            <w:vAlign w:val="center"/>
          </w:tcPr>
          <w:p w14:paraId="6AC71A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厂房封闭</w:t>
            </w:r>
          </w:p>
        </w:tc>
        <w:tc>
          <w:tcPr>
            <w:tcW w:w="2036" w:type="dxa"/>
            <w:vAlign w:val="center"/>
          </w:tcPr>
          <w:p w14:paraId="6E8B6C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满足《大气污染物综合排放标准》（GB16297-1996）表2中无组织排放监控浓度限值</w:t>
            </w:r>
          </w:p>
        </w:tc>
      </w:tr>
      <w:tr w14:paraId="2E5E0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vMerge w:val="continue"/>
            <w:vAlign w:val="center"/>
          </w:tcPr>
          <w:p w14:paraId="2B1269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19" w:type="dxa"/>
            <w:vAlign w:val="center"/>
          </w:tcPr>
          <w:p w14:paraId="0C595C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厂界</w:t>
            </w:r>
          </w:p>
        </w:tc>
        <w:tc>
          <w:tcPr>
            <w:tcW w:w="1419" w:type="dxa"/>
            <w:vAlign w:val="center"/>
          </w:tcPr>
          <w:p w14:paraId="2D2E30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氨、硫化氢、臭气浓度</w:t>
            </w:r>
          </w:p>
        </w:tc>
        <w:tc>
          <w:tcPr>
            <w:tcW w:w="1858" w:type="dxa"/>
            <w:tcBorders>
              <w:bottom w:val="single" w:color="auto" w:sz="4" w:space="0"/>
            </w:tcBorders>
            <w:vAlign w:val="center"/>
          </w:tcPr>
          <w:p w14:paraId="2405625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污水处理站恶臭气体产生的池体均加盖处理，并定期喷洒除臭剂。</w:t>
            </w:r>
          </w:p>
        </w:tc>
        <w:tc>
          <w:tcPr>
            <w:tcW w:w="2036" w:type="dxa"/>
            <w:vAlign w:val="center"/>
          </w:tcPr>
          <w:p w14:paraId="5176372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《恶臭污染物排放标准》（GB14554-1993）中的二级厂界排放标准</w:t>
            </w:r>
          </w:p>
        </w:tc>
      </w:tr>
      <w:tr w14:paraId="357657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vMerge w:val="continue"/>
            <w:vAlign w:val="center"/>
          </w:tcPr>
          <w:p w14:paraId="2D77A8F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19" w:type="dxa"/>
            <w:vAlign w:val="center"/>
          </w:tcPr>
          <w:p w14:paraId="00BDC6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厂界</w:t>
            </w:r>
          </w:p>
        </w:tc>
        <w:tc>
          <w:tcPr>
            <w:tcW w:w="1419" w:type="dxa"/>
            <w:vMerge w:val="restart"/>
            <w:vAlign w:val="center"/>
          </w:tcPr>
          <w:p w14:paraId="5326FE9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eastAsia="宋体" w:cs="Times New Roman"/>
                <w:color w:val="FF0000"/>
                <w:sz w:val="21"/>
                <w:szCs w:val="21"/>
                <w:highlight w:val="none"/>
                <w:lang w:eastAsia="zh-CN"/>
              </w:rPr>
              <w:t>非甲烷总烃</w:t>
            </w:r>
          </w:p>
        </w:tc>
        <w:tc>
          <w:tcPr>
            <w:tcW w:w="1858" w:type="dxa"/>
            <w:vMerge w:val="restart"/>
            <w:vAlign w:val="center"/>
          </w:tcPr>
          <w:p w14:paraId="280A98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检验过程在通风橱内进行，废气经检验室换风系统排出，加强周边绿化</w:t>
            </w:r>
          </w:p>
        </w:tc>
        <w:tc>
          <w:tcPr>
            <w:tcW w:w="2036" w:type="dxa"/>
            <w:vAlign w:val="center"/>
          </w:tcPr>
          <w:p w14:paraId="3A192B1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zh-CN" w:eastAsia="zh-CN"/>
              </w:rPr>
            </w:pPr>
            <w:r>
              <w:rPr>
                <w:rFonts w:hint="default" w:ascii="Times New Roman" w:hAnsi="Times New Roman" w:eastAsia="宋体" w:cs="Times New Roman"/>
                <w:color w:val="FF0000"/>
                <w:sz w:val="21"/>
                <w:szCs w:val="21"/>
                <w:highlight w:val="none"/>
                <w:lang w:val="zh-CN" w:eastAsia="zh-CN"/>
              </w:rPr>
              <w:t>《大气污染物综合排放标准》（GB16297-1996）中二级标准的无组织监控浓度限值</w:t>
            </w:r>
          </w:p>
        </w:tc>
      </w:tr>
      <w:tr w14:paraId="252E8F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44" w:type="dxa"/>
            <w:vMerge w:val="continue"/>
            <w:vAlign w:val="center"/>
          </w:tcPr>
          <w:p w14:paraId="652BE0B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19" w:type="dxa"/>
            <w:vAlign w:val="center"/>
          </w:tcPr>
          <w:p w14:paraId="6D888B3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eastAsia="宋体" w:cs="Times New Roman"/>
                <w:color w:val="FF0000"/>
                <w:sz w:val="21"/>
                <w:szCs w:val="21"/>
                <w:highlight w:val="none"/>
                <w:lang w:eastAsia="zh-CN"/>
              </w:rPr>
              <w:t>厂区内</w:t>
            </w:r>
          </w:p>
        </w:tc>
        <w:tc>
          <w:tcPr>
            <w:tcW w:w="1419" w:type="dxa"/>
            <w:vMerge w:val="continue"/>
            <w:vAlign w:val="center"/>
          </w:tcPr>
          <w:p w14:paraId="463BAFC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eastAsia="zh-CN"/>
              </w:rPr>
            </w:pPr>
          </w:p>
        </w:tc>
        <w:tc>
          <w:tcPr>
            <w:tcW w:w="1858" w:type="dxa"/>
            <w:vMerge w:val="continue"/>
            <w:tcBorders>
              <w:bottom w:val="single" w:color="auto" w:sz="4" w:space="0"/>
            </w:tcBorders>
            <w:vAlign w:val="center"/>
          </w:tcPr>
          <w:p w14:paraId="4BE5021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val="en-US" w:eastAsia="zh-CN"/>
              </w:rPr>
            </w:pPr>
          </w:p>
        </w:tc>
        <w:tc>
          <w:tcPr>
            <w:tcW w:w="2036" w:type="dxa"/>
            <w:vAlign w:val="center"/>
          </w:tcPr>
          <w:p w14:paraId="43B3AE8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zh-CN" w:eastAsia="zh-CN"/>
              </w:rPr>
            </w:pPr>
            <w:r>
              <w:rPr>
                <w:rFonts w:hint="default" w:ascii="Times New Roman" w:hAnsi="Times New Roman" w:eastAsia="宋体" w:cs="Times New Roman"/>
                <w:color w:val="FF0000"/>
                <w:sz w:val="21"/>
                <w:szCs w:val="21"/>
                <w:highlight w:val="none"/>
                <w:lang w:val="zh-CN" w:eastAsia="zh-CN"/>
              </w:rPr>
              <w:t>《挥发性有机物无组织排放控制标准》(GB37822-2019)表A.1</w:t>
            </w:r>
          </w:p>
        </w:tc>
      </w:tr>
      <w:tr w14:paraId="42C0E6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1044" w:type="dxa"/>
            <w:vMerge w:val="restart"/>
            <w:vAlign w:val="center"/>
          </w:tcPr>
          <w:p w14:paraId="40FEC7F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地表水水环境</w:t>
            </w:r>
          </w:p>
        </w:tc>
        <w:tc>
          <w:tcPr>
            <w:tcW w:w="2519" w:type="dxa"/>
            <w:vAlign w:val="center"/>
          </w:tcPr>
          <w:p w14:paraId="70B12E4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生活污水</w:t>
            </w:r>
          </w:p>
        </w:tc>
        <w:tc>
          <w:tcPr>
            <w:tcW w:w="1419" w:type="dxa"/>
            <w:vAlign w:val="center"/>
          </w:tcPr>
          <w:p w14:paraId="1C28DC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14:textFill>
                  <w14:solidFill>
                    <w14:schemeClr w14:val="tx1"/>
                  </w14:solidFill>
                </w14:textFill>
              </w:rPr>
              <w:t>、SS、氨氮</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FF"/>
                <w:sz w:val="21"/>
                <w:szCs w:val="21"/>
                <w:highlight w:val="none"/>
                <w:lang w:val="en-US" w:eastAsia="zh-CN"/>
              </w:rPr>
              <w:t>LAS</w:t>
            </w:r>
          </w:p>
        </w:tc>
        <w:tc>
          <w:tcPr>
            <w:tcW w:w="1858" w:type="dxa"/>
            <w:vMerge w:val="restart"/>
            <w:tcBorders>
              <w:top w:val="single" w:color="auto" w:sz="4" w:space="0"/>
            </w:tcBorders>
            <w:vAlign w:val="center"/>
          </w:tcPr>
          <w:p w14:paraId="12D6B1C6">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本项目经化粪池处理后的生活污水与生产废水一起进入厂区污水处理站，处理后的综合废水经污水管网进入双鸭山龙江环保水务有限责任公司(双鸭山市污水处理厂)，处理达标后排入安邦河</w:t>
            </w:r>
            <w:r>
              <w:rPr>
                <w:rFonts w:hint="eastAsia" w:ascii="Times New Roman" w:hAnsi="Times New Roman" w:eastAsia="宋体" w:cs="Times New Roman"/>
                <w:color w:val="FF0000"/>
                <w:sz w:val="21"/>
                <w:szCs w:val="21"/>
                <w:highlight w:val="none"/>
                <w:lang w:val="en-US" w:eastAsia="zh-CN"/>
              </w:rPr>
              <w:t>。</w:t>
            </w:r>
          </w:p>
        </w:tc>
        <w:tc>
          <w:tcPr>
            <w:tcW w:w="2036" w:type="dxa"/>
            <w:vMerge w:val="restart"/>
            <w:tcBorders>
              <w:top w:val="single" w:color="auto" w:sz="4" w:space="0"/>
              <w:right w:val="single" w:color="auto" w:sz="4" w:space="0"/>
            </w:tcBorders>
            <w:vAlign w:val="center"/>
          </w:tcPr>
          <w:p w14:paraId="287B1B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执行《污水综合排放标准》（GB8978-1996）表4中三级标准及</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双鸭山龙江环保水务有限责任公司(双鸭山市污水处理厂)</w:t>
            </w:r>
            <w:r>
              <w:rPr>
                <w:rFonts w:hint="default" w:ascii="Times New Roman" w:hAnsi="Times New Roman" w:eastAsia="宋体" w:cs="Times New Roman"/>
                <w:color w:val="000000" w:themeColor="text1"/>
                <w:sz w:val="21"/>
                <w:szCs w:val="21"/>
                <w:highlight w:val="none"/>
                <w14:textFill>
                  <w14:solidFill>
                    <w14:schemeClr w14:val="tx1"/>
                  </w14:solidFill>
                </w14:textFill>
              </w:rPr>
              <w:t>进水指标（从严执行）</w:t>
            </w:r>
          </w:p>
        </w:tc>
      </w:tr>
      <w:tr w14:paraId="2295C2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1044" w:type="dxa"/>
            <w:vMerge w:val="continue"/>
            <w:vAlign w:val="center"/>
          </w:tcPr>
          <w:p w14:paraId="6F7224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19" w:type="dxa"/>
            <w:vAlign w:val="center"/>
          </w:tcPr>
          <w:p w14:paraId="0141BCF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生产废水</w:t>
            </w:r>
          </w:p>
        </w:tc>
        <w:tc>
          <w:tcPr>
            <w:tcW w:w="1419" w:type="dxa"/>
            <w:vAlign w:val="center"/>
          </w:tcPr>
          <w:p w14:paraId="3AA2887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vertAlign w:val="subscript"/>
                <w:lang w:val="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w:t>
            </w:r>
          </w:p>
          <w:p w14:paraId="5F482E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SS、氨氮、</w:t>
            </w:r>
          </w:p>
          <w:p w14:paraId="37673E7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总氮、总磷、PH、动植物油</w:t>
            </w:r>
          </w:p>
        </w:tc>
        <w:tc>
          <w:tcPr>
            <w:tcW w:w="1858" w:type="dxa"/>
            <w:vMerge w:val="continue"/>
            <w:tcBorders>
              <w:bottom w:val="single" w:color="auto" w:sz="4" w:space="0"/>
            </w:tcBorders>
            <w:vAlign w:val="center"/>
          </w:tcPr>
          <w:p w14:paraId="7F8ED296">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036" w:type="dxa"/>
            <w:vMerge w:val="continue"/>
            <w:tcBorders>
              <w:right w:val="single" w:color="auto" w:sz="4" w:space="0"/>
            </w:tcBorders>
            <w:vAlign w:val="center"/>
          </w:tcPr>
          <w:p w14:paraId="50C988F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8BCDA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044" w:type="dxa"/>
            <w:vAlign w:val="center"/>
          </w:tcPr>
          <w:p w14:paraId="79D9D11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声环境</w:t>
            </w:r>
          </w:p>
        </w:tc>
        <w:tc>
          <w:tcPr>
            <w:tcW w:w="2519" w:type="dxa"/>
            <w:vAlign w:val="center"/>
          </w:tcPr>
          <w:p w14:paraId="7EFA4FA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w:t>
            </w:r>
          </w:p>
        </w:tc>
        <w:tc>
          <w:tcPr>
            <w:tcW w:w="1419" w:type="dxa"/>
            <w:vAlign w:val="center"/>
          </w:tcPr>
          <w:p w14:paraId="098B0CF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1858" w:type="dxa"/>
            <w:vAlign w:val="center"/>
          </w:tcPr>
          <w:p w14:paraId="500E5C89">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采用低噪声设备、减振、距离衰减等措施。</w:t>
            </w:r>
          </w:p>
        </w:tc>
        <w:tc>
          <w:tcPr>
            <w:tcW w:w="2036" w:type="dxa"/>
            <w:vAlign w:val="center"/>
          </w:tcPr>
          <w:p w14:paraId="30417AD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《工业企业厂界环境噪声排放标准》（GB12348-2008）中</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类标准</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类标准</w:t>
            </w:r>
          </w:p>
        </w:tc>
      </w:tr>
      <w:tr w14:paraId="3132C6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44" w:type="dxa"/>
            <w:vAlign w:val="center"/>
          </w:tcPr>
          <w:p w14:paraId="1E0E45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电磁辐射</w:t>
            </w:r>
          </w:p>
        </w:tc>
        <w:tc>
          <w:tcPr>
            <w:tcW w:w="2519" w:type="dxa"/>
          </w:tcPr>
          <w:p w14:paraId="34CE25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1419" w:type="dxa"/>
          </w:tcPr>
          <w:p w14:paraId="38C486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1858" w:type="dxa"/>
          </w:tcPr>
          <w:p w14:paraId="2A24A6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2036" w:type="dxa"/>
          </w:tcPr>
          <w:p w14:paraId="6FAED7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54DBAC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44" w:type="dxa"/>
            <w:vAlign w:val="center"/>
          </w:tcPr>
          <w:p w14:paraId="319B5C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固体废物</w:t>
            </w:r>
          </w:p>
        </w:tc>
        <w:tc>
          <w:tcPr>
            <w:tcW w:w="7832" w:type="dxa"/>
            <w:gridSpan w:val="4"/>
            <w:vAlign w:val="center"/>
          </w:tcPr>
          <w:p w14:paraId="7C9520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生活垃圾</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集中收集后，</w:t>
            </w:r>
            <w:r>
              <w:rPr>
                <w:rFonts w:hint="default" w:ascii="Times New Roman" w:hAnsi="Times New Roman" w:eastAsia="宋体" w:cs="Times New Roman"/>
                <w:color w:val="000000" w:themeColor="text1"/>
                <w:sz w:val="21"/>
                <w:szCs w:val="21"/>
                <w:highlight w:val="none"/>
                <w14:textFill>
                  <w14:solidFill>
                    <w14:schemeClr w14:val="tx1"/>
                  </w14:solidFill>
                </w14:textFill>
              </w:rPr>
              <w:t>交由环卫部门统一处理处置；</w:t>
            </w:r>
            <w:r>
              <w:rPr>
                <w:rFonts w:hint="default" w:ascii="Times New Roman" w:hAnsi="Times New Roman" w:eastAsia="宋体" w:cs="Times New Roman"/>
                <w:color w:val="FF0000"/>
                <w:sz w:val="21"/>
                <w:szCs w:val="21"/>
                <w:highlight w:val="none"/>
              </w:rPr>
              <w:t>车间沉降面粉粉尘、</w:t>
            </w:r>
            <w:r>
              <w:rPr>
                <w:rFonts w:hint="default" w:ascii="Times New Roman" w:hAnsi="Times New Roman" w:eastAsia="宋体" w:cs="Times New Roman"/>
                <w:color w:val="FF0000"/>
                <w:sz w:val="21"/>
                <w:szCs w:val="21"/>
                <w:highlight w:val="none"/>
                <w:lang w:val="en-US" w:eastAsia="zh-CN"/>
              </w:rPr>
              <w:t>废弃原材料及不合格产品</w:t>
            </w:r>
            <w:r>
              <w:rPr>
                <w:rFonts w:hint="eastAsia" w:ascii="Times New Roman" w:hAnsi="Times New Roman" w:eastAsia="宋体" w:cs="Times New Roman"/>
                <w:color w:val="FF0000"/>
                <w:sz w:val="21"/>
                <w:szCs w:val="21"/>
                <w:highlight w:val="none"/>
                <w:lang w:val="en-US" w:eastAsia="zh-CN"/>
              </w:rPr>
              <w:t>、废油脂</w:t>
            </w:r>
            <w:r>
              <w:rPr>
                <w:rFonts w:hint="default" w:ascii="Times New Roman" w:hAnsi="Times New Roman" w:eastAsia="宋体" w:cs="Times New Roman"/>
                <w:color w:val="FF0000"/>
                <w:sz w:val="21"/>
                <w:szCs w:val="21"/>
                <w:highlight w:val="none"/>
              </w:rPr>
              <w:t>集中收集后，</w:t>
            </w:r>
            <w:r>
              <w:rPr>
                <w:rFonts w:hint="default" w:ascii="Times New Roman" w:hAnsi="Times New Roman" w:eastAsia="宋体" w:cs="Times New Roman"/>
                <w:color w:val="FF0000"/>
                <w:sz w:val="21"/>
                <w:szCs w:val="21"/>
                <w:highlight w:val="none"/>
                <w:lang w:val="en-US" w:eastAsia="zh-CN"/>
              </w:rPr>
              <w:t>由餐余垃圾收集单位收集处理</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污水处理站污泥集中收集后</w:t>
            </w:r>
            <w:r>
              <w:rPr>
                <w:rFonts w:hint="eastAsia"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委托有能力单位清运处置</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鸡蛋壳集中收集后，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交由环卫部门统一进行外运处理</w:t>
            </w:r>
            <w:r>
              <w:rPr>
                <w:rFonts w:hint="default" w:ascii="Times New Roman" w:hAnsi="Times New Roman" w:eastAsia="宋体" w:cs="Times New Roman"/>
                <w:color w:val="000000" w:themeColor="text1"/>
                <w:sz w:val="21"/>
                <w:szCs w:val="21"/>
                <w:highlight w:val="none"/>
                <w14:textFill>
                  <w14:solidFill>
                    <w14:schemeClr w14:val="tx1"/>
                  </w14:solidFill>
                </w14:textFill>
              </w:rPr>
              <w:t>；废弃包装材料集中收集后，由废品收购站收购；更换下来的废RO反渗透膜，由厂家回收利用。</w:t>
            </w:r>
          </w:p>
          <w:p w14:paraId="0A4D09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检验室检验废液</w:t>
            </w:r>
            <w:r>
              <w:rPr>
                <w:rFonts w:hint="default" w:ascii="Times New Roman" w:hAnsi="Times New Roman" w:eastAsia="宋体" w:cs="Times New Roman"/>
                <w:color w:val="000000" w:themeColor="text1"/>
                <w:sz w:val="21"/>
                <w:szCs w:val="21"/>
                <w:highlight w:val="none"/>
                <w14:textFill>
                  <w14:solidFill>
                    <w14:schemeClr w14:val="tx1"/>
                  </w14:solidFill>
                </w14:textFill>
              </w:rPr>
              <w:t>暂存于</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1"/>
                <w:szCs w:val="21"/>
                <w:highlight w:val="none"/>
                <w14:textFill>
                  <w14:solidFill>
                    <w14:schemeClr w14:val="tx1"/>
                  </w14:solidFill>
                </w14:textFill>
              </w:rPr>
              <w:t>内，定期交由有资质单位处理。</w:t>
            </w:r>
          </w:p>
        </w:tc>
      </w:tr>
      <w:tr w14:paraId="3AABE7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044" w:type="dxa"/>
            <w:vAlign w:val="center"/>
          </w:tcPr>
          <w:p w14:paraId="09434C2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土壤及地下水</w:t>
            </w:r>
          </w:p>
          <w:p w14:paraId="7C4CF4B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污染防治措施</w:t>
            </w:r>
          </w:p>
        </w:tc>
        <w:tc>
          <w:tcPr>
            <w:tcW w:w="7832" w:type="dxa"/>
            <w:gridSpan w:val="4"/>
            <w:vAlign w:val="center"/>
          </w:tcPr>
          <w:p w14:paraId="7292520F">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本项目危废暂存间、污水处理站按重点防渗区要求进行防渗处理，防渗技术要求达到等效粘土防渗层Mb≥6.0m，K≤1×10</w:t>
            </w:r>
            <w:r>
              <w:rPr>
                <w:rFonts w:hint="eastAsia" w:ascii="Times New Roman" w:hAnsi="Times New Roman" w:eastAsia="宋体" w:cs="Times New Roman"/>
                <w:color w:val="000000" w:themeColor="text1"/>
                <w:sz w:val="21"/>
                <w:szCs w:val="21"/>
                <w:highlight w:val="none"/>
                <w:vertAlign w:val="superscript"/>
                <w:lang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cm/s。生产车间等按一般防渗区要求进行防渗处理，防渗技术要求：等效黏土防渗层Mb≥1.5m，K≤1×10</w:t>
            </w:r>
            <w:r>
              <w:rPr>
                <w:rFonts w:hint="eastAsia" w:ascii="Times New Roman" w:hAnsi="Times New Roman" w:eastAsia="宋体" w:cs="Times New Roman"/>
                <w:color w:val="000000" w:themeColor="text1"/>
                <w:sz w:val="21"/>
                <w:szCs w:val="21"/>
                <w:highlight w:val="none"/>
                <w:vertAlign w:val="superscript"/>
                <w:lang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cm/s。</w:t>
            </w:r>
          </w:p>
        </w:tc>
      </w:tr>
      <w:tr w14:paraId="3211AE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044" w:type="dxa"/>
            <w:vAlign w:val="center"/>
          </w:tcPr>
          <w:p w14:paraId="731B696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生态保护措施</w:t>
            </w:r>
          </w:p>
        </w:tc>
        <w:tc>
          <w:tcPr>
            <w:tcW w:w="7832" w:type="dxa"/>
            <w:gridSpan w:val="4"/>
            <w:vAlign w:val="center"/>
          </w:tcPr>
          <w:p w14:paraId="3F3B5D12">
            <w:pPr>
              <w:keepNext w:val="0"/>
              <w:keepLines w:val="0"/>
              <w:widowControl/>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tc>
      </w:tr>
      <w:tr w14:paraId="1825D2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044" w:type="dxa"/>
            <w:vAlign w:val="center"/>
          </w:tcPr>
          <w:p w14:paraId="1996C64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环境风险</w:t>
            </w:r>
          </w:p>
          <w:p w14:paraId="6DFF37B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防范措施</w:t>
            </w:r>
          </w:p>
        </w:tc>
        <w:tc>
          <w:tcPr>
            <w:tcW w:w="7832" w:type="dxa"/>
            <w:gridSpan w:val="4"/>
            <w:vAlign w:val="center"/>
          </w:tcPr>
          <w:p w14:paraId="0A0179CE">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①</w:t>
            </w:r>
            <w:r>
              <w:rPr>
                <w:rFonts w:hint="default" w:ascii="Times New Roman" w:hAnsi="Times New Roman" w:eastAsia="宋体" w:cs="Times New Roman"/>
                <w:color w:val="000000" w:themeColor="text1"/>
                <w:sz w:val="21"/>
                <w:szCs w:val="21"/>
                <w:highlight w:val="none"/>
                <w14:textFill>
                  <w14:solidFill>
                    <w14:schemeClr w14:val="tx1"/>
                  </w14:solidFill>
                </w14:textFill>
              </w:rPr>
              <w:t>环境风险物质及危险废物泄漏，并针对上述情形提出以下针对性的风险防范措施</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647F94FB">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1"/>
                <w:szCs w:val="21"/>
                <w:highlight w:val="none"/>
                <w14:textFill>
                  <w14:solidFill>
                    <w14:schemeClr w14:val="tx1"/>
                  </w14:solidFill>
                </w14:textFill>
              </w:rPr>
              <w:t>检验室及危废暂存间地面均需采取防腐防渗措施。</w:t>
            </w:r>
          </w:p>
          <w:p w14:paraId="6309CBEB">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1"/>
                <w:szCs w:val="21"/>
                <w:highlight w:val="none"/>
                <w14:textFill>
                  <w14:solidFill>
                    <w14:schemeClr w14:val="tx1"/>
                  </w14:solidFill>
                </w14:textFill>
              </w:rPr>
              <w:t>检验室各试剂存放于专用化学品储柜中，并加强检验室内通排风，控制室内温度及湿度。</w:t>
            </w:r>
          </w:p>
          <w:p w14:paraId="0CE93158">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1"/>
                <w:szCs w:val="21"/>
                <w:highlight w:val="none"/>
                <w14:textFill>
                  <w14:solidFill>
                    <w14:schemeClr w14:val="tx1"/>
                  </w14:solidFill>
                </w14:textFill>
              </w:rPr>
              <w:t>在检验室及危废暂存间附近设置消防沙等吸附物资，加强对泄漏物质的截流和吸附，避免其四处溢流。</w:t>
            </w:r>
          </w:p>
          <w:p w14:paraId="1E1F9CDF">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1"/>
                <w:szCs w:val="21"/>
                <w:highlight w:val="none"/>
                <w14:textFill>
                  <w14:solidFill>
                    <w14:schemeClr w14:val="tx1"/>
                  </w14:solidFill>
                </w14:textFill>
              </w:rPr>
              <w:t>加强职工培训，提高人员素质，严格检查检验室物品的质量、数量、包装以及有无泄漏。加强人员的管理，严禁火源，对明火严格控制，明火发生源为火柴、打火机等，同时应配备消防灭火器、防毒面具等消防应急设备，并定期检查设备有效性。</w:t>
            </w:r>
          </w:p>
          <w:p w14:paraId="0BA6029F">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②</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粉尘爆炸环境风险防范措施：</w:t>
            </w:r>
          </w:p>
          <w:p w14:paraId="515E35D2">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1"/>
                <w:szCs w:val="21"/>
                <w:highlight w:val="none"/>
                <w14:textFill>
                  <w14:solidFill>
                    <w14:schemeClr w14:val="tx1"/>
                  </w14:solidFill>
                </w14:textFill>
              </w:rPr>
              <w:t>控制粉尘浓度。投料(上料)工序集气罩要保持足够的风量，减少无组织粉尘的排放，生产车间需配套良好的通风设备，以降低空气中粉尘含量。</w:t>
            </w:r>
          </w:p>
          <w:p w14:paraId="57C40416">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1"/>
                <w:szCs w:val="21"/>
                <w:highlight w:val="none"/>
                <w14:textFill>
                  <w14:solidFill>
                    <w14:schemeClr w14:val="tx1"/>
                  </w14:solidFill>
                </w14:textFill>
              </w:rPr>
              <w:t>减少粉尘沉积。应定期及时清理沉积于车间内各角落、设备、管道上的粉尘，使设备外面的粉尘和系统内各部件之间的粉尘减至最少。</w:t>
            </w:r>
          </w:p>
          <w:p w14:paraId="49730D2D">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1"/>
                <w:szCs w:val="21"/>
                <w:highlight w:val="none"/>
                <w14:textFill>
                  <w14:solidFill>
                    <w14:schemeClr w14:val="tx1"/>
                  </w14:solidFill>
                </w14:textFill>
              </w:rPr>
              <w:t>防止电火花和静电放电。和面间的电气设备要按规定选择相应的防爆型设备，电气线路应经常维护和检查。设备接地线必须连接牢靠，有足够的机械强度，否则在松断处可能产生静电火花。</w:t>
            </w:r>
          </w:p>
          <w:p w14:paraId="62FF098B">
            <w:pPr>
              <w:keepNext w:val="0"/>
              <w:keepLines w:val="0"/>
              <w:suppressLineNumbers w:val="0"/>
              <w:adjustRightInd w:val="0"/>
              <w:snapToGrid w:val="0"/>
              <w:spacing w:before="0" w:beforeAutospacing="0" w:after="0" w:afterAutospacing="0"/>
              <w:ind w:left="0" w:right="0" w:firstLine="420" w:firstLineChars="200"/>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FF"/>
                <w:sz w:val="21"/>
                <w:szCs w:val="21"/>
                <w:highlight w:val="none"/>
                <w:lang w:eastAsia="zh-CN"/>
              </w:rPr>
              <w:t>③</w:t>
            </w:r>
            <w:r>
              <w:rPr>
                <w:rFonts w:hint="eastAsia" w:ascii="Times New Roman" w:hAnsi="Times New Roman" w:eastAsia="宋体" w:cs="Times New Roman"/>
                <w:color w:val="0000FF"/>
                <w:sz w:val="21"/>
                <w:szCs w:val="21"/>
                <w:highlight w:val="none"/>
                <w:lang w:val="en-US" w:eastAsia="zh-CN"/>
              </w:rPr>
              <w:t>本项目污水处理站内建设一座15m</w:t>
            </w:r>
            <w:r>
              <w:rPr>
                <w:rFonts w:hint="eastAsia" w:ascii="Times New Roman" w:hAnsi="Times New Roman" w:eastAsia="宋体" w:cs="Times New Roman"/>
                <w:color w:val="0000FF"/>
                <w:sz w:val="21"/>
                <w:szCs w:val="21"/>
                <w:highlight w:val="none"/>
                <w:vertAlign w:val="superscript"/>
                <w:lang w:val="en-US" w:eastAsia="zh-CN"/>
              </w:rPr>
              <w:t>3</w:t>
            </w:r>
            <w:r>
              <w:rPr>
                <w:rFonts w:hint="eastAsia" w:ascii="Times New Roman" w:hAnsi="Times New Roman" w:eastAsia="宋体" w:cs="Times New Roman"/>
                <w:color w:val="0000FF"/>
                <w:sz w:val="21"/>
                <w:szCs w:val="21"/>
                <w:highlight w:val="none"/>
                <w:lang w:val="en-US" w:eastAsia="zh-CN"/>
              </w:rPr>
              <w:t>事故池，污水处理站发生事故时，废水可以排入事故池暂存。</w:t>
            </w:r>
          </w:p>
        </w:tc>
      </w:tr>
      <w:tr w14:paraId="0FF8FD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1044" w:type="dxa"/>
            <w:vAlign w:val="center"/>
          </w:tcPr>
          <w:p w14:paraId="335F7A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其他环境</w:t>
            </w:r>
          </w:p>
          <w:p w14:paraId="5B4DE3F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管理要求</w:t>
            </w:r>
          </w:p>
        </w:tc>
        <w:tc>
          <w:tcPr>
            <w:tcW w:w="7832" w:type="dxa"/>
            <w:gridSpan w:val="4"/>
            <w:vAlign w:val="center"/>
          </w:tcPr>
          <w:p w14:paraId="2422BF7E">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按照《排污许可管理办法》（2024年7月1日起施行）和《固定污染源排污许可分类管理名录（2019版）》相关要求，本项目需进行排污许可证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简化</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管理的填报。项目投入运行后应及时完成环境保护验收，按监测计划开展自行监测，做好环境管理台账记录等。</w:t>
            </w:r>
          </w:p>
          <w:p w14:paraId="590C873B">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排污口规范化设置：</w:t>
            </w:r>
          </w:p>
          <w:p w14:paraId="113BB4F9">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（1）废水排放口：项目的污水处理设施排放口必须设置便于采样的采样井，并在其排放口设立明显标志牌，符合《环境保护图形标志》(GB15562.1-1995)要求。</w:t>
            </w:r>
          </w:p>
          <w:p w14:paraId="4A104D50">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（2）废气排放口：对于有组织排放的废气，排气筒应设置便于采样、监测的采样平台、采样口采样口的设置应符合《污染源监测技术规范》要求。废气排放口均应设置环保图形标志牌。</w:t>
            </w:r>
          </w:p>
          <w:p w14:paraId="30105FEF">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（3）固定噪声源：不同噪声源的情况，采取减振降噪、隔声等措施，使厂界达到相应功能区的标准要求。在厂界噪声敏感且对外界影响最大处设置固定噪声源的监测点和噪声环境保护图形标志牌。</w:t>
            </w:r>
          </w:p>
          <w:p w14:paraId="1318753C">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 xml:space="preserve">（4）固废：对于各类固体废物设置的专用贮存、堆放场地，均应设置醒目的标志牌。 </w:t>
            </w:r>
          </w:p>
          <w:p w14:paraId="0406906C">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 xml:space="preserve">①固体废物贮存场所要防流失、防渗漏、防雨、防洪水。 </w:t>
            </w:r>
          </w:p>
          <w:p w14:paraId="408FD4FB">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 xml:space="preserve">②固体废物贮存场所在醒目处设置标志牌。 </w:t>
            </w:r>
          </w:p>
          <w:p w14:paraId="1CF3A1E2">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③危险废物暂存间的边界采用墙体封闭，并在边界进出口设置明显标志 牌。</w:t>
            </w:r>
          </w:p>
          <w:p w14:paraId="2C2437C4">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设置标志牌要求：环境保护图形标志牌由生态环境部门统一定点制作，企业排污口分布图由市环境监管部门统一绘制。排放一般污染物排污口(源)，设置提示式标志牌，排放有毒有害等污染物的排污口设置警告式标志牌。</w:t>
            </w:r>
          </w:p>
          <w:p w14:paraId="068F2F72">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标志牌设置位置在排污口附近且醒目处，高度为标志牌上缘离地面2m；排污口附近1m 范围内有建筑物的，设平面式标志牌，无建筑物的设立式标志牌。</w:t>
            </w:r>
          </w:p>
          <w:p w14:paraId="3084D77A">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规范化排污口的有关设置(如图形标志牌、监控装置等)属环保设施，排污单位必须负责日常的维护保养，任何单位和个人不得擅自拆除，如需变更的须报环境监管部门同意并办理变更手续。</w:t>
            </w:r>
          </w:p>
          <w:p w14:paraId="253EABF1">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评价根据《环境保护图形标志》(GB15562.1-1995)中的要求，项目应在厂区的废气排放口、废水排放口、噪声排放源、固体废物贮存处置场应设置环境保护图形标志，见下表。</w:t>
            </w:r>
          </w:p>
          <w:p w14:paraId="2B8D69E6">
            <w:pPr>
              <w:keepNext w:val="0"/>
              <w:keepLines w:val="0"/>
              <w:widowControl/>
              <w:suppressLineNumbers w:val="0"/>
              <w:spacing w:before="0" w:beforeAutospacing="0" w:after="0" w:afterAutospacing="0"/>
              <w:ind w:left="0" w:right="0" w:firstLine="422" w:firstLineChars="200"/>
              <w:jc w:val="center"/>
              <w:rPr>
                <w:rFonts w:hint="eastAsia" w:ascii="Times New Roman" w:hAnsi="Times New Roman" w:eastAsia="宋体" w:cs="Times New Roman"/>
                <w:b/>
                <w:bCs/>
                <w:color w:val="FF0000"/>
                <w:sz w:val="21"/>
                <w:szCs w:val="21"/>
                <w:highlight w:val="none"/>
                <w:lang w:val="en-US" w:eastAsia="zh-CN"/>
              </w:rPr>
            </w:pPr>
            <w:r>
              <w:rPr>
                <w:rFonts w:hint="eastAsia" w:ascii="Times New Roman" w:hAnsi="Times New Roman" w:eastAsia="宋体" w:cs="Times New Roman"/>
                <w:b/>
                <w:bCs/>
                <w:color w:val="FF0000"/>
                <w:sz w:val="21"/>
                <w:szCs w:val="21"/>
                <w:highlight w:val="none"/>
                <w:lang w:val="en-US" w:eastAsia="zh-CN"/>
              </w:rPr>
              <w:t>表5-1 环境保护图形符号一览表</w:t>
            </w:r>
          </w:p>
          <w:tbl>
            <w:tblPr>
              <w:tblStyle w:val="14"/>
              <w:tblW w:w="7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2058"/>
              <w:gridCol w:w="1691"/>
              <w:gridCol w:w="1516"/>
              <w:gridCol w:w="1516"/>
            </w:tblGrid>
            <w:tr w14:paraId="2E184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797" w:type="dxa"/>
                  <w:vAlign w:val="center"/>
                </w:tcPr>
                <w:p w14:paraId="10309A52">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序号</w:t>
                  </w:r>
                </w:p>
              </w:tc>
              <w:tc>
                <w:tcPr>
                  <w:tcW w:w="2058" w:type="dxa"/>
                  <w:vAlign w:val="center"/>
                </w:tcPr>
                <w:p w14:paraId="3566A8F9">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提示图形符号</w:t>
                  </w:r>
                </w:p>
              </w:tc>
              <w:tc>
                <w:tcPr>
                  <w:tcW w:w="1691" w:type="dxa"/>
                  <w:vAlign w:val="center"/>
                </w:tcPr>
                <w:p w14:paraId="426FB5AF">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警告图形符号</w:t>
                  </w:r>
                </w:p>
              </w:tc>
              <w:tc>
                <w:tcPr>
                  <w:tcW w:w="1516" w:type="dxa"/>
                  <w:vAlign w:val="center"/>
                </w:tcPr>
                <w:p w14:paraId="2FA61A15">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名称</w:t>
                  </w:r>
                </w:p>
              </w:tc>
              <w:tc>
                <w:tcPr>
                  <w:tcW w:w="1516" w:type="dxa"/>
                  <w:vAlign w:val="center"/>
                </w:tcPr>
                <w:p w14:paraId="76E09933">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功能</w:t>
                  </w:r>
                </w:p>
              </w:tc>
            </w:tr>
            <w:tr w14:paraId="67D8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2" w:hRule="atLeast"/>
              </w:trPr>
              <w:tc>
                <w:tcPr>
                  <w:tcW w:w="797" w:type="dxa"/>
                  <w:vAlign w:val="center"/>
                </w:tcPr>
                <w:p w14:paraId="047649DB">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1</w:t>
                  </w:r>
                </w:p>
              </w:tc>
              <w:tc>
                <w:tcPr>
                  <w:tcW w:w="2058" w:type="dxa"/>
                  <w:vAlign w:val="center"/>
                </w:tcPr>
                <w:p w14:paraId="49167F76">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85888" behindDoc="1" locked="0" layoutInCell="1" allowOverlap="1">
                        <wp:simplePos x="0" y="0"/>
                        <wp:positionH relativeFrom="column">
                          <wp:posOffset>0</wp:posOffset>
                        </wp:positionH>
                        <wp:positionV relativeFrom="paragraph">
                          <wp:posOffset>0</wp:posOffset>
                        </wp:positionV>
                        <wp:extent cx="758190" cy="744855"/>
                        <wp:effectExtent l="0" t="0" r="3810" b="17145"/>
                        <wp:wrapTight wrapText="bothSides">
                          <wp:wrapPolygon>
                            <wp:start x="0" y="0"/>
                            <wp:lineTo x="0" y="20992"/>
                            <wp:lineTo x="21166" y="20992"/>
                            <wp:lineTo x="21166" y="0"/>
                            <wp:lineTo x="0" y="0"/>
                          </wp:wrapPolygon>
                        </wp:wrapTight>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22"/>
                                <a:stretch>
                                  <a:fillRect/>
                                </a:stretch>
                              </pic:blipFill>
                              <pic:spPr>
                                <a:xfrm>
                                  <a:off x="0" y="0"/>
                                  <a:ext cx="758190" cy="744855"/>
                                </a:xfrm>
                                <a:prstGeom prst="rect">
                                  <a:avLst/>
                                </a:prstGeom>
                                <a:noFill/>
                                <a:ln>
                                  <a:noFill/>
                                </a:ln>
                              </pic:spPr>
                            </pic:pic>
                          </a:graphicData>
                        </a:graphic>
                      </wp:anchor>
                    </w:drawing>
                  </w:r>
                </w:p>
              </w:tc>
              <w:tc>
                <w:tcPr>
                  <w:tcW w:w="1691" w:type="dxa"/>
                  <w:vAlign w:val="center"/>
                </w:tcPr>
                <w:p w14:paraId="5902407F">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89984" behindDoc="1" locked="0" layoutInCell="1" allowOverlap="1">
                        <wp:simplePos x="0" y="0"/>
                        <wp:positionH relativeFrom="column">
                          <wp:posOffset>-68580</wp:posOffset>
                        </wp:positionH>
                        <wp:positionV relativeFrom="paragraph">
                          <wp:posOffset>0</wp:posOffset>
                        </wp:positionV>
                        <wp:extent cx="814070" cy="714375"/>
                        <wp:effectExtent l="0" t="0" r="5080" b="9525"/>
                        <wp:wrapTight wrapText="bothSides">
                          <wp:wrapPolygon>
                            <wp:start x="0" y="0"/>
                            <wp:lineTo x="0" y="21312"/>
                            <wp:lineTo x="21229" y="21312"/>
                            <wp:lineTo x="21229" y="0"/>
                            <wp:lineTo x="0" y="0"/>
                          </wp:wrapPolygon>
                        </wp:wrapTight>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23"/>
                                <a:stretch>
                                  <a:fillRect/>
                                </a:stretch>
                              </pic:blipFill>
                              <pic:spPr>
                                <a:xfrm>
                                  <a:off x="0" y="0"/>
                                  <a:ext cx="814070" cy="714375"/>
                                </a:xfrm>
                                <a:prstGeom prst="rect">
                                  <a:avLst/>
                                </a:prstGeom>
                                <a:noFill/>
                                <a:ln>
                                  <a:noFill/>
                                </a:ln>
                              </pic:spPr>
                            </pic:pic>
                          </a:graphicData>
                        </a:graphic>
                      </wp:anchor>
                    </w:drawing>
                  </w:r>
                </w:p>
              </w:tc>
              <w:tc>
                <w:tcPr>
                  <w:tcW w:w="1516" w:type="dxa"/>
                  <w:vAlign w:val="center"/>
                </w:tcPr>
                <w:p w14:paraId="4C83DF42">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废水排放口</w:t>
                  </w:r>
                </w:p>
              </w:tc>
              <w:tc>
                <w:tcPr>
                  <w:tcW w:w="1516" w:type="dxa"/>
                  <w:vAlign w:val="center"/>
                </w:tcPr>
                <w:p w14:paraId="33711254">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标识废水向水体环境排放</w:t>
                  </w:r>
                </w:p>
                <w:p w14:paraId="409451F1">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r>
            <w:tr w14:paraId="17151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7" w:hRule="atLeast"/>
              </w:trPr>
              <w:tc>
                <w:tcPr>
                  <w:tcW w:w="797" w:type="dxa"/>
                  <w:vAlign w:val="center"/>
                </w:tcPr>
                <w:p w14:paraId="1049401B">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2</w:t>
                  </w:r>
                </w:p>
              </w:tc>
              <w:tc>
                <w:tcPr>
                  <w:tcW w:w="2058" w:type="dxa"/>
                  <w:vAlign w:val="center"/>
                </w:tcPr>
                <w:p w14:paraId="390782F1">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86912" behindDoc="1" locked="0" layoutInCell="1" allowOverlap="1">
                        <wp:simplePos x="0" y="0"/>
                        <wp:positionH relativeFrom="column">
                          <wp:posOffset>-20955</wp:posOffset>
                        </wp:positionH>
                        <wp:positionV relativeFrom="paragraph">
                          <wp:posOffset>0</wp:posOffset>
                        </wp:positionV>
                        <wp:extent cx="787400" cy="800735"/>
                        <wp:effectExtent l="0" t="0" r="12700" b="18415"/>
                        <wp:wrapTight wrapText="bothSides">
                          <wp:wrapPolygon>
                            <wp:start x="0" y="0"/>
                            <wp:lineTo x="0" y="21069"/>
                            <wp:lineTo x="20903" y="21069"/>
                            <wp:lineTo x="20903" y="0"/>
                            <wp:lineTo x="0" y="0"/>
                          </wp:wrapPolygon>
                        </wp:wrapTight>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24"/>
                                <a:stretch>
                                  <a:fillRect/>
                                </a:stretch>
                              </pic:blipFill>
                              <pic:spPr>
                                <a:xfrm>
                                  <a:off x="0" y="0"/>
                                  <a:ext cx="787400" cy="800735"/>
                                </a:xfrm>
                                <a:prstGeom prst="rect">
                                  <a:avLst/>
                                </a:prstGeom>
                                <a:noFill/>
                                <a:ln>
                                  <a:noFill/>
                                </a:ln>
                              </pic:spPr>
                            </pic:pic>
                          </a:graphicData>
                        </a:graphic>
                      </wp:anchor>
                    </w:drawing>
                  </w:r>
                </w:p>
              </w:tc>
              <w:tc>
                <w:tcPr>
                  <w:tcW w:w="1691" w:type="dxa"/>
                  <w:vAlign w:val="center"/>
                </w:tcPr>
                <w:p w14:paraId="2ED73BE0">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91008" behindDoc="0" locked="0" layoutInCell="1" allowOverlap="1">
                        <wp:simplePos x="0" y="0"/>
                        <wp:positionH relativeFrom="column">
                          <wp:posOffset>-68580</wp:posOffset>
                        </wp:positionH>
                        <wp:positionV relativeFrom="paragraph">
                          <wp:posOffset>0</wp:posOffset>
                        </wp:positionV>
                        <wp:extent cx="790575" cy="790575"/>
                        <wp:effectExtent l="0" t="0" r="9525" b="9525"/>
                        <wp:wrapSquare wrapText="bothSides"/>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25"/>
                                <a:stretch>
                                  <a:fillRect/>
                                </a:stretch>
                              </pic:blipFill>
                              <pic:spPr>
                                <a:xfrm>
                                  <a:off x="0" y="0"/>
                                  <a:ext cx="790575" cy="790575"/>
                                </a:xfrm>
                                <a:prstGeom prst="rect">
                                  <a:avLst/>
                                </a:prstGeom>
                                <a:noFill/>
                                <a:ln>
                                  <a:noFill/>
                                </a:ln>
                              </pic:spPr>
                            </pic:pic>
                          </a:graphicData>
                        </a:graphic>
                      </wp:anchor>
                    </w:drawing>
                  </w:r>
                </w:p>
              </w:tc>
              <w:tc>
                <w:tcPr>
                  <w:tcW w:w="1516" w:type="dxa"/>
                  <w:vAlign w:val="center"/>
                </w:tcPr>
                <w:p w14:paraId="3007D0D7">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废气排放口</w:t>
                  </w:r>
                </w:p>
                <w:p w14:paraId="248F299F">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c>
                <w:tcPr>
                  <w:tcW w:w="1516" w:type="dxa"/>
                  <w:vAlign w:val="center"/>
                </w:tcPr>
                <w:p w14:paraId="4A7F7822">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表示废气向大气环境排放</w:t>
                  </w:r>
                </w:p>
                <w:p w14:paraId="4B314E31">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r>
            <w:tr w14:paraId="0FA0C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 w:hRule="atLeast"/>
              </w:trPr>
              <w:tc>
                <w:tcPr>
                  <w:tcW w:w="797" w:type="dxa"/>
                  <w:vAlign w:val="center"/>
                </w:tcPr>
                <w:p w14:paraId="00D17DC6">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3</w:t>
                  </w:r>
                </w:p>
              </w:tc>
              <w:tc>
                <w:tcPr>
                  <w:tcW w:w="2058" w:type="dxa"/>
                  <w:vAlign w:val="center"/>
                </w:tcPr>
                <w:p w14:paraId="351289B0">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87936" behindDoc="1" locked="0" layoutInCell="1" allowOverlap="1">
                        <wp:simplePos x="0" y="0"/>
                        <wp:positionH relativeFrom="column">
                          <wp:posOffset>-68580</wp:posOffset>
                        </wp:positionH>
                        <wp:positionV relativeFrom="paragraph">
                          <wp:posOffset>0</wp:posOffset>
                        </wp:positionV>
                        <wp:extent cx="844550" cy="819150"/>
                        <wp:effectExtent l="0" t="0" r="12700" b="0"/>
                        <wp:wrapTight wrapText="bothSides">
                          <wp:wrapPolygon>
                            <wp:start x="0" y="0"/>
                            <wp:lineTo x="0" y="21098"/>
                            <wp:lineTo x="20950" y="21098"/>
                            <wp:lineTo x="20950" y="0"/>
                            <wp:lineTo x="0" y="0"/>
                          </wp:wrapPolygon>
                        </wp:wrapTight>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26"/>
                                <a:stretch>
                                  <a:fillRect/>
                                </a:stretch>
                              </pic:blipFill>
                              <pic:spPr>
                                <a:xfrm>
                                  <a:off x="0" y="0"/>
                                  <a:ext cx="844550" cy="819150"/>
                                </a:xfrm>
                                <a:prstGeom prst="rect">
                                  <a:avLst/>
                                </a:prstGeom>
                                <a:noFill/>
                                <a:ln>
                                  <a:noFill/>
                                </a:ln>
                              </pic:spPr>
                            </pic:pic>
                          </a:graphicData>
                        </a:graphic>
                      </wp:anchor>
                    </w:drawing>
                  </w:r>
                </w:p>
              </w:tc>
              <w:tc>
                <w:tcPr>
                  <w:tcW w:w="1691" w:type="dxa"/>
                  <w:vAlign w:val="center"/>
                </w:tcPr>
                <w:p w14:paraId="75647C2E">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92032" behindDoc="0" locked="0" layoutInCell="1" allowOverlap="1">
                        <wp:simplePos x="0" y="0"/>
                        <wp:positionH relativeFrom="column">
                          <wp:posOffset>-68580</wp:posOffset>
                        </wp:positionH>
                        <wp:positionV relativeFrom="paragraph">
                          <wp:posOffset>0</wp:posOffset>
                        </wp:positionV>
                        <wp:extent cx="785495" cy="695960"/>
                        <wp:effectExtent l="0" t="0" r="14605" b="8890"/>
                        <wp:wrapSquare wrapText="bothSides"/>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27"/>
                                <a:stretch>
                                  <a:fillRect/>
                                </a:stretch>
                              </pic:blipFill>
                              <pic:spPr>
                                <a:xfrm>
                                  <a:off x="0" y="0"/>
                                  <a:ext cx="785495" cy="695960"/>
                                </a:xfrm>
                                <a:prstGeom prst="rect">
                                  <a:avLst/>
                                </a:prstGeom>
                                <a:noFill/>
                                <a:ln>
                                  <a:noFill/>
                                </a:ln>
                              </pic:spPr>
                            </pic:pic>
                          </a:graphicData>
                        </a:graphic>
                      </wp:anchor>
                    </w:drawing>
                  </w:r>
                </w:p>
              </w:tc>
              <w:tc>
                <w:tcPr>
                  <w:tcW w:w="1516" w:type="dxa"/>
                  <w:vAlign w:val="center"/>
                </w:tcPr>
                <w:p w14:paraId="1996B78A">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噪声排放源</w:t>
                  </w:r>
                </w:p>
                <w:p w14:paraId="728FA709">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c>
                <w:tcPr>
                  <w:tcW w:w="1516" w:type="dxa"/>
                  <w:vAlign w:val="center"/>
                </w:tcPr>
                <w:p w14:paraId="5D2C4ED0">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表示噪声向外环境排放</w:t>
                  </w:r>
                </w:p>
                <w:p w14:paraId="7624E060">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r>
            <w:tr w14:paraId="26FE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 w:hRule="atLeast"/>
              </w:trPr>
              <w:tc>
                <w:tcPr>
                  <w:tcW w:w="797" w:type="dxa"/>
                  <w:vAlign w:val="center"/>
                </w:tcPr>
                <w:p w14:paraId="5778AEBB">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4</w:t>
                  </w:r>
                </w:p>
              </w:tc>
              <w:tc>
                <w:tcPr>
                  <w:tcW w:w="2058" w:type="dxa"/>
                  <w:vAlign w:val="center"/>
                </w:tcPr>
                <w:p w14:paraId="6734A036">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88960" behindDoc="1" locked="0" layoutInCell="1" allowOverlap="1">
                        <wp:simplePos x="0" y="0"/>
                        <wp:positionH relativeFrom="column">
                          <wp:posOffset>-68580</wp:posOffset>
                        </wp:positionH>
                        <wp:positionV relativeFrom="paragraph">
                          <wp:posOffset>0</wp:posOffset>
                        </wp:positionV>
                        <wp:extent cx="835025" cy="848360"/>
                        <wp:effectExtent l="0" t="0" r="3175" b="8890"/>
                        <wp:wrapTight wrapText="bothSides">
                          <wp:wrapPolygon>
                            <wp:start x="0" y="0"/>
                            <wp:lineTo x="0" y="21341"/>
                            <wp:lineTo x="21189" y="21341"/>
                            <wp:lineTo x="21189" y="0"/>
                            <wp:lineTo x="0" y="0"/>
                          </wp:wrapPolygon>
                        </wp:wrapTight>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28"/>
                                <a:stretch>
                                  <a:fillRect/>
                                </a:stretch>
                              </pic:blipFill>
                              <pic:spPr>
                                <a:xfrm>
                                  <a:off x="0" y="0"/>
                                  <a:ext cx="835025" cy="848360"/>
                                </a:xfrm>
                                <a:prstGeom prst="rect">
                                  <a:avLst/>
                                </a:prstGeom>
                                <a:noFill/>
                                <a:ln>
                                  <a:noFill/>
                                </a:ln>
                              </pic:spPr>
                            </pic:pic>
                          </a:graphicData>
                        </a:graphic>
                      </wp:anchor>
                    </w:drawing>
                  </w:r>
                </w:p>
              </w:tc>
              <w:tc>
                <w:tcPr>
                  <w:tcW w:w="1691" w:type="dxa"/>
                  <w:vAlign w:val="center"/>
                </w:tcPr>
                <w:p w14:paraId="4118152D">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93056" behindDoc="0" locked="0" layoutInCell="1" allowOverlap="1">
                        <wp:simplePos x="0" y="0"/>
                        <wp:positionH relativeFrom="column">
                          <wp:posOffset>-68580</wp:posOffset>
                        </wp:positionH>
                        <wp:positionV relativeFrom="paragraph">
                          <wp:posOffset>0</wp:posOffset>
                        </wp:positionV>
                        <wp:extent cx="792480" cy="742950"/>
                        <wp:effectExtent l="0" t="0" r="7620" b="0"/>
                        <wp:wrapSquare wrapText="bothSides"/>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29"/>
                                <a:stretch>
                                  <a:fillRect/>
                                </a:stretch>
                              </pic:blipFill>
                              <pic:spPr>
                                <a:xfrm>
                                  <a:off x="0" y="0"/>
                                  <a:ext cx="792480" cy="742950"/>
                                </a:xfrm>
                                <a:prstGeom prst="rect">
                                  <a:avLst/>
                                </a:prstGeom>
                                <a:noFill/>
                                <a:ln>
                                  <a:noFill/>
                                </a:ln>
                              </pic:spPr>
                            </pic:pic>
                          </a:graphicData>
                        </a:graphic>
                      </wp:anchor>
                    </w:drawing>
                  </w:r>
                </w:p>
              </w:tc>
              <w:tc>
                <w:tcPr>
                  <w:tcW w:w="1516" w:type="dxa"/>
                  <w:vAlign w:val="center"/>
                </w:tcPr>
                <w:p w14:paraId="6A22C6B1">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一般固体废物</w:t>
                  </w:r>
                </w:p>
              </w:tc>
              <w:tc>
                <w:tcPr>
                  <w:tcW w:w="1516" w:type="dxa"/>
                  <w:vAlign w:val="center"/>
                </w:tcPr>
                <w:p w14:paraId="4AC6BB12">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表示一般固体废物贮存、处置场</w:t>
                  </w:r>
                </w:p>
                <w:p w14:paraId="7DDA65CF">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r>
            <w:tr w14:paraId="13FA6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atLeast"/>
              </w:trPr>
              <w:tc>
                <w:tcPr>
                  <w:tcW w:w="797" w:type="dxa"/>
                  <w:vAlign w:val="center"/>
                </w:tcPr>
                <w:p w14:paraId="0E3AB0F1">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5</w:t>
                  </w:r>
                </w:p>
              </w:tc>
              <w:tc>
                <w:tcPr>
                  <w:tcW w:w="2058" w:type="dxa"/>
                  <w:vAlign w:val="center"/>
                </w:tcPr>
                <w:p w14:paraId="366BF66B">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c>
                <w:tcPr>
                  <w:tcW w:w="1691" w:type="dxa"/>
                  <w:vAlign w:val="center"/>
                </w:tcPr>
                <w:p w14:paraId="2E075593">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drawing>
                      <wp:anchor distT="0" distB="0" distL="114300" distR="114300" simplePos="0" relativeHeight="251694080" behindDoc="0" locked="0" layoutInCell="1" allowOverlap="1">
                        <wp:simplePos x="0" y="0"/>
                        <wp:positionH relativeFrom="column">
                          <wp:posOffset>0</wp:posOffset>
                        </wp:positionH>
                        <wp:positionV relativeFrom="paragraph">
                          <wp:posOffset>0</wp:posOffset>
                        </wp:positionV>
                        <wp:extent cx="621030" cy="561975"/>
                        <wp:effectExtent l="0" t="0" r="7620" b="9525"/>
                        <wp:wrapSquare wrapText="bothSides"/>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30"/>
                                <a:stretch>
                                  <a:fillRect/>
                                </a:stretch>
                              </pic:blipFill>
                              <pic:spPr>
                                <a:xfrm>
                                  <a:off x="0" y="0"/>
                                  <a:ext cx="621030" cy="561975"/>
                                </a:xfrm>
                                <a:prstGeom prst="rect">
                                  <a:avLst/>
                                </a:prstGeom>
                                <a:noFill/>
                                <a:ln>
                                  <a:noFill/>
                                </a:ln>
                              </pic:spPr>
                            </pic:pic>
                          </a:graphicData>
                        </a:graphic>
                      </wp:anchor>
                    </w:drawing>
                  </w:r>
                </w:p>
              </w:tc>
              <w:tc>
                <w:tcPr>
                  <w:tcW w:w="1516" w:type="dxa"/>
                  <w:vAlign w:val="center"/>
                </w:tcPr>
                <w:p w14:paraId="787B6DC6">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vertAlign w:val="baseline"/>
                      <w:lang w:val="en-US" w:eastAsia="zh-CN"/>
                    </w:rPr>
                    <w:t>危险废物暂存间</w:t>
                  </w:r>
                </w:p>
              </w:tc>
              <w:tc>
                <w:tcPr>
                  <w:tcW w:w="1516" w:type="dxa"/>
                  <w:vAlign w:val="center"/>
                </w:tcPr>
                <w:p w14:paraId="20E2385E">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表示危险废物贮存、处置场</w:t>
                  </w:r>
                </w:p>
                <w:p w14:paraId="03169E25">
                  <w:pPr>
                    <w:keepNext w:val="0"/>
                    <w:keepLines w:val="0"/>
                    <w:widowControl/>
                    <w:suppressLineNumbers w:val="0"/>
                    <w:spacing w:before="0" w:beforeAutospacing="0" w:after="0" w:afterAutospacing="0"/>
                    <w:ind w:right="0"/>
                    <w:jc w:val="center"/>
                    <w:rPr>
                      <w:rFonts w:hint="default" w:ascii="Times New Roman" w:hAnsi="Times New Roman" w:eastAsia="宋体" w:cs="Times New Roman"/>
                      <w:color w:val="FF0000"/>
                      <w:sz w:val="21"/>
                      <w:szCs w:val="21"/>
                      <w:highlight w:val="none"/>
                      <w:vertAlign w:val="baseline"/>
                      <w:lang w:val="en-US" w:eastAsia="zh-CN"/>
                    </w:rPr>
                  </w:pPr>
                </w:p>
              </w:tc>
            </w:tr>
          </w:tbl>
          <w:p w14:paraId="49B2F125">
            <w:pPr>
              <w:keepNext w:val="0"/>
              <w:keepLines w:val="0"/>
              <w:widowControl/>
              <w:suppressLineNumbers w:val="0"/>
              <w:spacing w:before="0" w:beforeAutospacing="0" w:after="0" w:afterAutospacing="0"/>
              <w:ind w:right="0"/>
              <w:jc w:val="left"/>
              <w:rPr>
                <w:rFonts w:hint="default" w:ascii="Times New Roman" w:hAnsi="Times New Roman" w:eastAsia="宋体" w:cs="Times New Roman"/>
                <w:color w:val="FF0000"/>
                <w:sz w:val="21"/>
                <w:szCs w:val="21"/>
                <w:highlight w:val="none"/>
                <w:lang w:val="en-US" w:eastAsia="zh-CN"/>
              </w:rPr>
            </w:pPr>
          </w:p>
          <w:p w14:paraId="407670E9">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p>
          <w:p w14:paraId="3E47647A">
            <w:pPr>
              <w:keepNext w:val="0"/>
              <w:keepLines w:val="0"/>
              <w:widowControl/>
              <w:suppressLineNumbers w:val="0"/>
              <w:spacing w:before="0" w:beforeAutospacing="0" w:after="0" w:afterAutospacing="0"/>
              <w:ind w:left="0" w:right="0" w:firstLine="420" w:firstLineChars="200"/>
              <w:jc w:val="left"/>
              <w:rPr>
                <w:rFonts w:hint="eastAsia" w:ascii="Times New Roman" w:hAnsi="Times New Roman" w:eastAsia="宋体" w:cs="Times New Roman"/>
                <w:color w:val="FF0000"/>
                <w:sz w:val="21"/>
                <w:szCs w:val="21"/>
                <w:highlight w:val="none"/>
                <w:lang w:val="en-US" w:eastAsia="zh-CN"/>
              </w:rPr>
            </w:pPr>
          </w:p>
          <w:p w14:paraId="2913E700">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bl>
    <w:p w14:paraId="06DE87FF">
      <w:pPr>
        <w:widowControl/>
        <w:spacing w:before="100" w:beforeAutospacing="1" w:after="100" w:afterAutospacing="1"/>
        <w:jc w:val="center"/>
        <w:outlineLvl w:val="0"/>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0"/>
          <w:sz w:val="24"/>
          <w:szCs w:val="20"/>
          <w:highlight w:val="none"/>
          <w:lang w:val="en-US" w:eastAsia="zh-CN" w:bidi="ar-SA"/>
          <w14:textFill>
            <w14:solidFill>
              <w14:schemeClr w14:val="tx1"/>
            </w14:solidFill>
          </w14:textFill>
        </w:rPr>
        <w:br w:type="page"/>
      </w:r>
      <w:bookmarkStart w:id="14" w:name="_Toc140683755"/>
      <w:bookmarkStart w:id="15" w:name="_Toc138577286"/>
      <w:r>
        <w:rPr>
          <w:rFonts w:hint="default" w:ascii="Times New Roman" w:hAnsi="Times New Roman" w:eastAsia="宋体" w:cs="Times New Roman"/>
          <w:b/>
          <w:snapToGrid w:val="0"/>
          <w:color w:val="000000" w:themeColor="text1"/>
          <w:kern w:val="0"/>
          <w:sz w:val="30"/>
          <w:szCs w:val="30"/>
          <w:highlight w:val="none"/>
          <w:lang w:val="en-US" w:eastAsia="zh-CN" w:bidi="ar-SA"/>
          <w14:textFill>
            <w14:solidFill>
              <w14:schemeClr w14:val="tx1"/>
            </w14:solidFill>
          </w14:textFill>
        </w:rPr>
        <w:t>六、结论</w:t>
      </w:r>
      <w:bookmarkEnd w:id="14"/>
      <w:bookmarkEnd w:id="15"/>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E9FE4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14:paraId="047BC3D6">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综合对本项目的建设概况、环境质量现状、污染物排放情况、主要环境影响的分析论证，结合项目所在位置的环境质量现状和目标要求，在全面严格落实本报告所提出各项污染防治措施的前提下，通过加强环境管理和环境监测，杜绝事故排放，所排污染物均能做到达标排放，故该项目对环境的影响可以接受。</w:t>
            </w:r>
          </w:p>
          <w:p w14:paraId="715D84F1">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000000" w:themeColor="text1"/>
                <w:sz w:val="24"/>
                <w:highlight w:val="none"/>
                <w14:textFill>
                  <w14:solidFill>
                    <w14:schemeClr w14:val="tx1"/>
                  </w14:solidFill>
                </w14:textFill>
              </w:rPr>
            </w:pPr>
          </w:p>
        </w:tc>
      </w:tr>
    </w:tbl>
    <w:p w14:paraId="406188DA">
      <w:pP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6C7E4A4">
      <w:pPr>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left"/>
        <w:textAlignment w:val="auto"/>
        <w:outlineLvl w:val="0"/>
        <w:rPr>
          <w:rFonts w:hint="default" w:ascii="Times New Roman" w:hAnsi="Times New Roman" w:eastAsia="宋体" w:cs="Times New Roman"/>
          <w:b/>
          <w:snapToGrid w:val="0"/>
          <w:color w:val="000000" w:themeColor="text1"/>
          <w:kern w:val="0"/>
          <w:sz w:val="32"/>
          <w:szCs w:val="32"/>
          <w:highlight w:val="none"/>
          <w:lang w:val="en-US" w:eastAsia="zh-CN" w:bidi="ar-SA"/>
          <w14:textFill>
            <w14:solidFill>
              <w14:schemeClr w14:val="tx1"/>
            </w14:solidFill>
          </w14:textFill>
        </w:rPr>
      </w:pPr>
      <w:bookmarkStart w:id="16" w:name="_Toc140683756"/>
      <w:bookmarkStart w:id="17" w:name="_Toc138577287"/>
      <w:r>
        <w:rPr>
          <w:rFonts w:hint="default" w:ascii="Times New Roman" w:hAnsi="Times New Roman" w:eastAsia="宋体" w:cs="Times New Roman"/>
          <w:b/>
          <w:snapToGrid w:val="0"/>
          <w:color w:val="000000" w:themeColor="text1"/>
          <w:kern w:val="0"/>
          <w:sz w:val="32"/>
          <w:szCs w:val="32"/>
          <w:highlight w:val="none"/>
          <w:lang w:val="en-US" w:eastAsia="zh-CN" w:bidi="ar-SA"/>
          <w14:textFill>
            <w14:solidFill>
              <w14:schemeClr w14:val="tx1"/>
            </w14:solidFill>
          </w14:textFill>
        </w:rPr>
        <w:t>附表</w:t>
      </w:r>
      <w:bookmarkEnd w:id="16"/>
      <w:bookmarkEnd w:id="17"/>
    </w:p>
    <w:p w14:paraId="063A6568">
      <w:pPr>
        <w:widowControl/>
        <w:adjustRightInd w:val="0"/>
        <w:snapToGrid w:val="0"/>
        <w:spacing w:before="0" w:beforeAutospacing="0" w:after="0" w:afterAutospacing="0" w:line="276" w:lineRule="auto"/>
        <w:jc w:val="center"/>
        <w:rPr>
          <w:rFonts w:hint="default" w:ascii="Times New Roman" w:hAnsi="Times New Roman" w:eastAsia="宋体" w:cs="Times New Roman"/>
          <w:b/>
          <w:snapToGrid w:val="0"/>
          <w:color w:val="000000" w:themeColor="text1"/>
          <w:kern w:val="0"/>
          <w:sz w:val="38"/>
          <w:szCs w:val="38"/>
          <w:highlight w:val="none"/>
          <w:lang w:val="en-US" w:eastAsia="zh-CN" w:bidi="ar-SA"/>
          <w14:textFill>
            <w14:solidFill>
              <w14:schemeClr w14:val="tx1"/>
            </w14:solidFill>
          </w14:textFill>
        </w:rPr>
      </w:pPr>
      <w:bookmarkStart w:id="18" w:name="_Toc138577288"/>
      <w:r>
        <w:rPr>
          <w:rFonts w:hint="default" w:ascii="Times New Roman" w:hAnsi="Times New Roman" w:eastAsia="宋体" w:cs="Times New Roman"/>
          <w:b/>
          <w:snapToGrid w:val="0"/>
          <w:color w:val="000000" w:themeColor="text1"/>
          <w:kern w:val="0"/>
          <w:sz w:val="38"/>
          <w:szCs w:val="38"/>
          <w:highlight w:val="none"/>
          <w:lang w:val="en-US" w:eastAsia="zh-CN" w:bidi="ar-SA"/>
          <w14:textFill>
            <w14:solidFill>
              <w14:schemeClr w14:val="tx1"/>
            </w14:solidFill>
          </w14:textFill>
        </w:rPr>
        <w:t>建设项目污染物排放量汇总表</w:t>
      </w:r>
      <w:bookmarkEnd w:id="18"/>
    </w:p>
    <w:tbl>
      <w:tblPr>
        <w:tblStyle w:val="13"/>
        <w:tblW w:w="1387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950"/>
        <w:gridCol w:w="1579"/>
        <w:gridCol w:w="1276"/>
        <w:gridCol w:w="1701"/>
        <w:gridCol w:w="1559"/>
        <w:gridCol w:w="1363"/>
        <w:gridCol w:w="1671"/>
        <w:gridCol w:w="1600"/>
      </w:tblGrid>
      <w:tr w14:paraId="391ACF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77" w:type="dxa"/>
            <w:tcBorders>
              <w:tl2br w:val="single" w:color="auto" w:sz="4" w:space="0"/>
            </w:tcBorders>
            <w:tcMar>
              <w:left w:w="28" w:type="dxa"/>
              <w:right w:w="28" w:type="dxa"/>
            </w:tcMar>
            <w:vAlign w:val="center"/>
          </w:tcPr>
          <w:p w14:paraId="32C1566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right"/>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项目</w:t>
            </w:r>
          </w:p>
          <w:p w14:paraId="0B53AD6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left"/>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分类</w:t>
            </w:r>
          </w:p>
        </w:tc>
        <w:tc>
          <w:tcPr>
            <w:tcW w:w="1950" w:type="dxa"/>
            <w:tcMar>
              <w:left w:w="28" w:type="dxa"/>
              <w:right w:w="28" w:type="dxa"/>
            </w:tcMar>
            <w:vAlign w:val="center"/>
          </w:tcPr>
          <w:p w14:paraId="1A97C3E1">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污染物名称</w:t>
            </w:r>
          </w:p>
        </w:tc>
        <w:tc>
          <w:tcPr>
            <w:tcW w:w="1579" w:type="dxa"/>
            <w:tcMar>
              <w:left w:w="28" w:type="dxa"/>
              <w:right w:w="28" w:type="dxa"/>
            </w:tcMar>
            <w:vAlign w:val="center"/>
          </w:tcPr>
          <w:p w14:paraId="36DAA51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现有工程</w:t>
            </w:r>
          </w:p>
          <w:p w14:paraId="45E633C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tc>
        <w:tc>
          <w:tcPr>
            <w:tcW w:w="1276" w:type="dxa"/>
            <w:tcMar>
              <w:left w:w="28" w:type="dxa"/>
              <w:right w:w="28" w:type="dxa"/>
            </w:tcMar>
            <w:vAlign w:val="center"/>
          </w:tcPr>
          <w:p w14:paraId="73CF0C1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现有工程</w:t>
            </w:r>
          </w:p>
          <w:p w14:paraId="529691D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许可排放量</w:t>
            </w:r>
          </w:p>
          <w:p w14:paraId="49FB566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2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②</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tc>
        <w:tc>
          <w:tcPr>
            <w:tcW w:w="1701" w:type="dxa"/>
            <w:tcMar>
              <w:left w:w="28" w:type="dxa"/>
              <w:right w:w="28" w:type="dxa"/>
            </w:tcMar>
            <w:vAlign w:val="center"/>
          </w:tcPr>
          <w:p w14:paraId="25CE7DE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在建工程</w:t>
            </w:r>
          </w:p>
          <w:p w14:paraId="4B83223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tc>
        <w:tc>
          <w:tcPr>
            <w:tcW w:w="1559" w:type="dxa"/>
            <w:tcMar>
              <w:left w:w="28" w:type="dxa"/>
              <w:right w:w="28" w:type="dxa"/>
            </w:tcMar>
            <w:vAlign w:val="center"/>
          </w:tcPr>
          <w:p w14:paraId="34CE326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本项目</w:t>
            </w:r>
          </w:p>
          <w:p w14:paraId="4B8E2F3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tc>
        <w:tc>
          <w:tcPr>
            <w:tcW w:w="1363" w:type="dxa"/>
            <w:tcMar>
              <w:left w:w="28" w:type="dxa"/>
              <w:right w:w="28" w:type="dxa"/>
            </w:tcMar>
            <w:vAlign w:val="center"/>
          </w:tcPr>
          <w:p w14:paraId="2892E0D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以新带老削减量</w:t>
            </w:r>
          </w:p>
          <w:p w14:paraId="1CFD114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（新建项目不填）</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end"/>
            </w:r>
          </w:p>
        </w:tc>
        <w:tc>
          <w:tcPr>
            <w:tcW w:w="1671" w:type="dxa"/>
            <w:tcMar>
              <w:left w:w="28" w:type="dxa"/>
              <w:right w:w="28" w:type="dxa"/>
            </w:tcMar>
            <w:vAlign w:val="center"/>
          </w:tcPr>
          <w:p w14:paraId="1C2DC74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本项目建成后</w:t>
            </w:r>
          </w:p>
          <w:p w14:paraId="2F6EBE5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全厂排放量（固体废物产生量）</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end"/>
            </w:r>
          </w:p>
        </w:tc>
        <w:tc>
          <w:tcPr>
            <w:tcW w:w="1600" w:type="dxa"/>
            <w:tcMar>
              <w:left w:w="28" w:type="dxa"/>
              <w:right w:w="28" w:type="dxa"/>
            </w:tcMar>
            <w:vAlign w:val="center"/>
          </w:tcPr>
          <w:p w14:paraId="0579AF6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变化量</w:t>
            </w:r>
          </w:p>
          <w:p w14:paraId="205C7AA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tc>
      </w:tr>
      <w:tr w14:paraId="35705C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restart"/>
            <w:vAlign w:val="center"/>
          </w:tcPr>
          <w:p w14:paraId="3ED84C2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废气</w:t>
            </w:r>
          </w:p>
        </w:tc>
        <w:tc>
          <w:tcPr>
            <w:tcW w:w="1950" w:type="dxa"/>
            <w:vAlign w:val="center"/>
          </w:tcPr>
          <w:p w14:paraId="14ECDD5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颗粒物</w:t>
            </w:r>
          </w:p>
        </w:tc>
        <w:tc>
          <w:tcPr>
            <w:tcW w:w="1579" w:type="dxa"/>
            <w:vAlign w:val="center"/>
          </w:tcPr>
          <w:p w14:paraId="1D3AF9C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7DC5329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3D156D1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5BAF50A6">
            <w:pPr>
              <w:spacing w:beforeLines="0" w:afterLine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0.00255</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1363" w:type="dxa"/>
            <w:vAlign w:val="center"/>
          </w:tcPr>
          <w:p w14:paraId="168E085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2D21A2EE">
            <w:pPr>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0.00255</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1600" w:type="dxa"/>
            <w:vAlign w:val="center"/>
          </w:tcPr>
          <w:p w14:paraId="4C72EE63">
            <w:pPr>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+0.00255</w:t>
            </w:r>
            <w:r>
              <w:rPr>
                <w:rFonts w:hint="default" w:ascii="Times New Roman" w:hAnsi="Times New Roman" w:eastAsia="宋体" w:cs="Times New Roman"/>
                <w:color w:val="000000" w:themeColor="text1"/>
                <w:sz w:val="21"/>
                <w:szCs w:val="21"/>
                <w14:textFill>
                  <w14:solidFill>
                    <w14:schemeClr w14:val="tx1"/>
                  </w14:solidFill>
                </w14:textFill>
              </w:rPr>
              <w:t>t/a</w:t>
            </w:r>
          </w:p>
        </w:tc>
      </w:tr>
      <w:tr w14:paraId="7FC02F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6C0F942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6543B977">
            <w:pPr>
              <w:spacing w:beforeLines="0" w:afterLine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氨</w:t>
            </w:r>
          </w:p>
        </w:tc>
        <w:tc>
          <w:tcPr>
            <w:tcW w:w="1579" w:type="dxa"/>
            <w:vAlign w:val="center"/>
          </w:tcPr>
          <w:p w14:paraId="2DDFE7B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2554FDF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08C51BF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066E3166">
            <w:pPr>
              <w:spacing w:beforeLines="0" w:afterLines="0"/>
              <w:jc w:val="center"/>
              <w:rPr>
                <w:rFonts w:hint="default" w:ascii="Times New Roman" w:hAnsi="Times New Roman" w:eastAsia="宋体" w:cs="Times New Roman"/>
                <w:bCs/>
                <w:snapToGrid w:val="0"/>
                <w:color w:val="FF0000"/>
                <w:kern w:val="0"/>
                <w:sz w:val="21"/>
                <w:szCs w:val="21"/>
                <w:highlight w:val="none"/>
                <w:lang w:val="en-US" w:eastAsia="zh-CN" w:bidi="ar-SA"/>
              </w:rPr>
            </w:pPr>
            <w:r>
              <w:rPr>
                <w:rFonts w:hint="default" w:ascii="Times New Roman" w:hAnsi="Times New Roman" w:eastAsia="宋体" w:cs="Times New Roman"/>
                <w:color w:val="FF0000"/>
                <w:sz w:val="21"/>
                <w:szCs w:val="21"/>
                <w:lang w:val="en-US" w:eastAsia="zh-CN"/>
              </w:rPr>
              <w:t>0.00</w:t>
            </w:r>
            <w:r>
              <w:rPr>
                <w:rFonts w:hint="eastAsia" w:ascii="Times New Roman" w:hAnsi="Times New Roman" w:eastAsia="宋体" w:cs="Times New Roman"/>
                <w:color w:val="FF0000"/>
                <w:sz w:val="21"/>
                <w:szCs w:val="21"/>
                <w:lang w:val="en-US" w:eastAsia="zh-CN"/>
              </w:rPr>
              <w:t>2024</w:t>
            </w:r>
            <w:r>
              <w:rPr>
                <w:rFonts w:hint="default" w:ascii="Times New Roman" w:hAnsi="Times New Roman" w:eastAsia="宋体" w:cs="Times New Roman"/>
                <w:color w:val="FF0000"/>
                <w:sz w:val="21"/>
                <w:szCs w:val="21"/>
              </w:rPr>
              <w:t>t/a</w:t>
            </w:r>
          </w:p>
        </w:tc>
        <w:tc>
          <w:tcPr>
            <w:tcW w:w="1363" w:type="dxa"/>
            <w:vAlign w:val="center"/>
          </w:tcPr>
          <w:p w14:paraId="38A940E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FF0000"/>
                <w:kern w:val="21"/>
                <w:sz w:val="21"/>
                <w:szCs w:val="21"/>
                <w:highlight w:val="none"/>
                <w:lang w:val="en-US" w:eastAsia="zh-CN" w:bidi="ar-SA"/>
              </w:rPr>
            </w:pPr>
          </w:p>
        </w:tc>
        <w:tc>
          <w:tcPr>
            <w:tcW w:w="1671" w:type="dxa"/>
            <w:vAlign w:val="center"/>
          </w:tcPr>
          <w:p w14:paraId="060EC224">
            <w:pPr>
              <w:jc w:val="center"/>
              <w:rPr>
                <w:rFonts w:hint="default" w:ascii="Times New Roman" w:hAnsi="Times New Roman" w:eastAsia="宋体" w:cs="Times New Roman"/>
                <w:bCs/>
                <w:snapToGrid w:val="0"/>
                <w:color w:val="FF0000"/>
                <w:kern w:val="0"/>
                <w:sz w:val="21"/>
                <w:szCs w:val="21"/>
                <w:highlight w:val="none"/>
                <w:lang w:val="en-US" w:eastAsia="zh-CN" w:bidi="ar-SA"/>
              </w:rPr>
            </w:pPr>
            <w:r>
              <w:rPr>
                <w:rFonts w:hint="default" w:ascii="Times New Roman" w:hAnsi="Times New Roman" w:eastAsia="宋体" w:cs="Times New Roman"/>
                <w:color w:val="FF0000"/>
                <w:sz w:val="21"/>
                <w:szCs w:val="21"/>
                <w:lang w:val="en-US" w:eastAsia="zh-CN"/>
              </w:rPr>
              <w:t>0.00</w:t>
            </w:r>
            <w:r>
              <w:rPr>
                <w:rFonts w:hint="eastAsia" w:ascii="Times New Roman" w:hAnsi="Times New Roman" w:eastAsia="宋体" w:cs="Times New Roman"/>
                <w:color w:val="FF0000"/>
                <w:sz w:val="21"/>
                <w:szCs w:val="21"/>
                <w:lang w:val="en-US" w:eastAsia="zh-CN"/>
              </w:rPr>
              <w:t>2024</w:t>
            </w:r>
            <w:r>
              <w:rPr>
                <w:rFonts w:hint="default" w:ascii="Times New Roman" w:hAnsi="Times New Roman" w:eastAsia="宋体" w:cs="Times New Roman"/>
                <w:color w:val="FF0000"/>
                <w:sz w:val="21"/>
                <w:szCs w:val="21"/>
              </w:rPr>
              <w:t>t/a</w:t>
            </w:r>
          </w:p>
        </w:tc>
        <w:tc>
          <w:tcPr>
            <w:tcW w:w="1600" w:type="dxa"/>
            <w:vAlign w:val="center"/>
          </w:tcPr>
          <w:p w14:paraId="694D7D2B">
            <w:pPr>
              <w:jc w:val="center"/>
              <w:rPr>
                <w:rFonts w:hint="default" w:ascii="Times New Roman" w:hAnsi="Times New Roman" w:eastAsia="宋体" w:cs="Times New Roman"/>
                <w:bCs/>
                <w:snapToGrid w:val="0"/>
                <w:color w:val="FF0000"/>
                <w:kern w:val="0"/>
                <w:sz w:val="21"/>
                <w:szCs w:val="21"/>
                <w:highlight w:val="none"/>
                <w:lang w:val="en-US" w:eastAsia="zh-CN" w:bidi="ar-SA"/>
              </w:rPr>
            </w:pPr>
            <w:r>
              <w:rPr>
                <w:rFonts w:hint="default" w:ascii="Times New Roman" w:hAnsi="Times New Roman" w:eastAsia="宋体" w:cs="Times New Roman"/>
                <w:color w:val="FF0000"/>
                <w:sz w:val="21"/>
                <w:szCs w:val="21"/>
              </w:rPr>
              <w:t>+</w:t>
            </w:r>
            <w:r>
              <w:rPr>
                <w:rFonts w:hint="default" w:ascii="Times New Roman" w:hAnsi="Times New Roman" w:eastAsia="宋体" w:cs="Times New Roman"/>
                <w:color w:val="FF0000"/>
                <w:sz w:val="21"/>
                <w:szCs w:val="21"/>
                <w:lang w:val="en-US" w:eastAsia="zh-CN"/>
              </w:rPr>
              <w:t>0.00</w:t>
            </w:r>
            <w:r>
              <w:rPr>
                <w:rFonts w:hint="eastAsia" w:ascii="Times New Roman" w:hAnsi="Times New Roman" w:eastAsia="宋体" w:cs="Times New Roman"/>
                <w:color w:val="FF0000"/>
                <w:sz w:val="21"/>
                <w:szCs w:val="21"/>
                <w:lang w:val="en-US" w:eastAsia="zh-CN"/>
              </w:rPr>
              <w:t>2024</w:t>
            </w:r>
            <w:r>
              <w:rPr>
                <w:rFonts w:hint="default" w:ascii="Times New Roman" w:hAnsi="Times New Roman" w:eastAsia="宋体" w:cs="Times New Roman"/>
                <w:color w:val="FF0000"/>
                <w:sz w:val="21"/>
                <w:szCs w:val="21"/>
              </w:rPr>
              <w:t>t/a</w:t>
            </w:r>
          </w:p>
        </w:tc>
      </w:tr>
      <w:tr w14:paraId="074514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7D823A4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201CD7D5">
            <w:pPr>
              <w:spacing w:beforeLines="0" w:afterLine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硫化氢</w:t>
            </w:r>
          </w:p>
        </w:tc>
        <w:tc>
          <w:tcPr>
            <w:tcW w:w="1579" w:type="dxa"/>
            <w:vAlign w:val="center"/>
          </w:tcPr>
          <w:p w14:paraId="7689501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6B746E7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7C01846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18CFAA8F">
            <w:pPr>
              <w:spacing w:beforeLines="0" w:afterLines="0"/>
              <w:jc w:val="center"/>
              <w:rPr>
                <w:rFonts w:hint="default" w:ascii="Times New Roman" w:hAnsi="Times New Roman" w:eastAsia="宋体" w:cs="Times New Roman"/>
                <w:bCs/>
                <w:snapToGrid w:val="0"/>
                <w:color w:val="FF0000"/>
                <w:kern w:val="0"/>
                <w:sz w:val="21"/>
                <w:szCs w:val="21"/>
                <w:highlight w:val="none"/>
                <w:lang w:val="en-US" w:eastAsia="zh-CN" w:bidi="ar-SA"/>
              </w:rPr>
            </w:pPr>
            <w:r>
              <w:rPr>
                <w:rFonts w:hint="default" w:ascii="Times New Roman" w:hAnsi="Times New Roman" w:eastAsia="宋体" w:cs="Times New Roman"/>
                <w:color w:val="FF0000"/>
                <w:sz w:val="21"/>
                <w:szCs w:val="21"/>
                <w:lang w:val="en-US" w:eastAsia="zh-CN"/>
              </w:rPr>
              <w:t>0.0000</w:t>
            </w:r>
            <w:r>
              <w:rPr>
                <w:rFonts w:hint="eastAsia" w:ascii="Times New Roman" w:hAnsi="Times New Roman" w:eastAsia="宋体" w:cs="Times New Roman"/>
                <w:color w:val="FF0000"/>
                <w:sz w:val="21"/>
                <w:szCs w:val="21"/>
                <w:lang w:val="en-US" w:eastAsia="zh-CN"/>
              </w:rPr>
              <w:t>78</w:t>
            </w:r>
            <w:r>
              <w:rPr>
                <w:rFonts w:hint="default" w:ascii="Times New Roman" w:hAnsi="Times New Roman" w:eastAsia="宋体" w:cs="Times New Roman"/>
                <w:color w:val="FF0000"/>
                <w:sz w:val="21"/>
                <w:szCs w:val="21"/>
              </w:rPr>
              <w:t>t/a</w:t>
            </w:r>
          </w:p>
        </w:tc>
        <w:tc>
          <w:tcPr>
            <w:tcW w:w="1363" w:type="dxa"/>
            <w:vAlign w:val="center"/>
          </w:tcPr>
          <w:p w14:paraId="2E57F92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FF0000"/>
                <w:kern w:val="21"/>
                <w:sz w:val="21"/>
                <w:szCs w:val="21"/>
                <w:highlight w:val="none"/>
                <w:lang w:val="en-US" w:eastAsia="zh-CN" w:bidi="ar-SA"/>
              </w:rPr>
            </w:pPr>
          </w:p>
        </w:tc>
        <w:tc>
          <w:tcPr>
            <w:tcW w:w="1671" w:type="dxa"/>
            <w:vAlign w:val="center"/>
          </w:tcPr>
          <w:p w14:paraId="151C5DEF">
            <w:pPr>
              <w:jc w:val="center"/>
              <w:rPr>
                <w:rFonts w:hint="default" w:ascii="Times New Roman" w:hAnsi="Times New Roman" w:eastAsia="宋体" w:cs="Times New Roman"/>
                <w:snapToGrid w:val="0"/>
                <w:color w:val="FF0000"/>
                <w:kern w:val="0"/>
                <w:sz w:val="21"/>
                <w:szCs w:val="21"/>
              </w:rPr>
            </w:pPr>
            <w:r>
              <w:rPr>
                <w:rFonts w:hint="default" w:ascii="Times New Roman" w:hAnsi="Times New Roman" w:eastAsia="宋体" w:cs="Times New Roman"/>
                <w:color w:val="FF0000"/>
                <w:sz w:val="21"/>
                <w:szCs w:val="21"/>
                <w:lang w:val="en-US" w:eastAsia="zh-CN"/>
              </w:rPr>
              <w:t>0.0000</w:t>
            </w:r>
            <w:r>
              <w:rPr>
                <w:rFonts w:hint="eastAsia" w:ascii="Times New Roman" w:hAnsi="Times New Roman" w:eastAsia="宋体" w:cs="Times New Roman"/>
                <w:color w:val="FF0000"/>
                <w:sz w:val="21"/>
                <w:szCs w:val="21"/>
                <w:lang w:val="en-US" w:eastAsia="zh-CN"/>
              </w:rPr>
              <w:t>78</w:t>
            </w:r>
            <w:r>
              <w:rPr>
                <w:rFonts w:hint="default" w:ascii="Times New Roman" w:hAnsi="Times New Roman" w:eastAsia="宋体" w:cs="Times New Roman"/>
                <w:color w:val="FF0000"/>
                <w:sz w:val="21"/>
                <w:szCs w:val="21"/>
              </w:rPr>
              <w:t>t/a</w:t>
            </w:r>
          </w:p>
        </w:tc>
        <w:tc>
          <w:tcPr>
            <w:tcW w:w="1600" w:type="dxa"/>
            <w:vAlign w:val="center"/>
          </w:tcPr>
          <w:p w14:paraId="4BC0B1E9">
            <w:pPr>
              <w:jc w:val="center"/>
              <w:rPr>
                <w:rFonts w:hint="default" w:ascii="Times New Roman" w:hAnsi="Times New Roman" w:eastAsia="宋体" w:cs="Times New Roman"/>
                <w:snapToGrid w:val="0"/>
                <w:color w:val="FF0000"/>
                <w:kern w:val="0"/>
                <w:sz w:val="21"/>
                <w:szCs w:val="21"/>
                <w:lang w:val="en-US" w:eastAsia="zh-CN"/>
              </w:rPr>
            </w:pPr>
            <w:r>
              <w:rPr>
                <w:rFonts w:hint="default" w:ascii="Times New Roman" w:hAnsi="Times New Roman" w:eastAsia="宋体" w:cs="Times New Roman"/>
                <w:color w:val="FF0000"/>
                <w:sz w:val="21"/>
                <w:szCs w:val="21"/>
              </w:rPr>
              <w:t>+</w:t>
            </w:r>
            <w:r>
              <w:rPr>
                <w:rFonts w:hint="default" w:ascii="Times New Roman" w:hAnsi="Times New Roman" w:eastAsia="宋体" w:cs="Times New Roman"/>
                <w:color w:val="FF0000"/>
                <w:sz w:val="21"/>
                <w:szCs w:val="21"/>
                <w:lang w:val="en-US" w:eastAsia="zh-CN"/>
              </w:rPr>
              <w:t>0.0000</w:t>
            </w:r>
            <w:r>
              <w:rPr>
                <w:rFonts w:hint="eastAsia" w:ascii="Times New Roman" w:hAnsi="Times New Roman" w:eastAsia="宋体" w:cs="Times New Roman"/>
                <w:color w:val="FF0000"/>
                <w:sz w:val="21"/>
                <w:szCs w:val="21"/>
                <w:lang w:val="en-US" w:eastAsia="zh-CN"/>
              </w:rPr>
              <w:t>78</w:t>
            </w:r>
            <w:r>
              <w:rPr>
                <w:rFonts w:hint="default" w:ascii="Times New Roman" w:hAnsi="Times New Roman" w:eastAsia="宋体" w:cs="Times New Roman"/>
                <w:color w:val="FF0000"/>
                <w:sz w:val="21"/>
                <w:szCs w:val="21"/>
              </w:rPr>
              <w:t>t/a</w:t>
            </w:r>
          </w:p>
        </w:tc>
      </w:tr>
      <w:tr w14:paraId="54C42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5352B3D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7FCEC660">
            <w:pPr>
              <w:spacing w:beforeLines="0" w:afterLines="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油烟</w:t>
            </w:r>
          </w:p>
        </w:tc>
        <w:tc>
          <w:tcPr>
            <w:tcW w:w="1579" w:type="dxa"/>
            <w:vAlign w:val="center"/>
          </w:tcPr>
          <w:p w14:paraId="164ED3D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6D8E094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114E9E7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3DB5196C">
            <w:pPr>
              <w:spacing w:beforeLines="0" w:afterLines="0"/>
              <w:jc w:val="center"/>
              <w:rPr>
                <w:rFonts w:hint="default" w:ascii="Times New Roman" w:hAnsi="Times New Roman" w:eastAsia="宋体" w:cs="Times New Roman"/>
                <w:bCs/>
                <w:snapToGrid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0.00126</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1363" w:type="dxa"/>
            <w:vAlign w:val="center"/>
          </w:tcPr>
          <w:p w14:paraId="184DB0F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681486FA">
            <w:pPr>
              <w:jc w:val="center"/>
              <w:rPr>
                <w:rFonts w:hint="default" w:ascii="Times New Roman" w:hAnsi="Times New Roman" w:eastAsia="宋体" w:cs="Times New Roman"/>
                <w:snapToGrid w:val="0"/>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0.00126</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1600" w:type="dxa"/>
            <w:vAlign w:val="center"/>
          </w:tcPr>
          <w:p w14:paraId="249D04CA">
            <w:pPr>
              <w:jc w:val="center"/>
              <w:rPr>
                <w:rFonts w:hint="default" w:ascii="Times New Roman" w:hAnsi="Times New Roman" w:eastAsia="宋体" w:cs="Times New Roman"/>
                <w:snapToGrid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0.00126</w:t>
            </w:r>
            <w:r>
              <w:rPr>
                <w:rFonts w:hint="default" w:ascii="Times New Roman" w:hAnsi="Times New Roman" w:eastAsia="宋体" w:cs="Times New Roman"/>
                <w:color w:val="000000" w:themeColor="text1"/>
                <w:sz w:val="21"/>
                <w:szCs w:val="21"/>
                <w14:textFill>
                  <w14:solidFill>
                    <w14:schemeClr w14:val="tx1"/>
                  </w14:solidFill>
                </w14:textFill>
              </w:rPr>
              <w:t>t/a</w:t>
            </w:r>
          </w:p>
        </w:tc>
      </w:tr>
      <w:tr w14:paraId="6EA959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177" w:type="dxa"/>
            <w:vMerge w:val="restart"/>
            <w:vAlign w:val="center"/>
          </w:tcPr>
          <w:p w14:paraId="6D41A891">
            <w:pPr>
              <w:keepNext w:val="0"/>
              <w:keepLines w:val="0"/>
              <w:pageBreakBefore w:val="0"/>
              <w:widowControl w:val="0"/>
              <w:suppressLineNumbers w:val="0"/>
              <w:kinsoku/>
              <w:wordWrap/>
              <w:overflowPunct/>
              <w:topLinePunct w:val="0"/>
              <w:autoSpaceDE/>
              <w:autoSpaceDN/>
              <w:bidi w:val="0"/>
              <w:adjustRightInd w:val="0"/>
              <w:snapToGrid w:val="0"/>
              <w:spacing w:before="24" w:beforeLines="10" w:beforeAutospacing="0" w:after="24" w:afterLines="1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废水</w:t>
            </w:r>
          </w:p>
        </w:tc>
        <w:tc>
          <w:tcPr>
            <w:tcW w:w="1950" w:type="dxa"/>
            <w:vAlign w:val="center"/>
          </w:tcPr>
          <w:p w14:paraId="04B2BF5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COD</w:t>
            </w:r>
          </w:p>
        </w:tc>
        <w:tc>
          <w:tcPr>
            <w:tcW w:w="1579" w:type="dxa"/>
            <w:vAlign w:val="center"/>
          </w:tcPr>
          <w:p w14:paraId="055C3C8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45E6CFA6">
            <w:pPr>
              <w:keepNext w:val="0"/>
              <w:keepLines w:val="0"/>
              <w:pageBreakBefore w:val="0"/>
              <w:widowControl w:val="0"/>
              <w:suppressLineNumbers w:val="0"/>
              <w:kinsoku/>
              <w:wordWrap/>
              <w:overflowPunct/>
              <w:topLinePunct w:val="0"/>
              <w:autoSpaceDE/>
              <w:autoSpaceDN/>
              <w:bidi w:val="0"/>
              <w:adjustRightInd w:val="0"/>
              <w:snapToGrid w:val="0"/>
              <w:spacing w:before="24" w:beforeLines="10" w:beforeAutospacing="0" w:after="24" w:afterLines="1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1688E64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7ECCD6D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tLeast"/>
              <w:ind w:left="0" w:right="0"/>
              <w:jc w:val="center"/>
              <w:textAlignment w:val="center"/>
              <w:rPr>
                <w:rFonts w:hint="default" w:ascii="Times New Roman" w:hAnsi="Times New Roman" w:eastAsia="宋体" w:cs="Times New Roman"/>
                <w:color w:val="FF0000"/>
                <w:szCs w:val="21"/>
                <w:highlight w:val="none"/>
                <w:lang w:eastAsia="zh-CN"/>
              </w:rPr>
            </w:pPr>
            <w:r>
              <w:rPr>
                <w:rFonts w:hint="eastAsia" w:ascii="Times New Roman" w:hAnsi="Times New Roman" w:eastAsia="宋体" w:cs="Times New Roman"/>
                <w:color w:val="FF0000"/>
                <w:kern w:val="0"/>
                <w:szCs w:val="21"/>
                <w:highlight w:val="none"/>
                <w:lang w:val="en-US" w:eastAsia="zh-CN"/>
              </w:rPr>
              <w:t>0.491</w:t>
            </w:r>
            <w:r>
              <w:rPr>
                <w:rFonts w:hint="default" w:ascii="Times New Roman" w:hAnsi="Times New Roman" w:eastAsia="宋体" w:cs="Times New Roman"/>
                <w:color w:val="FF0000"/>
                <w:kern w:val="0"/>
                <w:szCs w:val="21"/>
                <w:highlight w:val="none"/>
                <w:lang w:val="en-US" w:eastAsia="zh-CN"/>
              </w:rPr>
              <w:t>t/a</w:t>
            </w:r>
          </w:p>
        </w:tc>
        <w:tc>
          <w:tcPr>
            <w:tcW w:w="1363" w:type="dxa"/>
            <w:vAlign w:val="center"/>
          </w:tcPr>
          <w:p w14:paraId="374C468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FF0000"/>
                <w:kern w:val="21"/>
                <w:sz w:val="21"/>
                <w:szCs w:val="21"/>
                <w:highlight w:val="none"/>
                <w:lang w:val="en-US" w:eastAsia="zh-CN" w:bidi="ar-SA"/>
              </w:rPr>
            </w:pPr>
          </w:p>
        </w:tc>
        <w:tc>
          <w:tcPr>
            <w:tcW w:w="1671" w:type="dxa"/>
            <w:vAlign w:val="center"/>
          </w:tcPr>
          <w:p w14:paraId="4B231C35">
            <w:pPr>
              <w:widowControl/>
              <w:spacing w:beforeLines="0" w:afterLines="0" w:line="240" w:lineRule="atLeast"/>
              <w:jc w:val="center"/>
              <w:textAlignment w:val="center"/>
              <w:rPr>
                <w:rFonts w:hint="default" w:ascii="Times New Roman" w:hAnsi="Times New Roman" w:eastAsia="宋体" w:cs="Times New Roman"/>
                <w:snapToGrid w:val="0"/>
                <w:color w:val="FF0000"/>
                <w:kern w:val="21"/>
                <w:sz w:val="21"/>
                <w:szCs w:val="21"/>
                <w:highlight w:val="none"/>
                <w:lang w:val="en-US" w:eastAsia="zh-CN" w:bidi="ar-SA"/>
              </w:rPr>
            </w:pPr>
            <w:r>
              <w:rPr>
                <w:rFonts w:hint="default" w:ascii="Times New Roman" w:hAnsi="Times New Roman" w:eastAsia="宋体" w:cs="Times New Roman"/>
                <w:color w:val="FF0000"/>
                <w:kern w:val="0"/>
                <w:sz w:val="21"/>
                <w:szCs w:val="21"/>
                <w:lang w:val="en-US" w:eastAsia="zh-CN"/>
              </w:rPr>
              <w:t>0.</w:t>
            </w:r>
            <w:r>
              <w:rPr>
                <w:rFonts w:hint="eastAsia" w:ascii="Times New Roman" w:hAnsi="Times New Roman" w:eastAsia="宋体" w:cs="Times New Roman"/>
                <w:color w:val="FF0000"/>
                <w:kern w:val="0"/>
                <w:sz w:val="21"/>
                <w:szCs w:val="21"/>
                <w:lang w:val="en-US" w:eastAsia="zh-CN"/>
              </w:rPr>
              <w:t>491</w:t>
            </w:r>
            <w:r>
              <w:rPr>
                <w:rFonts w:hint="default" w:ascii="Times New Roman" w:hAnsi="Times New Roman" w:eastAsia="宋体" w:cs="Times New Roman"/>
                <w:color w:val="FF0000"/>
                <w:kern w:val="0"/>
                <w:sz w:val="21"/>
                <w:szCs w:val="21"/>
              </w:rPr>
              <w:t>t/a</w:t>
            </w:r>
          </w:p>
        </w:tc>
        <w:tc>
          <w:tcPr>
            <w:tcW w:w="1600" w:type="dxa"/>
            <w:vAlign w:val="center"/>
          </w:tcPr>
          <w:p w14:paraId="7298E2AE">
            <w:pPr>
              <w:widowControl/>
              <w:spacing w:beforeLines="0" w:afterLines="0" w:line="240" w:lineRule="atLeast"/>
              <w:jc w:val="center"/>
              <w:textAlignment w:val="center"/>
              <w:rPr>
                <w:rFonts w:hint="default" w:ascii="Times New Roman" w:hAnsi="Times New Roman" w:eastAsia="宋体" w:cs="Times New Roman"/>
                <w:snapToGrid w:val="0"/>
                <w:color w:val="FF0000"/>
                <w:kern w:val="21"/>
                <w:sz w:val="21"/>
                <w:szCs w:val="21"/>
                <w:highlight w:val="none"/>
                <w:lang w:val="en-US" w:eastAsia="zh-CN" w:bidi="ar-SA"/>
              </w:rPr>
            </w:pPr>
            <w:r>
              <w:rPr>
                <w:rFonts w:hint="default" w:ascii="Times New Roman" w:hAnsi="Times New Roman" w:eastAsia="宋体" w:cs="Times New Roman"/>
                <w:color w:val="FF0000"/>
                <w:kern w:val="0"/>
                <w:sz w:val="21"/>
                <w:szCs w:val="21"/>
              </w:rPr>
              <w:t>+</w:t>
            </w:r>
            <w:r>
              <w:rPr>
                <w:rFonts w:hint="eastAsia" w:ascii="Times New Roman" w:hAnsi="Times New Roman" w:eastAsia="宋体" w:cs="Times New Roman"/>
                <w:color w:val="FF0000"/>
                <w:kern w:val="0"/>
                <w:sz w:val="21"/>
                <w:szCs w:val="21"/>
                <w:lang w:val="en-US" w:eastAsia="zh-CN"/>
              </w:rPr>
              <w:t>0.491</w:t>
            </w:r>
            <w:r>
              <w:rPr>
                <w:rFonts w:hint="default" w:ascii="Times New Roman" w:hAnsi="Times New Roman" w:eastAsia="宋体" w:cs="Times New Roman"/>
                <w:color w:val="FF0000"/>
                <w:kern w:val="0"/>
                <w:sz w:val="21"/>
                <w:szCs w:val="21"/>
              </w:rPr>
              <w:t>t/a</w:t>
            </w:r>
          </w:p>
        </w:tc>
      </w:tr>
      <w:tr w14:paraId="6F9857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1177" w:type="dxa"/>
            <w:vMerge w:val="continue"/>
            <w:vAlign w:val="center"/>
          </w:tcPr>
          <w:p w14:paraId="0E8F589A">
            <w:pPr>
              <w:keepNext w:val="0"/>
              <w:keepLines w:val="0"/>
              <w:pageBreakBefore w:val="0"/>
              <w:widowControl w:val="0"/>
              <w:suppressLineNumbers w:val="0"/>
              <w:kinsoku/>
              <w:wordWrap/>
              <w:overflowPunct/>
              <w:topLinePunct w:val="0"/>
              <w:autoSpaceDE/>
              <w:autoSpaceDN/>
              <w:bidi w:val="0"/>
              <w:adjustRightInd w:val="0"/>
              <w:snapToGrid w:val="0"/>
              <w:spacing w:before="24" w:beforeLines="10" w:beforeAutospacing="0" w:after="24" w:afterLines="1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1189359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NH</w:t>
            </w:r>
            <w:r>
              <w:rPr>
                <w:rFonts w:hint="default" w:ascii="Times New Roman" w:hAnsi="Times New Roman" w:eastAsia="宋体" w:cs="Times New Roman"/>
                <w:color w:val="000000" w:themeColor="text1"/>
                <w:kern w:val="0"/>
                <w:sz w:val="21"/>
                <w:szCs w:val="21"/>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-N</w:t>
            </w:r>
          </w:p>
        </w:tc>
        <w:tc>
          <w:tcPr>
            <w:tcW w:w="1579" w:type="dxa"/>
            <w:vAlign w:val="center"/>
          </w:tcPr>
          <w:p w14:paraId="59A8E45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1E67B9A4">
            <w:pPr>
              <w:keepNext w:val="0"/>
              <w:keepLines w:val="0"/>
              <w:pageBreakBefore w:val="0"/>
              <w:widowControl w:val="0"/>
              <w:suppressLineNumbers w:val="0"/>
              <w:kinsoku/>
              <w:wordWrap/>
              <w:overflowPunct/>
              <w:topLinePunct w:val="0"/>
              <w:autoSpaceDE/>
              <w:autoSpaceDN/>
              <w:bidi w:val="0"/>
              <w:adjustRightInd w:val="0"/>
              <w:snapToGrid w:val="0"/>
              <w:spacing w:before="24" w:beforeLines="10" w:beforeAutospacing="0" w:after="24" w:afterLines="10" w:afterAutospacing="0" w:line="240" w:lineRule="atLeast"/>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1701" w:type="dxa"/>
            <w:vAlign w:val="center"/>
          </w:tcPr>
          <w:p w14:paraId="651BC281">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07206A5B">
            <w:pPr>
              <w:keepNext w:val="0"/>
              <w:keepLines w:val="0"/>
              <w:pageBreakBefore w:val="0"/>
              <w:widowControl w:val="0"/>
              <w:suppressLineNumbers w:val="0"/>
              <w:kinsoku/>
              <w:wordWrap/>
              <w:overflowPunct/>
              <w:topLinePunct w:val="0"/>
              <w:autoSpaceDE/>
              <w:autoSpaceDN/>
              <w:bidi w:val="0"/>
              <w:adjustRightInd w:val="0"/>
              <w:snapToGrid w:val="0"/>
              <w:spacing w:before="24" w:beforeLines="10" w:beforeAutospacing="0" w:after="24" w:afterLines="10" w:afterAutospacing="0" w:line="240" w:lineRule="atLeast"/>
              <w:ind w:left="0" w:right="0"/>
              <w:jc w:val="center"/>
              <w:rPr>
                <w:rFonts w:hint="default" w:ascii="Times New Roman" w:hAnsi="Times New Roman" w:eastAsia="宋体" w:cs="Times New Roman"/>
                <w:snapToGrid w:val="0"/>
                <w:color w:val="FF0000"/>
                <w:kern w:val="21"/>
                <w:sz w:val="21"/>
                <w:szCs w:val="21"/>
                <w:highlight w:val="none"/>
                <w:lang w:val="en-US" w:eastAsia="zh-CN" w:bidi="ar-SA"/>
              </w:rPr>
            </w:pPr>
            <w:r>
              <w:rPr>
                <w:rFonts w:hint="default" w:ascii="Times New Roman" w:hAnsi="Times New Roman" w:eastAsia="宋体" w:cs="Times New Roman"/>
                <w:snapToGrid w:val="0"/>
                <w:color w:val="FF0000"/>
                <w:kern w:val="21"/>
                <w:sz w:val="21"/>
                <w:szCs w:val="21"/>
                <w:highlight w:val="none"/>
                <w:lang w:val="en-US" w:eastAsia="zh-CN" w:bidi="ar-SA"/>
              </w:rPr>
              <w:t>0.0</w:t>
            </w:r>
            <w:r>
              <w:rPr>
                <w:rFonts w:hint="eastAsia" w:ascii="Times New Roman" w:hAnsi="Times New Roman" w:eastAsia="宋体" w:cs="Times New Roman"/>
                <w:snapToGrid w:val="0"/>
                <w:color w:val="FF0000"/>
                <w:kern w:val="21"/>
                <w:sz w:val="21"/>
                <w:szCs w:val="21"/>
                <w:highlight w:val="none"/>
                <w:lang w:val="en-US" w:eastAsia="zh-CN" w:bidi="ar-SA"/>
              </w:rPr>
              <w:t>18</w:t>
            </w:r>
            <w:r>
              <w:rPr>
                <w:rFonts w:hint="default" w:ascii="Times New Roman" w:hAnsi="Times New Roman" w:eastAsia="宋体" w:cs="Times New Roman"/>
                <w:snapToGrid w:val="0"/>
                <w:color w:val="FF0000"/>
                <w:kern w:val="21"/>
                <w:sz w:val="21"/>
                <w:szCs w:val="21"/>
                <w:highlight w:val="none"/>
                <w:lang w:val="en-US" w:eastAsia="zh-CN" w:bidi="ar-SA"/>
              </w:rPr>
              <w:t>t/a</w:t>
            </w:r>
          </w:p>
        </w:tc>
        <w:tc>
          <w:tcPr>
            <w:tcW w:w="1363" w:type="dxa"/>
            <w:vAlign w:val="center"/>
          </w:tcPr>
          <w:p w14:paraId="43F342C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FF0000"/>
                <w:kern w:val="21"/>
                <w:sz w:val="21"/>
                <w:szCs w:val="21"/>
                <w:highlight w:val="none"/>
                <w:lang w:val="en-US" w:eastAsia="zh-CN" w:bidi="ar-SA"/>
              </w:rPr>
            </w:pPr>
          </w:p>
        </w:tc>
        <w:tc>
          <w:tcPr>
            <w:tcW w:w="1671" w:type="dxa"/>
            <w:vAlign w:val="center"/>
          </w:tcPr>
          <w:p w14:paraId="116B7D57">
            <w:pPr>
              <w:adjustRightInd w:val="0"/>
              <w:snapToGrid w:val="0"/>
              <w:spacing w:before="24" w:beforeLines="10" w:after="24" w:afterLines="10" w:line="240" w:lineRule="atLeast"/>
              <w:jc w:val="center"/>
              <w:rPr>
                <w:rFonts w:hint="default" w:ascii="Times New Roman" w:hAnsi="Times New Roman" w:eastAsia="宋体" w:cs="Times New Roman"/>
                <w:color w:val="FF0000"/>
                <w:kern w:val="0"/>
                <w:sz w:val="21"/>
                <w:szCs w:val="20"/>
                <w:highlight w:val="none"/>
                <w:lang w:val="en-US" w:eastAsia="zh-CN" w:bidi="ar-SA"/>
              </w:rPr>
            </w:pPr>
            <w:r>
              <w:rPr>
                <w:rFonts w:hint="default" w:ascii="Times New Roman" w:hAnsi="Times New Roman" w:eastAsia="宋体" w:cs="Times New Roman"/>
                <w:snapToGrid w:val="0"/>
                <w:color w:val="FF0000"/>
                <w:kern w:val="21"/>
                <w:sz w:val="21"/>
                <w:szCs w:val="21"/>
              </w:rPr>
              <w:t>0.0</w:t>
            </w:r>
            <w:r>
              <w:rPr>
                <w:rFonts w:hint="eastAsia" w:ascii="Times New Roman" w:hAnsi="Times New Roman" w:eastAsia="宋体" w:cs="Times New Roman"/>
                <w:snapToGrid w:val="0"/>
                <w:color w:val="FF0000"/>
                <w:kern w:val="21"/>
                <w:sz w:val="21"/>
                <w:szCs w:val="21"/>
                <w:lang w:val="en-US" w:eastAsia="zh-CN"/>
              </w:rPr>
              <w:t>18</w:t>
            </w:r>
            <w:r>
              <w:rPr>
                <w:rFonts w:hint="default" w:ascii="Times New Roman" w:hAnsi="Times New Roman" w:eastAsia="宋体" w:cs="Times New Roman"/>
                <w:snapToGrid w:val="0"/>
                <w:color w:val="FF0000"/>
                <w:kern w:val="21"/>
                <w:sz w:val="21"/>
                <w:szCs w:val="21"/>
              </w:rPr>
              <w:t>t/a</w:t>
            </w:r>
          </w:p>
        </w:tc>
        <w:tc>
          <w:tcPr>
            <w:tcW w:w="1600" w:type="dxa"/>
            <w:vAlign w:val="center"/>
          </w:tcPr>
          <w:p w14:paraId="4BA7ABB8">
            <w:pPr>
              <w:adjustRightInd w:val="0"/>
              <w:snapToGrid w:val="0"/>
              <w:spacing w:before="24" w:beforeLines="10" w:after="24" w:afterLines="10" w:line="240" w:lineRule="atLeast"/>
              <w:jc w:val="center"/>
              <w:rPr>
                <w:rFonts w:hint="default" w:ascii="Times New Roman" w:hAnsi="Times New Roman" w:eastAsia="宋体" w:cs="Times New Roman"/>
                <w:snapToGrid w:val="0"/>
                <w:color w:val="FF0000"/>
                <w:kern w:val="21"/>
                <w:sz w:val="21"/>
                <w:szCs w:val="21"/>
                <w:highlight w:val="none"/>
                <w:lang w:val="en-US" w:eastAsia="zh-CN" w:bidi="ar-SA"/>
              </w:rPr>
            </w:pPr>
            <w:r>
              <w:rPr>
                <w:rFonts w:hint="default" w:ascii="Times New Roman" w:hAnsi="Times New Roman" w:eastAsia="宋体" w:cs="Times New Roman"/>
                <w:snapToGrid w:val="0"/>
                <w:color w:val="FF0000"/>
                <w:kern w:val="21"/>
                <w:sz w:val="21"/>
                <w:szCs w:val="21"/>
              </w:rPr>
              <w:t>+0.0</w:t>
            </w:r>
            <w:r>
              <w:rPr>
                <w:rFonts w:hint="eastAsia" w:ascii="Times New Roman" w:hAnsi="Times New Roman" w:eastAsia="宋体" w:cs="Times New Roman"/>
                <w:snapToGrid w:val="0"/>
                <w:color w:val="FF0000"/>
                <w:kern w:val="21"/>
                <w:sz w:val="21"/>
                <w:szCs w:val="21"/>
                <w:lang w:val="en-US" w:eastAsia="zh-CN"/>
              </w:rPr>
              <w:t>18</w:t>
            </w:r>
            <w:r>
              <w:rPr>
                <w:rFonts w:hint="default" w:ascii="Times New Roman" w:hAnsi="Times New Roman" w:eastAsia="宋体" w:cs="Times New Roman"/>
                <w:snapToGrid w:val="0"/>
                <w:color w:val="FF0000"/>
                <w:kern w:val="21"/>
                <w:sz w:val="21"/>
                <w:szCs w:val="21"/>
              </w:rPr>
              <w:t>t/a</w:t>
            </w:r>
          </w:p>
        </w:tc>
      </w:tr>
      <w:tr w14:paraId="22F153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restart"/>
            <w:vAlign w:val="center"/>
          </w:tcPr>
          <w:p w14:paraId="1812D951">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一般工业</w:t>
            </w:r>
          </w:p>
          <w:p w14:paraId="699252A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固体废物</w:t>
            </w:r>
          </w:p>
        </w:tc>
        <w:tc>
          <w:tcPr>
            <w:tcW w:w="1950" w:type="dxa"/>
            <w:vAlign w:val="center"/>
          </w:tcPr>
          <w:p w14:paraId="043D7B7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leftChars="0" w:right="0" w:rightChar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生活垃圾</w:t>
            </w:r>
          </w:p>
        </w:tc>
        <w:tc>
          <w:tcPr>
            <w:tcW w:w="1579" w:type="dxa"/>
            <w:vAlign w:val="center"/>
          </w:tcPr>
          <w:p w14:paraId="383E440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leftChars="0" w:right="0" w:rightChar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16B2736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leftChars="0" w:right="0" w:rightChar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4681F72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leftChars="0" w:right="0" w:rightChar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155669C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leftChars="0" w:right="0" w:rightChars="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2.25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/a</w:t>
            </w:r>
          </w:p>
        </w:tc>
        <w:tc>
          <w:tcPr>
            <w:tcW w:w="1363" w:type="dxa"/>
            <w:vAlign w:val="center"/>
          </w:tcPr>
          <w:p w14:paraId="14AAB44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79CF730E">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0"/>
                <w:lang w:val="en-US" w:eastAsia="zh-CN"/>
                <w14:textFill>
                  <w14:solidFill>
                    <w14:schemeClr w14:val="tx1"/>
                  </w14:solidFill>
                </w14:textFill>
              </w:rPr>
              <w:t>2.25</w:t>
            </w:r>
            <w:r>
              <w:rPr>
                <w:rFonts w:hint="default" w:ascii="Times New Roman" w:hAnsi="Times New Roman" w:eastAsia="宋体" w:cs="Times New Roman"/>
                <w:color w:val="000000" w:themeColor="text1"/>
                <w:kern w:val="0"/>
                <w:sz w:val="21"/>
                <w:szCs w:val="20"/>
                <w14:textFill>
                  <w14:solidFill>
                    <w14:schemeClr w14:val="tx1"/>
                  </w14:solidFill>
                </w14:textFill>
              </w:rPr>
              <w:t>t/a</w:t>
            </w:r>
          </w:p>
        </w:tc>
        <w:tc>
          <w:tcPr>
            <w:tcW w:w="1600" w:type="dxa"/>
            <w:vAlign w:val="center"/>
          </w:tcPr>
          <w:p w14:paraId="6EFDF6F9">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0"/>
                <w14:textFill>
                  <w14:solidFill>
                    <w14:schemeClr w14:val="tx1"/>
                  </w14:solidFill>
                </w14:textFill>
              </w:rPr>
              <w:t>+</w:t>
            </w:r>
            <w:r>
              <w:rPr>
                <w:rFonts w:hint="default" w:ascii="Times New Roman" w:hAnsi="Times New Roman" w:eastAsia="宋体" w:cs="Times New Roman"/>
                <w:color w:val="000000" w:themeColor="text1"/>
                <w:kern w:val="0"/>
                <w:sz w:val="21"/>
                <w:szCs w:val="20"/>
                <w:lang w:val="en-US" w:eastAsia="zh-CN"/>
                <w14:textFill>
                  <w14:solidFill>
                    <w14:schemeClr w14:val="tx1"/>
                  </w14:solidFill>
                </w14:textFill>
              </w:rPr>
              <w:t>2.25</w:t>
            </w:r>
            <w:r>
              <w:rPr>
                <w:rFonts w:hint="default" w:ascii="Times New Roman" w:hAnsi="Times New Roman" w:eastAsia="宋体" w:cs="Times New Roman"/>
                <w:color w:val="000000" w:themeColor="text1"/>
                <w:kern w:val="0"/>
                <w:sz w:val="21"/>
                <w:szCs w:val="20"/>
                <w14:textFill>
                  <w14:solidFill>
                    <w14:schemeClr w14:val="tx1"/>
                  </w14:solidFill>
                </w14:textFill>
              </w:rPr>
              <w:t>t/a</w:t>
            </w:r>
          </w:p>
        </w:tc>
      </w:tr>
      <w:tr w14:paraId="5D7E3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7C69337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3CC4BB4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车间沉降面粉粉尘</w:t>
            </w:r>
          </w:p>
        </w:tc>
        <w:tc>
          <w:tcPr>
            <w:tcW w:w="1579" w:type="dxa"/>
            <w:vAlign w:val="center"/>
          </w:tcPr>
          <w:p w14:paraId="4357A35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1250B40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695AD27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5C7A278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0.02295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4FF059F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6B82C45D">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0.02295</w:t>
            </w:r>
            <w:r>
              <w:rPr>
                <w:rFonts w:hint="default" w:ascii="Times New Roman" w:hAnsi="Times New Roman" w:eastAsia="宋体" w:cs="Times New Roman"/>
                <w:color w:val="000000" w:themeColor="text1"/>
                <w:kern w:val="0"/>
                <w:sz w:val="21"/>
                <w:szCs w:val="20"/>
                <w14:textFill>
                  <w14:solidFill>
                    <w14:schemeClr w14:val="tx1"/>
                  </w14:solidFill>
                </w14:textFill>
              </w:rPr>
              <w:t>t/a</w:t>
            </w:r>
          </w:p>
        </w:tc>
        <w:tc>
          <w:tcPr>
            <w:tcW w:w="1600" w:type="dxa"/>
            <w:vAlign w:val="center"/>
          </w:tcPr>
          <w:p w14:paraId="434E4E2E">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0.02295</w:t>
            </w:r>
            <w:r>
              <w:rPr>
                <w:rFonts w:hint="default" w:ascii="Times New Roman" w:hAnsi="Times New Roman" w:eastAsia="宋体" w:cs="Times New Roman"/>
                <w:color w:val="000000" w:themeColor="text1"/>
                <w:kern w:val="0"/>
                <w:sz w:val="21"/>
                <w:szCs w:val="20"/>
                <w14:textFill>
                  <w14:solidFill>
                    <w14:schemeClr w14:val="tx1"/>
                  </w14:solidFill>
                </w14:textFill>
              </w:rPr>
              <w:t>t/a</w:t>
            </w:r>
          </w:p>
        </w:tc>
      </w:tr>
      <w:tr w14:paraId="1CD299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0BA5576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02675FD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废弃包装材料</w:t>
            </w:r>
          </w:p>
        </w:tc>
        <w:tc>
          <w:tcPr>
            <w:tcW w:w="1579" w:type="dxa"/>
            <w:vAlign w:val="center"/>
          </w:tcPr>
          <w:p w14:paraId="6AB12E3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43B2B10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55A12A8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104F7AD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0C992F9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6377E667">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600" w:type="dxa"/>
            <w:vAlign w:val="center"/>
          </w:tcPr>
          <w:p w14:paraId="19D1838F">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r>
      <w:tr w14:paraId="4D1D5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3712711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7C5D189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鸡蛋壳</w:t>
            </w:r>
          </w:p>
        </w:tc>
        <w:tc>
          <w:tcPr>
            <w:tcW w:w="1579" w:type="dxa"/>
            <w:vAlign w:val="center"/>
          </w:tcPr>
          <w:p w14:paraId="2C6DAA5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25C38D0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12052B2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648B0D5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7.92</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461299C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0AF0F613">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7.92</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600" w:type="dxa"/>
            <w:vAlign w:val="center"/>
          </w:tcPr>
          <w:p w14:paraId="49EA4BC8">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+7.92</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r>
      <w:tr w14:paraId="3802E3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3E96139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6E31B93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废弃原材料</w:t>
            </w:r>
          </w:p>
        </w:tc>
        <w:tc>
          <w:tcPr>
            <w:tcW w:w="1579" w:type="dxa"/>
            <w:vAlign w:val="center"/>
          </w:tcPr>
          <w:p w14:paraId="49683EE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11B29D5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2C4390E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551A2E9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3.5545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3B952E3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58B4F74C">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3.5545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600" w:type="dxa"/>
            <w:vAlign w:val="center"/>
          </w:tcPr>
          <w:p w14:paraId="501CA103">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+3.5545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r>
      <w:tr w14:paraId="04B3C2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61236D1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0D5AD50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废油脂</w:t>
            </w:r>
          </w:p>
        </w:tc>
        <w:tc>
          <w:tcPr>
            <w:tcW w:w="1579" w:type="dxa"/>
            <w:vAlign w:val="center"/>
          </w:tcPr>
          <w:p w14:paraId="1A79B6F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7720319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2AB1DC3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3B8654A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0021589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5B0FAD01">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600" w:type="dxa"/>
            <w:vAlign w:val="center"/>
          </w:tcPr>
          <w:p w14:paraId="218247D3">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+0.5</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r>
      <w:tr w14:paraId="71B8AD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42686AE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4D87A32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污水处理站污泥</w:t>
            </w:r>
          </w:p>
        </w:tc>
        <w:tc>
          <w:tcPr>
            <w:tcW w:w="1579" w:type="dxa"/>
            <w:vAlign w:val="center"/>
          </w:tcPr>
          <w:p w14:paraId="47BA0EA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317DBE1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5925A1A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7D1245E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1.469</w:t>
            </w:r>
            <w:r>
              <w:rPr>
                <w:rFonts w:hint="default" w:ascii="Times New Roman" w:hAnsi="Times New Roman" w:eastAsia="宋体" w:cs="Times New Roman"/>
                <w:color w:val="FF0000"/>
                <w:kern w:val="0"/>
                <w:sz w:val="21"/>
                <w:szCs w:val="20"/>
                <w:highlight w:val="none"/>
                <w:lang w:val="en-US" w:eastAsia="zh-CN" w:bidi="ar-SA"/>
              </w:rPr>
              <w:t>t/a</w:t>
            </w:r>
          </w:p>
        </w:tc>
        <w:tc>
          <w:tcPr>
            <w:tcW w:w="1363" w:type="dxa"/>
            <w:vAlign w:val="center"/>
          </w:tcPr>
          <w:p w14:paraId="01A9AA3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0AEB68D9">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1.469</w:t>
            </w:r>
            <w:r>
              <w:rPr>
                <w:rFonts w:hint="default" w:ascii="Times New Roman" w:hAnsi="Times New Roman" w:eastAsia="宋体" w:cs="Times New Roman"/>
                <w:color w:val="FF0000"/>
                <w:kern w:val="0"/>
                <w:sz w:val="21"/>
                <w:szCs w:val="20"/>
                <w:highlight w:val="none"/>
                <w:lang w:val="en-US" w:eastAsia="zh-CN" w:bidi="ar-SA"/>
              </w:rPr>
              <w:t>t/a</w:t>
            </w:r>
          </w:p>
        </w:tc>
        <w:tc>
          <w:tcPr>
            <w:tcW w:w="1600" w:type="dxa"/>
            <w:vAlign w:val="center"/>
          </w:tcPr>
          <w:p w14:paraId="1EB9D9ED">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+1.469</w:t>
            </w:r>
            <w:r>
              <w:rPr>
                <w:rFonts w:hint="default" w:ascii="Times New Roman" w:hAnsi="Times New Roman" w:eastAsia="宋体" w:cs="Times New Roman"/>
                <w:color w:val="FF0000"/>
                <w:kern w:val="0"/>
                <w:sz w:val="21"/>
                <w:szCs w:val="20"/>
                <w:highlight w:val="none"/>
                <w:lang w:val="en-US" w:eastAsia="zh-CN" w:bidi="ar-SA"/>
              </w:rPr>
              <w:t>t/a</w:t>
            </w:r>
          </w:p>
        </w:tc>
      </w:tr>
      <w:tr w14:paraId="4DC37D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Merge w:val="continue"/>
            <w:vAlign w:val="center"/>
          </w:tcPr>
          <w:p w14:paraId="39D1C29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950" w:type="dxa"/>
            <w:vAlign w:val="center"/>
          </w:tcPr>
          <w:p w14:paraId="590CCCB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废RO反渗透膜</w:t>
            </w:r>
          </w:p>
        </w:tc>
        <w:tc>
          <w:tcPr>
            <w:tcW w:w="1579" w:type="dxa"/>
            <w:vAlign w:val="center"/>
          </w:tcPr>
          <w:p w14:paraId="043E21C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11D5A7D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527BFC8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1CE11CD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0.04</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363" w:type="dxa"/>
            <w:vAlign w:val="center"/>
          </w:tcPr>
          <w:p w14:paraId="12402BB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6458FA09">
            <w:pPr>
              <w:adjustRightInd w:val="0"/>
              <w:snapToGrid w:val="0"/>
              <w:spacing w:line="240" w:lineRule="atLeast"/>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0.04</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c>
          <w:tcPr>
            <w:tcW w:w="1600" w:type="dxa"/>
            <w:vAlign w:val="center"/>
          </w:tcPr>
          <w:p w14:paraId="6B3807E3">
            <w:pPr>
              <w:adjustRightInd w:val="0"/>
              <w:snapToGrid w:val="0"/>
              <w:spacing w:line="240" w:lineRule="atLeast"/>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+0.04</w:t>
            </w:r>
            <w:r>
              <w:rPr>
                <w:rFonts w:hint="default"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t>t/a</w:t>
            </w:r>
          </w:p>
        </w:tc>
      </w:tr>
      <w:tr w14:paraId="342A04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77" w:type="dxa"/>
            <w:vAlign w:val="center"/>
          </w:tcPr>
          <w:p w14:paraId="1FC519F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危险废物</w:t>
            </w:r>
          </w:p>
        </w:tc>
        <w:tc>
          <w:tcPr>
            <w:tcW w:w="1950" w:type="dxa"/>
            <w:vAlign w:val="center"/>
          </w:tcPr>
          <w:p w14:paraId="7AFB0C7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检验室检验废液</w:t>
            </w:r>
          </w:p>
        </w:tc>
        <w:tc>
          <w:tcPr>
            <w:tcW w:w="1579" w:type="dxa"/>
            <w:vAlign w:val="center"/>
          </w:tcPr>
          <w:p w14:paraId="25DE1FB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276" w:type="dxa"/>
            <w:vAlign w:val="center"/>
          </w:tcPr>
          <w:p w14:paraId="72B45CE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701" w:type="dxa"/>
            <w:vAlign w:val="center"/>
          </w:tcPr>
          <w:p w14:paraId="53AA660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559" w:type="dxa"/>
            <w:vAlign w:val="center"/>
          </w:tcPr>
          <w:p w14:paraId="0063BD5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3</w:t>
            </w:r>
            <w:r>
              <w:rPr>
                <w:rFonts w:hint="default" w:ascii="Times New Roman" w:hAnsi="Times New Roman" w:eastAsia="宋体" w:cs="Times New Roman"/>
                <w:color w:val="FF0000"/>
                <w:kern w:val="0"/>
                <w:sz w:val="21"/>
                <w:szCs w:val="20"/>
                <w:highlight w:val="none"/>
                <w:lang w:val="en-US" w:eastAsia="zh-CN" w:bidi="ar-SA"/>
              </w:rPr>
              <w:t>t/a</w:t>
            </w:r>
          </w:p>
        </w:tc>
        <w:tc>
          <w:tcPr>
            <w:tcW w:w="1363" w:type="dxa"/>
            <w:vAlign w:val="center"/>
          </w:tcPr>
          <w:p w14:paraId="5FDD040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tLeast"/>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p>
        </w:tc>
        <w:tc>
          <w:tcPr>
            <w:tcW w:w="1671" w:type="dxa"/>
            <w:vAlign w:val="center"/>
          </w:tcPr>
          <w:p w14:paraId="24C41EAD">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3</w:t>
            </w:r>
            <w:r>
              <w:rPr>
                <w:rFonts w:hint="default" w:ascii="Times New Roman" w:hAnsi="Times New Roman" w:eastAsia="宋体" w:cs="Times New Roman"/>
                <w:color w:val="FF0000"/>
                <w:kern w:val="0"/>
                <w:sz w:val="21"/>
                <w:szCs w:val="20"/>
                <w:highlight w:val="none"/>
                <w:lang w:val="en-US" w:eastAsia="zh-CN" w:bidi="ar-SA"/>
              </w:rPr>
              <w:t>t/a</w:t>
            </w:r>
          </w:p>
        </w:tc>
        <w:tc>
          <w:tcPr>
            <w:tcW w:w="1600" w:type="dxa"/>
            <w:vAlign w:val="center"/>
          </w:tcPr>
          <w:p w14:paraId="22E500AB">
            <w:pPr>
              <w:adjustRightInd w:val="0"/>
              <w:snapToGrid w:val="0"/>
              <w:spacing w:line="240" w:lineRule="atLeast"/>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FF0000"/>
                <w:kern w:val="0"/>
                <w:sz w:val="21"/>
                <w:szCs w:val="21"/>
                <w:highlight w:val="none"/>
                <w:lang w:val="en-US" w:eastAsia="zh-CN" w:bidi="ar-SA"/>
              </w:rPr>
              <w:t>+3</w:t>
            </w:r>
            <w:r>
              <w:rPr>
                <w:rFonts w:hint="default" w:ascii="Times New Roman" w:hAnsi="Times New Roman" w:eastAsia="宋体" w:cs="Times New Roman"/>
                <w:color w:val="FF0000"/>
                <w:kern w:val="0"/>
                <w:sz w:val="21"/>
                <w:szCs w:val="20"/>
                <w:highlight w:val="none"/>
                <w:lang w:val="en-US" w:eastAsia="zh-CN" w:bidi="ar-SA"/>
              </w:rPr>
              <w:t>t/a</w:t>
            </w:r>
          </w:p>
        </w:tc>
      </w:tr>
    </w:tbl>
    <w:p w14:paraId="2AD1B84B">
      <w:pPr>
        <w:widowControl w:val="0"/>
        <w:adjustRightInd w:val="0"/>
        <w:snapToGrid w:val="0"/>
        <w:spacing w:before="192" w:beforeLines="80" w:after="24" w:afterLines="10" w:line="259" w:lineRule="auto"/>
        <w:jc w:val="left"/>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 w:val="21"/>
          <w:szCs w:val="21"/>
          <w:highlight w:val="none"/>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 w:val="21"/>
          <w:szCs w:val="21"/>
          <w:highlight w:val="none"/>
          <w:lang w:val="en-US" w:eastAsia="zh-CN" w:bidi="ar-SA"/>
          <w14:textFill>
            <w14:solidFill>
              <w14:schemeClr w14:val="tx1"/>
            </w14:solidFill>
          </w14:textFill>
        </w:rPr>
        <w:fldChar w:fldCharType="end"/>
      </w:r>
    </w:p>
    <w:p w14:paraId="31E3213C">
      <w:pPr>
        <w:rPr>
          <w:rFonts w:hint="default" w:ascii="Times New Roman" w:hAnsi="Times New Roman" w:eastAsia="宋体" w:cs="Times New Roman"/>
          <w:color w:val="000000" w:themeColor="text1"/>
          <w:highlight w:val="none"/>
          <w14:textFill>
            <w14:solidFill>
              <w14:schemeClr w14:val="tx1"/>
            </w14:solidFill>
          </w14:textFill>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F94331A">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19" w:name="_Toc140683757"/>
      <w:r>
        <w:rPr>
          <w:rFonts w:hint="default" w:ascii="Times New Roman" w:hAnsi="Times New Roman" w:eastAsia="宋体" w:cs="Times New Roman"/>
          <w:b/>
          <w:color w:val="000000" w:themeColor="text1"/>
          <w:sz w:val="24"/>
          <w:szCs w:val="24"/>
          <w:highlight w:val="none"/>
          <w14:textFill>
            <w14:solidFill>
              <w14:schemeClr w14:val="tx1"/>
            </w14:solidFill>
          </w14:textFill>
        </w:rPr>
        <w:t>附图1：本项目在</w:t>
      </w:r>
      <w:r>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t>双鸭山</w:t>
      </w:r>
      <w:r>
        <w:rPr>
          <w:rFonts w:hint="default" w:ascii="Times New Roman" w:hAnsi="Times New Roman" w:eastAsia="宋体" w:cs="Times New Roman"/>
          <w:b/>
          <w:color w:val="000000" w:themeColor="text1"/>
          <w:sz w:val="24"/>
          <w:szCs w:val="24"/>
          <w:highlight w:val="none"/>
          <w14:textFill>
            <w14:solidFill>
              <w14:schemeClr w14:val="tx1"/>
            </w14:solidFill>
          </w14:textFill>
        </w:rPr>
        <w:t>市综合管控单元图的位置</w:t>
      </w:r>
      <w:bookmarkEnd w:id="19"/>
    </w:p>
    <w:p w14:paraId="6E0C04EA">
      <w:pPr>
        <w:jc w:val="both"/>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7094220" cy="4931410"/>
            <wp:effectExtent l="0" t="0" r="11430" b="2540"/>
            <wp:docPr id="35" name="图片 35" descr="1b712943d191fbc68ac7e901cd6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b712943d191fbc68ac7e901cd68369"/>
                    <pic:cNvPicPr>
                      <a:picLocks noChangeAspect="1"/>
                    </pic:cNvPicPr>
                  </pic:nvPicPr>
                  <pic:blipFill>
                    <a:blip r:embed="rId31"/>
                    <a:stretch>
                      <a:fillRect/>
                    </a:stretch>
                  </pic:blipFill>
                  <pic:spPr>
                    <a:xfrm>
                      <a:off x="0" y="0"/>
                      <a:ext cx="7094220" cy="4931410"/>
                    </a:xfrm>
                    <a:prstGeom prst="rect">
                      <a:avLst/>
                    </a:prstGeom>
                  </pic:spPr>
                </pic:pic>
              </a:graphicData>
            </a:graphic>
          </wp:inline>
        </w:drawing>
      </w:r>
    </w:p>
    <w:p w14:paraId="0061F2B2">
      <w:pPr>
        <w:tabs>
          <w:tab w:val="left" w:pos="3330"/>
        </w:tabs>
        <w:bidi w:val="0"/>
        <w:jc w:val="left"/>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tab/>
      </w:r>
    </w:p>
    <w:p w14:paraId="08460CAF">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20" w:name="_Toc140683758"/>
      <w:r>
        <w:rPr>
          <w:rFonts w:hint="default" w:ascii="Times New Roman" w:hAnsi="Times New Roman" w:eastAsia="宋体" w:cs="Times New Roman"/>
          <w:b/>
          <w:color w:val="000000" w:themeColor="text1"/>
          <w:sz w:val="24"/>
          <w:szCs w:val="24"/>
          <w:highlight w:val="none"/>
          <w14:textFill>
            <w14:solidFill>
              <w14:schemeClr w14:val="tx1"/>
            </w14:solidFill>
          </w14:textFill>
        </w:rPr>
        <w:t>附图2：本项目地理位置图</w:t>
      </w:r>
      <w:bookmarkEnd w:id="20"/>
    </w:p>
    <w:p w14:paraId="7F780A87">
      <w:pPr>
        <w:spacing w:line="360" w:lineRule="auto"/>
        <w:jc w:val="both"/>
        <w:rPr>
          <w:rFonts w:hint="default" w:ascii="Times New Roman" w:hAnsi="Times New Roman" w:eastAsia="宋体" w:cs="Times New Roman"/>
          <w:b/>
          <w:color w:val="000000" w:themeColor="text1"/>
          <w:highlight w:val="none"/>
          <w:lang w:eastAsia="zh-CN"/>
          <w14:textFill>
            <w14:solidFill>
              <w14:schemeClr w14:val="tx1"/>
            </w14:solidFill>
          </w14:textFill>
        </w:rPr>
      </w:pPr>
      <w:r>
        <w:rPr>
          <w:rFonts w:hint="default" w:ascii="Times New Roman" w:hAnsi="Times New Roman" w:eastAsia="宋体" w:cs="Times New Roman"/>
          <w:b/>
          <w:color w:val="000000" w:themeColor="text1"/>
          <w:highlight w:val="none"/>
          <w:lang w:eastAsia="zh-CN"/>
          <w14:textFill>
            <w14:solidFill>
              <w14:schemeClr w14:val="tx1"/>
            </w14:solidFill>
          </w14:textFill>
        </w:rPr>
        <w:drawing>
          <wp:inline distT="0" distB="0" distL="114300" distR="114300">
            <wp:extent cx="7172960" cy="4791710"/>
            <wp:effectExtent l="0" t="0" r="8890" b="8890"/>
            <wp:docPr id="12" name="图片 12" descr="5928aa3c12950c108d6ef634db1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928aa3c12950c108d6ef634db18177"/>
                    <pic:cNvPicPr>
                      <a:picLocks noChangeAspect="1"/>
                    </pic:cNvPicPr>
                  </pic:nvPicPr>
                  <pic:blipFill>
                    <a:blip r:embed="rId32"/>
                    <a:stretch>
                      <a:fillRect/>
                    </a:stretch>
                  </pic:blipFill>
                  <pic:spPr>
                    <a:xfrm>
                      <a:off x="0" y="0"/>
                      <a:ext cx="7172960" cy="4791710"/>
                    </a:xfrm>
                    <a:prstGeom prst="rect">
                      <a:avLst/>
                    </a:prstGeom>
                  </pic:spPr>
                </pic:pic>
              </a:graphicData>
            </a:graphic>
          </wp:inline>
        </w:drawing>
      </w:r>
    </w:p>
    <w:p w14:paraId="53811A77">
      <w:pPr>
        <w:rPr>
          <w:rFonts w:hint="default" w:ascii="Times New Roman" w:hAnsi="Times New Roman" w:eastAsia="宋体" w:cs="Times New Roman"/>
          <w:color w:val="000000" w:themeColor="text1"/>
          <w:highlight w:val="none"/>
          <w14:textFill>
            <w14:solidFill>
              <w14:schemeClr w14:val="tx1"/>
            </w14:solidFill>
          </w14:textFill>
        </w:rPr>
      </w:pPr>
    </w:p>
    <w:p w14:paraId="46CACFF0">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pPr>
      <w:bookmarkStart w:id="21" w:name="_Toc27003"/>
      <w:bookmarkStart w:id="22" w:name="_Toc140683760"/>
      <w:r>
        <w:rPr>
          <w:rFonts w:hint="default" w:ascii="Times New Roman" w:hAnsi="Times New Roman" w:eastAsia="宋体" w:cs="Times New Roman"/>
          <w:b/>
          <w:color w:val="000000" w:themeColor="text1"/>
          <w:sz w:val="24"/>
          <w:szCs w:val="24"/>
          <w:highlight w:val="none"/>
          <w14:textFill>
            <w14:solidFill>
              <w14:schemeClr w14:val="tx1"/>
            </w14:solidFill>
          </w14:textFill>
        </w:rPr>
        <w:t>附图</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highlight w:val="none"/>
          <w14:textFill>
            <w14:solidFill>
              <w14:schemeClr w14:val="tx1"/>
            </w14:solidFill>
          </w14:textFill>
        </w:rPr>
        <w:t>：本项目环境</w:t>
      </w:r>
      <w:r>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t>保护</w:t>
      </w:r>
      <w:r>
        <w:rPr>
          <w:rFonts w:hint="default" w:ascii="Times New Roman" w:hAnsi="Times New Roman" w:eastAsia="宋体" w:cs="Times New Roman"/>
          <w:b/>
          <w:color w:val="000000" w:themeColor="text1"/>
          <w:sz w:val="24"/>
          <w:szCs w:val="24"/>
          <w:highlight w:val="none"/>
          <w14:textFill>
            <w14:solidFill>
              <w14:schemeClr w14:val="tx1"/>
            </w14:solidFill>
          </w14:textFill>
        </w:rPr>
        <w:t>调查范围</w:t>
      </w:r>
      <w:bookmarkEnd w:id="21"/>
      <w:bookmarkEnd w:id="22"/>
      <w:r>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t>图</w:t>
      </w:r>
    </w:p>
    <w:p w14:paraId="771D1C16">
      <w:pPr>
        <w:tabs>
          <w:tab w:val="left" w:pos="226"/>
        </w:tabs>
        <w:bidi w:val="0"/>
        <w:jc w:val="left"/>
        <w:rPr>
          <w:rFonts w:hint="default" w:asciiTheme="minorHAnsi" w:hAnsiTheme="minorHAnsi" w:eastAsiaTheme="minorEastAsia" w:cstheme="minorBidi"/>
          <w:kern w:val="2"/>
          <w:sz w:val="21"/>
          <w:szCs w:val="24"/>
          <w:lang w:val="en-US" w:eastAsia="zh-CN" w:bidi="ar-SA"/>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stheme="minorBidi"/>
          <w:kern w:val="2"/>
          <w:sz w:val="21"/>
          <w:szCs w:val="24"/>
          <w:lang w:val="en-US" w:eastAsia="zh-CN" w:bidi="ar-SA"/>
        </w:rPr>
        <w:tab/>
      </w:r>
      <w:r>
        <w:rPr>
          <w:rFonts w:hint="eastAsia" w:cstheme="minorBidi"/>
          <w:kern w:val="2"/>
          <w:sz w:val="21"/>
          <w:szCs w:val="24"/>
          <w:lang w:val="en-US" w:eastAsia="zh-CN" w:bidi="ar-SA"/>
        </w:rPr>
        <w:drawing>
          <wp:inline distT="0" distB="0" distL="114300" distR="114300">
            <wp:extent cx="6687185" cy="4769485"/>
            <wp:effectExtent l="0" t="0" r="18415" b="12065"/>
            <wp:docPr id="30" name="图片 30" descr="ed818cb3499daedc2c5b60f502d82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d818cb3499daedc2c5b60f502d82c2"/>
                    <pic:cNvPicPr>
                      <a:picLocks noChangeAspect="1"/>
                    </pic:cNvPicPr>
                  </pic:nvPicPr>
                  <pic:blipFill>
                    <a:blip r:embed="rId33"/>
                    <a:stretch>
                      <a:fillRect/>
                    </a:stretch>
                  </pic:blipFill>
                  <pic:spPr>
                    <a:xfrm>
                      <a:off x="0" y="0"/>
                      <a:ext cx="6687185" cy="4769485"/>
                    </a:xfrm>
                    <a:prstGeom prst="rect">
                      <a:avLst/>
                    </a:prstGeom>
                  </pic:spPr>
                </pic:pic>
              </a:graphicData>
            </a:graphic>
          </wp:inline>
        </w:drawing>
      </w:r>
    </w:p>
    <w:p w14:paraId="64421294">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23" w:name="_Toc140683759"/>
      <w:bookmarkStart w:id="24" w:name="_Toc140683761"/>
      <w:r>
        <w:rPr>
          <w:rFonts w:hint="default" w:ascii="Times New Roman" w:hAnsi="Times New Roman" w:eastAsia="宋体" w:cs="Times New Roman"/>
          <w:b/>
          <w:color w:val="000000" w:themeColor="text1"/>
          <w:sz w:val="24"/>
          <w:szCs w:val="24"/>
          <w:highlight w:val="none"/>
          <w14:textFill>
            <w14:solidFill>
              <w14:schemeClr w14:val="tx1"/>
            </w14:solidFill>
          </w14:textFill>
        </w:rPr>
        <w:t>附图</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 w:val="24"/>
          <w:szCs w:val="24"/>
          <w:highlight w:val="none"/>
          <w14:textFill>
            <w14:solidFill>
              <w14:schemeClr w14:val="tx1"/>
            </w14:solidFill>
          </w14:textFill>
        </w:rPr>
        <w:t>：本项目总平面布置图</w:t>
      </w:r>
      <w:bookmarkEnd w:id="23"/>
    </w:p>
    <w:p w14:paraId="3519AD9E">
      <w:pPr>
        <w:tabs>
          <w:tab w:val="left" w:pos="1971"/>
        </w:tabs>
        <w:bidi w:val="0"/>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055485" cy="5143500"/>
            <wp:effectExtent l="0" t="0" r="12065" b="0"/>
            <wp:docPr id="57" name="图片 57" descr="a828eb4a2e03a15161147d2a1b47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a828eb4a2e03a15161147d2a1b47d52"/>
                    <pic:cNvPicPr>
                      <a:picLocks noChangeAspect="1"/>
                    </pic:cNvPicPr>
                  </pic:nvPicPr>
                  <pic:blipFill>
                    <a:blip r:embed="rId34"/>
                    <a:stretch>
                      <a:fillRect/>
                    </a:stretch>
                  </pic:blipFill>
                  <pic:spPr>
                    <a:xfrm>
                      <a:off x="0" y="0"/>
                      <a:ext cx="7055485" cy="5143500"/>
                    </a:xfrm>
                    <a:prstGeom prst="rect">
                      <a:avLst/>
                    </a:prstGeom>
                  </pic:spPr>
                </pic:pic>
              </a:graphicData>
            </a:graphic>
          </wp:inline>
        </w:drawing>
      </w:r>
    </w:p>
    <w:p w14:paraId="2D57E850">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br w:type="page"/>
      </w:r>
    </w:p>
    <w:p w14:paraId="52A35688">
      <w:pPr>
        <w:tabs>
          <w:tab w:val="left" w:pos="342"/>
        </w:tabs>
        <w:bidi w:val="0"/>
        <w:jc w:val="left"/>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35B77718">
      <w:pPr>
        <w:tabs>
          <w:tab w:val="left" w:pos="342"/>
        </w:tabs>
        <w:bidi w:val="0"/>
        <w:jc w:val="left"/>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附图5：本项目周围环境状况图</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31843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2" w:hRule="atLeast"/>
          <w:jc w:val="center"/>
        </w:trPr>
        <w:tc>
          <w:tcPr>
            <w:tcW w:w="4530" w:type="dxa"/>
            <w:noWrap w:val="0"/>
            <w:vAlign w:val="center"/>
          </w:tcPr>
          <w:p w14:paraId="55A733CC">
            <w:pPr>
              <w:pStyle w:val="12"/>
              <w:keepNext w:val="0"/>
              <w:keepLines w:val="0"/>
              <w:suppressLineNumbers w:val="0"/>
              <w:spacing w:before="0" w:beforeAutospacing="0" w:afterAutospacing="0"/>
              <w:ind w:left="0" w:leftChars="0" w:right="0" w:firstLine="0" w:firstLineChars="0"/>
              <w:jc w:val="both"/>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anchor distT="0" distB="0" distL="114300" distR="114300" simplePos="0" relativeHeight="251676672" behindDoc="0" locked="0" layoutInCell="1" allowOverlap="1">
                  <wp:simplePos x="0" y="0"/>
                  <wp:positionH relativeFrom="column">
                    <wp:posOffset>0</wp:posOffset>
                  </wp:positionH>
                  <wp:positionV relativeFrom="paragraph">
                    <wp:posOffset>99695</wp:posOffset>
                  </wp:positionV>
                  <wp:extent cx="2728595" cy="2048510"/>
                  <wp:effectExtent l="0" t="0" r="14605" b="8890"/>
                  <wp:wrapSquare wrapText="bothSides"/>
                  <wp:docPr id="5" name="图片 5" descr="43cfc5bb7c39449838a48b9884c4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3cfc5bb7c39449838a48b9884c487e"/>
                          <pic:cNvPicPr>
                            <a:picLocks noChangeAspect="1"/>
                          </pic:cNvPicPr>
                        </pic:nvPicPr>
                        <pic:blipFill>
                          <a:blip r:embed="rId35"/>
                          <a:stretch>
                            <a:fillRect/>
                          </a:stretch>
                        </pic:blipFill>
                        <pic:spPr>
                          <a:xfrm>
                            <a:off x="0" y="0"/>
                            <a:ext cx="2728595" cy="2048510"/>
                          </a:xfrm>
                          <a:prstGeom prst="rect">
                            <a:avLst/>
                          </a:prstGeom>
                        </pic:spPr>
                      </pic:pic>
                    </a:graphicData>
                  </a:graphic>
                </wp:anchor>
              </w:drawing>
            </w:r>
          </w:p>
        </w:tc>
        <w:tc>
          <w:tcPr>
            <w:tcW w:w="4530" w:type="dxa"/>
            <w:noWrap w:val="0"/>
            <w:vAlign w:val="center"/>
          </w:tcPr>
          <w:p w14:paraId="2A36BB29">
            <w:pPr>
              <w:pStyle w:val="1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anchor distT="0" distB="0" distL="114300" distR="114300" simplePos="0" relativeHeight="251678720" behindDoc="0" locked="0" layoutInCell="1" allowOverlap="1">
                  <wp:simplePos x="0" y="0"/>
                  <wp:positionH relativeFrom="column">
                    <wp:posOffset>-3810</wp:posOffset>
                  </wp:positionH>
                  <wp:positionV relativeFrom="paragraph">
                    <wp:posOffset>99695</wp:posOffset>
                  </wp:positionV>
                  <wp:extent cx="2729865" cy="2046605"/>
                  <wp:effectExtent l="0" t="0" r="13335" b="10795"/>
                  <wp:wrapSquare wrapText="bothSides"/>
                  <wp:docPr id="7" name="图片 7" descr="7ba107c7ceeb047289436b4cd969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ba107c7ceeb047289436b4cd969e83"/>
                          <pic:cNvPicPr>
                            <a:picLocks noChangeAspect="1"/>
                          </pic:cNvPicPr>
                        </pic:nvPicPr>
                        <pic:blipFill>
                          <a:blip r:embed="rId36"/>
                          <a:stretch>
                            <a:fillRect/>
                          </a:stretch>
                        </pic:blipFill>
                        <pic:spPr>
                          <a:xfrm>
                            <a:off x="0" y="0"/>
                            <a:ext cx="2729865" cy="2046605"/>
                          </a:xfrm>
                          <a:prstGeom prst="rect">
                            <a:avLst/>
                          </a:prstGeom>
                        </pic:spPr>
                      </pic:pic>
                    </a:graphicData>
                  </a:graphic>
                </wp:anchor>
              </w:drawing>
            </w:r>
          </w:p>
        </w:tc>
      </w:tr>
      <w:tr w14:paraId="2AAB5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4530" w:type="dxa"/>
            <w:noWrap w:val="0"/>
            <w:vAlign w:val="center"/>
          </w:tcPr>
          <w:p w14:paraId="38C0A6F7">
            <w:pPr>
              <w:pStyle w:val="1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4"/>
                <w:szCs w:val="24"/>
                <w:highlight w:val="none"/>
                <w14:textFill>
                  <w14:solidFill>
                    <w14:schemeClr w14:val="tx1"/>
                  </w14:solidFill>
                </w14:textFill>
              </w:rPr>
              <w:t>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为</w:t>
            </w:r>
            <w:r>
              <w:rPr>
                <w:rFonts w:hint="eastAsia" w:cs="Times New Roman"/>
                <w:color w:val="000000" w:themeColor="text1"/>
                <w:sz w:val="24"/>
                <w:szCs w:val="24"/>
                <w:highlight w:val="none"/>
                <w:lang w:eastAsia="zh-CN"/>
                <w14:textFill>
                  <w14:solidFill>
                    <w14:schemeClr w14:val="tx1"/>
                  </w14:solidFill>
                </w14:textFill>
              </w:rPr>
              <w:t>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地</w:t>
            </w:r>
          </w:p>
        </w:tc>
        <w:tc>
          <w:tcPr>
            <w:tcW w:w="4530" w:type="dxa"/>
            <w:noWrap w:val="0"/>
            <w:vAlign w:val="center"/>
          </w:tcPr>
          <w:p w14:paraId="67AD320A">
            <w:pPr>
              <w:pStyle w:val="1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东</w:t>
            </w:r>
            <w:r>
              <w:rPr>
                <w:rFonts w:hint="default" w:ascii="Times New Roman" w:hAnsi="Times New Roman" w:eastAsia="宋体" w:cs="Times New Roman"/>
                <w:color w:val="000000" w:themeColor="text1"/>
                <w:sz w:val="24"/>
                <w:szCs w:val="24"/>
                <w:highlight w:val="none"/>
                <w14:textFill>
                  <w14:solidFill>
                    <w14:schemeClr w14:val="tx1"/>
                  </w14:solidFill>
                </w14:textFill>
              </w:rPr>
              <w:t>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为</w:t>
            </w:r>
            <w:r>
              <w:rPr>
                <w:rFonts w:hint="eastAsia" w:cs="Times New Roman"/>
                <w:color w:val="000000" w:themeColor="text1"/>
                <w:sz w:val="24"/>
                <w:szCs w:val="24"/>
                <w:highlight w:val="none"/>
                <w:lang w:eastAsia="zh-CN"/>
                <w14:textFill>
                  <w14:solidFill>
                    <w14:schemeClr w14:val="tx1"/>
                  </w14:solidFill>
                </w14:textFill>
              </w:rPr>
              <w:t>青山</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路</w:t>
            </w:r>
          </w:p>
        </w:tc>
      </w:tr>
      <w:tr w14:paraId="266FE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4" w:hRule="atLeast"/>
          <w:jc w:val="center"/>
        </w:trPr>
        <w:tc>
          <w:tcPr>
            <w:tcW w:w="4530" w:type="dxa"/>
            <w:noWrap w:val="0"/>
            <w:vAlign w:val="center"/>
          </w:tcPr>
          <w:p w14:paraId="6EF0EDA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anchor distT="0" distB="0" distL="114300" distR="114300" simplePos="0" relativeHeight="251675648" behindDoc="0" locked="0" layoutInCell="1" allowOverlap="1">
                  <wp:simplePos x="0" y="0"/>
                  <wp:positionH relativeFrom="column">
                    <wp:posOffset>0</wp:posOffset>
                  </wp:positionH>
                  <wp:positionV relativeFrom="paragraph">
                    <wp:posOffset>99695</wp:posOffset>
                  </wp:positionV>
                  <wp:extent cx="2729865" cy="2046605"/>
                  <wp:effectExtent l="0" t="0" r="13335" b="10795"/>
                  <wp:wrapSquare wrapText="bothSides"/>
                  <wp:docPr id="4" name="图片 4" descr="3e58ef2830e146b80ba05563ce88b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e58ef2830e146b80ba05563ce88b2b"/>
                          <pic:cNvPicPr>
                            <a:picLocks noChangeAspect="1"/>
                          </pic:cNvPicPr>
                        </pic:nvPicPr>
                        <pic:blipFill>
                          <a:blip r:embed="rId37"/>
                          <a:stretch>
                            <a:fillRect/>
                          </a:stretch>
                        </pic:blipFill>
                        <pic:spPr>
                          <a:xfrm>
                            <a:off x="0" y="0"/>
                            <a:ext cx="2729865" cy="2046605"/>
                          </a:xfrm>
                          <a:prstGeom prst="rect">
                            <a:avLst/>
                          </a:prstGeom>
                        </pic:spPr>
                      </pic:pic>
                    </a:graphicData>
                  </a:graphic>
                </wp:anchor>
              </w:drawing>
            </w:r>
          </w:p>
        </w:tc>
        <w:tc>
          <w:tcPr>
            <w:tcW w:w="4530" w:type="dxa"/>
            <w:noWrap w:val="0"/>
            <w:vAlign w:val="center"/>
          </w:tcPr>
          <w:p w14:paraId="72160EA1">
            <w:pPr>
              <w:pStyle w:val="1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-3810</wp:posOffset>
                  </wp:positionH>
                  <wp:positionV relativeFrom="paragraph">
                    <wp:posOffset>99695</wp:posOffset>
                  </wp:positionV>
                  <wp:extent cx="2729865" cy="2046605"/>
                  <wp:effectExtent l="0" t="0" r="13335" b="10795"/>
                  <wp:wrapSquare wrapText="bothSides"/>
                  <wp:docPr id="6" name="图片 6" descr="23ae3372cbd626da943dacac9e5a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3ae3372cbd626da943dacac9e5a9c7"/>
                          <pic:cNvPicPr>
                            <a:picLocks noChangeAspect="1"/>
                          </pic:cNvPicPr>
                        </pic:nvPicPr>
                        <pic:blipFill>
                          <a:blip r:embed="rId38"/>
                          <a:stretch>
                            <a:fillRect/>
                          </a:stretch>
                        </pic:blipFill>
                        <pic:spPr>
                          <a:xfrm>
                            <a:off x="0" y="0"/>
                            <a:ext cx="2729865" cy="2046605"/>
                          </a:xfrm>
                          <a:prstGeom prst="rect">
                            <a:avLst/>
                          </a:prstGeom>
                        </pic:spPr>
                      </pic:pic>
                    </a:graphicData>
                  </a:graphic>
                </wp:anchor>
              </w:drawing>
            </w:r>
          </w:p>
        </w:tc>
      </w:tr>
      <w:tr w14:paraId="53105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0CA861C8">
            <w:pPr>
              <w:pStyle w:val="12"/>
              <w:keepNext w:val="0"/>
              <w:keepLines w:val="0"/>
              <w:suppressLineNumbers w:val="0"/>
              <w:spacing w:before="0" w:beforeAutospacing="0" w:afterAutospacing="0"/>
              <w:ind w:left="0" w:leftChars="0" w:right="0" w:firstLine="0" w:firstLineChars="0"/>
              <w:jc w:val="cente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南</w:t>
            </w:r>
            <w:r>
              <w:rPr>
                <w:rFonts w:hint="default" w:ascii="Times New Roman" w:hAnsi="Times New Roman" w:eastAsia="宋体" w:cs="Times New Roman"/>
                <w:color w:val="000000" w:themeColor="text1"/>
                <w:sz w:val="24"/>
                <w:szCs w:val="24"/>
                <w:highlight w:val="none"/>
                <w14:textFill>
                  <w14:solidFill>
                    <w14:schemeClr w14:val="tx1"/>
                  </w14:solidFill>
                </w14:textFill>
              </w:rPr>
              <w:t>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为</w:t>
            </w:r>
            <w:r>
              <w:rPr>
                <w:rFonts w:hint="eastAsia" w:cs="Times New Roman"/>
                <w:color w:val="000000" w:themeColor="text1"/>
                <w:sz w:val="24"/>
                <w:szCs w:val="24"/>
                <w:highlight w:val="none"/>
                <w:lang w:eastAsia="zh-CN"/>
                <w14:textFill>
                  <w14:solidFill>
                    <w14:schemeClr w14:val="tx1"/>
                  </w14:solidFill>
                </w14:textFill>
              </w:rPr>
              <w:t>未建成厂房</w:t>
            </w:r>
          </w:p>
        </w:tc>
        <w:tc>
          <w:tcPr>
            <w:tcW w:w="4530" w:type="dxa"/>
            <w:noWrap w:val="0"/>
            <w:vAlign w:val="center"/>
          </w:tcPr>
          <w:p w14:paraId="0D9BD12E">
            <w:pPr>
              <w:pStyle w:val="12"/>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北侧为</w:t>
            </w:r>
            <w:r>
              <w:rPr>
                <w:rFonts w:hint="eastAsia" w:cs="Times New Roman"/>
                <w:color w:val="000000" w:themeColor="text1"/>
                <w:sz w:val="24"/>
                <w:szCs w:val="24"/>
                <w:highlight w:val="none"/>
                <w:lang w:eastAsia="zh-CN"/>
                <w14:textFill>
                  <w14:solidFill>
                    <w14:schemeClr w14:val="tx1"/>
                  </w14:solidFill>
                </w14:textFill>
              </w:rPr>
              <w:t>空地</w:t>
            </w:r>
          </w:p>
        </w:tc>
      </w:tr>
    </w:tbl>
    <w:p w14:paraId="2496AA3E">
      <w:pPr>
        <w:pStyle w:val="12"/>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BADD95D">
      <w:pPr>
        <w:pStyle w:val="11"/>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33F76215">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629A489C">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7D621B98">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6C45A797">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23DDE05E">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49CBB82">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468A211D">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52A3AF07">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1FF4C476">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1A50089F">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10A06EBB">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附图</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：土地利用现状图</w:t>
      </w:r>
    </w:p>
    <w:p w14:paraId="78E0E589">
      <w:pPr>
        <w:bidi w:val="0"/>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drawing>
          <wp:inline distT="0" distB="0" distL="114300" distR="114300">
            <wp:extent cx="7386955" cy="5538470"/>
            <wp:effectExtent l="0" t="0" r="5080" b="4445"/>
            <wp:docPr id="26" name="图片 26" descr="968726951561cd1131b488f0109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68726951561cd1131b488f01092424"/>
                    <pic:cNvPicPr>
                      <a:picLocks noChangeAspect="1"/>
                    </pic:cNvPicPr>
                  </pic:nvPicPr>
                  <pic:blipFill>
                    <a:blip r:embed="rId39"/>
                    <a:stretch>
                      <a:fillRect/>
                    </a:stretch>
                  </pic:blipFill>
                  <pic:spPr>
                    <a:xfrm rot="5400000">
                      <a:off x="0" y="0"/>
                      <a:ext cx="7386955" cy="5538470"/>
                    </a:xfrm>
                    <a:prstGeom prst="rect">
                      <a:avLst/>
                    </a:prstGeom>
                  </pic:spPr>
                </pic:pic>
              </a:graphicData>
            </a:graphic>
          </wp:inline>
        </w:drawing>
      </w:r>
    </w:p>
    <w:p w14:paraId="0CC676DD">
      <w:pPr>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0EFEA815">
      <w:pPr>
        <w:tabs>
          <w:tab w:val="left" w:pos="363"/>
        </w:tabs>
        <w:bidi w:val="0"/>
        <w:jc w:val="left"/>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lang w:val="en-US" w:eastAsia="zh-CN"/>
          <w14:textFill>
            <w14:solidFill>
              <w14:schemeClr w14:val="tx1"/>
            </w14:solidFill>
          </w14:textFill>
        </w:rPr>
        <w:tab/>
      </w:r>
    </w:p>
    <w:p w14:paraId="0874BD28">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附图7：本项目在双鸭山市中心城区声环境功能区划分示意图位置</w:t>
      </w:r>
    </w:p>
    <w:p w14:paraId="70E49838">
      <w:pPr>
        <w:bidi w:val="0"/>
        <w:jc w:val="left"/>
        <w:rPr>
          <w:rFonts w:hint="default"/>
          <w:color w:val="000000" w:themeColor="text1"/>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olor w:val="000000" w:themeColor="text1"/>
          <w:lang w:val="en-US" w:eastAsia="zh-CN"/>
          <w14:textFill>
            <w14:solidFill>
              <w14:schemeClr w14:val="tx1"/>
            </w14:solidFill>
          </w14:textFill>
        </w:rPr>
        <w:drawing>
          <wp:inline distT="0" distB="0" distL="114300" distR="114300">
            <wp:extent cx="5257800" cy="6000750"/>
            <wp:effectExtent l="0" t="0" r="0" b="0"/>
            <wp:docPr id="8" name="图片 8" descr="95b985a59d38cc9b5e6c1bf3a34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5b985a59d38cc9b5e6c1bf3a347777"/>
                    <pic:cNvPicPr>
                      <a:picLocks noChangeAspect="1"/>
                    </pic:cNvPicPr>
                  </pic:nvPicPr>
                  <pic:blipFill>
                    <a:blip r:embed="rId40"/>
                    <a:stretch>
                      <a:fillRect/>
                    </a:stretch>
                  </pic:blipFill>
                  <pic:spPr>
                    <a:xfrm>
                      <a:off x="0" y="0"/>
                      <a:ext cx="5257800" cy="6000750"/>
                    </a:xfrm>
                    <a:prstGeom prst="rect">
                      <a:avLst/>
                    </a:prstGeom>
                  </pic:spPr>
                </pic:pic>
              </a:graphicData>
            </a:graphic>
          </wp:inline>
        </w:drawing>
      </w:r>
    </w:p>
    <w:p w14:paraId="32C3FA99">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附件8：双鸭山市中心城区公路及道路交通干线明细表</w:t>
      </w:r>
    </w:p>
    <w:p w14:paraId="4BF143A0">
      <w:pPr>
        <w:bidi w:val="0"/>
        <w:rPr>
          <w:rFonts w:hint="default" w:asciiTheme="minorHAnsi" w:hAnsiTheme="minorHAnsi" w:eastAsiaTheme="minorEastAsia" w:cstheme="minorBidi"/>
          <w:kern w:val="2"/>
          <w:sz w:val="21"/>
          <w:szCs w:val="24"/>
          <w:lang w:val="en-US" w:eastAsia="zh-CN" w:bidi="ar-SA"/>
        </w:rPr>
      </w:pPr>
    </w:p>
    <w:p w14:paraId="6D500B8F">
      <w:pPr>
        <w:bidi w:val="0"/>
        <w:rPr>
          <w:rFonts w:hint="default"/>
          <w:lang w:val="en-US" w:eastAsia="zh-CN"/>
        </w:rPr>
      </w:pPr>
      <w:r>
        <w:rPr>
          <w:rFonts w:hint="default"/>
          <w:lang w:val="en-US" w:eastAsia="zh-CN"/>
        </w:rPr>
        <w:drawing>
          <wp:inline distT="0" distB="0" distL="114300" distR="114300">
            <wp:extent cx="8422005" cy="4671060"/>
            <wp:effectExtent l="0" t="0" r="17145" b="15240"/>
            <wp:docPr id="40" name="图片 40" descr="0be9b03fe229384fff468e9691ed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be9b03fe229384fff468e9691eddc6"/>
                    <pic:cNvPicPr>
                      <a:picLocks noChangeAspect="1"/>
                    </pic:cNvPicPr>
                  </pic:nvPicPr>
                  <pic:blipFill>
                    <a:blip r:embed="rId41"/>
                    <a:stretch>
                      <a:fillRect/>
                    </a:stretch>
                  </pic:blipFill>
                  <pic:spPr>
                    <a:xfrm>
                      <a:off x="0" y="0"/>
                      <a:ext cx="8422005" cy="4671060"/>
                    </a:xfrm>
                    <a:prstGeom prst="rect">
                      <a:avLst/>
                    </a:prstGeom>
                  </pic:spPr>
                </pic:pic>
              </a:graphicData>
            </a:graphic>
          </wp:inline>
        </w:drawing>
      </w:r>
    </w:p>
    <w:p w14:paraId="12026881">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689DE0E3">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附图9：本项目大气保护目标图</w:t>
      </w:r>
    </w:p>
    <w:tbl>
      <w:tblPr>
        <w:tblStyle w:val="1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60"/>
      </w:tblGrid>
      <w:tr w14:paraId="2AF4D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0" w:type="dxa"/>
          </w:tcPr>
          <w:p w14:paraId="1D02EDDA">
            <w:pPr>
              <w:tabs>
                <w:tab w:val="left" w:pos="1340"/>
              </w:tabs>
              <w:bidi w:val="0"/>
              <w:jc w:val="left"/>
              <w:rPr>
                <w:rFonts w:hint="default"/>
                <w:vertAlign w:val="baseline"/>
                <w:lang w:val="en-US" w:eastAsia="zh-CN"/>
              </w:rPr>
            </w:pPr>
            <w:r>
              <w:rPr>
                <w:rFonts w:hint="default"/>
                <w:vertAlign w:val="baseline"/>
                <w:lang w:val="en-US" w:eastAsia="zh-CN"/>
              </w:rPr>
              <w:drawing>
                <wp:anchor distT="0" distB="0" distL="114300" distR="114300" simplePos="0" relativeHeight="251682816" behindDoc="0" locked="0" layoutInCell="1" allowOverlap="1">
                  <wp:simplePos x="0" y="0"/>
                  <wp:positionH relativeFrom="column">
                    <wp:posOffset>0</wp:posOffset>
                  </wp:positionH>
                  <wp:positionV relativeFrom="paragraph">
                    <wp:posOffset>74295</wp:posOffset>
                  </wp:positionV>
                  <wp:extent cx="5124450" cy="3843655"/>
                  <wp:effectExtent l="0" t="0" r="0" b="4445"/>
                  <wp:wrapSquare wrapText="bothSides"/>
                  <wp:docPr id="3" name="图片 3" descr="8c88c453f4f5213387a81c6b4bdd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c88c453f4f5213387a81c6b4bdd811"/>
                          <pic:cNvPicPr>
                            <a:picLocks noChangeAspect="1"/>
                          </pic:cNvPicPr>
                        </pic:nvPicPr>
                        <pic:blipFill>
                          <a:blip r:embed="rId42"/>
                          <a:stretch>
                            <a:fillRect/>
                          </a:stretch>
                        </pic:blipFill>
                        <pic:spPr>
                          <a:xfrm>
                            <a:off x="0" y="0"/>
                            <a:ext cx="5124450" cy="3843655"/>
                          </a:xfrm>
                          <a:prstGeom prst="rect">
                            <a:avLst/>
                          </a:prstGeom>
                        </pic:spPr>
                      </pic:pic>
                    </a:graphicData>
                  </a:graphic>
                </wp:anchor>
              </w:drawing>
            </w:r>
          </w:p>
        </w:tc>
      </w:tr>
      <w:tr w14:paraId="2AB64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0" w:type="dxa"/>
          </w:tcPr>
          <w:p w14:paraId="5BA5EC0A">
            <w:pPr>
              <w:bidi w:val="0"/>
              <w:jc w:val="left"/>
              <w:rPr>
                <w:rFonts w:hint="default"/>
                <w:vertAlign w:val="baseline"/>
                <w:lang w:val="en-US" w:eastAsia="zh-CN"/>
              </w:rPr>
            </w:pPr>
            <w:r>
              <w:rPr>
                <w:rFonts w:hint="default"/>
                <w:vertAlign w:val="baseline"/>
                <w:lang w:val="en-US" w:eastAsia="zh-CN"/>
              </w:rPr>
              <w:drawing>
                <wp:anchor distT="0" distB="0" distL="114300" distR="114300" simplePos="0" relativeHeight="251683840" behindDoc="0" locked="0" layoutInCell="1" allowOverlap="1">
                  <wp:simplePos x="0" y="0"/>
                  <wp:positionH relativeFrom="column">
                    <wp:posOffset>0</wp:posOffset>
                  </wp:positionH>
                  <wp:positionV relativeFrom="paragraph">
                    <wp:posOffset>74295</wp:posOffset>
                  </wp:positionV>
                  <wp:extent cx="5191125" cy="3893820"/>
                  <wp:effectExtent l="0" t="0" r="9525" b="11430"/>
                  <wp:wrapSquare wrapText="bothSides"/>
                  <wp:docPr id="28" name="图片 28" descr="9a4ae0e30a82f85dde5f4cbfadd3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9a4ae0e30a82f85dde5f4cbfadd3cdd"/>
                          <pic:cNvPicPr>
                            <a:picLocks noChangeAspect="1"/>
                          </pic:cNvPicPr>
                        </pic:nvPicPr>
                        <pic:blipFill>
                          <a:blip r:embed="rId43"/>
                          <a:stretch>
                            <a:fillRect/>
                          </a:stretch>
                        </pic:blipFill>
                        <pic:spPr>
                          <a:xfrm>
                            <a:off x="0" y="0"/>
                            <a:ext cx="5191125" cy="3893820"/>
                          </a:xfrm>
                          <a:prstGeom prst="rect">
                            <a:avLst/>
                          </a:prstGeom>
                        </pic:spPr>
                      </pic:pic>
                    </a:graphicData>
                  </a:graphic>
                </wp:anchor>
              </w:drawing>
            </w:r>
          </w:p>
        </w:tc>
      </w:tr>
    </w:tbl>
    <w:p w14:paraId="0D9A2C30">
      <w:pPr>
        <w:bidi w:val="0"/>
        <w:jc w:val="left"/>
        <w:rPr>
          <w:rFonts w:hint="default"/>
          <w:lang w:val="en-US" w:eastAsia="zh-CN"/>
        </w:rPr>
      </w:pPr>
    </w:p>
    <w:p w14:paraId="2F40F689">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50506B7D">
      <w:pPr>
        <w:keepLines/>
        <w:pageBreakBefore/>
        <w:widowControl/>
        <w:suppressLineNumbers/>
        <w:suppressAutoHyphens/>
        <w:spacing w:line="360" w:lineRule="auto"/>
        <w:outlineLvl w:val="0"/>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附件10：本项目与生态环境敏感目标位置图</w:t>
      </w:r>
    </w:p>
    <w:p w14:paraId="425BE2E2">
      <w:pPr>
        <w:bidi w:val="0"/>
        <w:jc w:val="left"/>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lang w:val="en-US" w:eastAsia="zh-CN"/>
        </w:rPr>
        <w:drawing>
          <wp:anchor distT="0" distB="0" distL="114300" distR="114300" simplePos="0" relativeHeight="251695104" behindDoc="0" locked="0" layoutInCell="1" allowOverlap="1">
            <wp:simplePos x="0" y="0"/>
            <wp:positionH relativeFrom="column">
              <wp:posOffset>0</wp:posOffset>
            </wp:positionH>
            <wp:positionV relativeFrom="paragraph">
              <wp:posOffset>47625</wp:posOffset>
            </wp:positionV>
            <wp:extent cx="8558530" cy="4364990"/>
            <wp:effectExtent l="0" t="0" r="13970" b="16510"/>
            <wp:wrapSquare wrapText="bothSides"/>
            <wp:docPr id="54" name="图片 54" descr="48800ce5eb721e03a694f52134bce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8800ce5eb721e03a694f52134bce4e"/>
                    <pic:cNvPicPr>
                      <a:picLocks noChangeAspect="1"/>
                    </pic:cNvPicPr>
                  </pic:nvPicPr>
                  <pic:blipFill>
                    <a:blip r:embed="rId44"/>
                    <a:stretch>
                      <a:fillRect/>
                    </a:stretch>
                  </pic:blipFill>
                  <pic:spPr>
                    <a:xfrm>
                      <a:off x="0" y="0"/>
                      <a:ext cx="8558530" cy="4364990"/>
                    </a:xfrm>
                    <a:prstGeom prst="rect">
                      <a:avLst/>
                    </a:prstGeom>
                  </pic:spPr>
                </pic:pic>
              </a:graphicData>
            </a:graphic>
          </wp:anchor>
        </w:drawing>
      </w:r>
    </w:p>
    <w:p w14:paraId="670FF898">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附件1：场地租赁协议</w:t>
      </w:r>
      <w:bookmarkEnd w:id="24"/>
    </w:p>
    <w:p w14:paraId="5BCF1C12">
      <w:pPr>
        <w:bidi w:val="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251450" cy="7996555"/>
            <wp:effectExtent l="0" t="0" r="6350" b="4445"/>
            <wp:docPr id="9" name="图片 9" descr="扫描件_厂房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扫描件_厂房租赁合同_00"/>
                    <pic:cNvPicPr>
                      <a:picLocks noChangeAspect="1"/>
                    </pic:cNvPicPr>
                  </pic:nvPicPr>
                  <pic:blipFill>
                    <a:blip r:embed="rId45"/>
                    <a:stretch>
                      <a:fillRect/>
                    </a:stretch>
                  </pic:blipFill>
                  <pic:spPr>
                    <a:xfrm>
                      <a:off x="0" y="0"/>
                      <a:ext cx="5251450" cy="7996555"/>
                    </a:xfrm>
                    <a:prstGeom prst="rect">
                      <a:avLst/>
                    </a:prstGeom>
                  </pic:spPr>
                </pic:pic>
              </a:graphicData>
            </a:graphic>
          </wp:inline>
        </w:drawing>
      </w:r>
    </w:p>
    <w:p w14:paraId="0224ABAA">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bookmarkStart w:id="25" w:name="_Toc140683762"/>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0</wp:posOffset>
            </wp:positionH>
            <wp:positionV relativeFrom="paragraph">
              <wp:posOffset>91440</wp:posOffset>
            </wp:positionV>
            <wp:extent cx="5592445" cy="8522335"/>
            <wp:effectExtent l="0" t="0" r="8255" b="12065"/>
            <wp:wrapSquare wrapText="bothSides"/>
            <wp:docPr id="10" name="图片 10" descr="扫描件_厂房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件_厂房租赁合同_01"/>
                    <pic:cNvPicPr>
                      <a:picLocks noChangeAspect="1"/>
                    </pic:cNvPicPr>
                  </pic:nvPicPr>
                  <pic:blipFill>
                    <a:blip r:embed="rId46"/>
                    <a:stretch>
                      <a:fillRect/>
                    </a:stretch>
                  </pic:blipFill>
                  <pic:spPr>
                    <a:xfrm>
                      <a:off x="0" y="0"/>
                      <a:ext cx="5592445" cy="8522335"/>
                    </a:xfrm>
                    <a:prstGeom prst="rect">
                      <a:avLst/>
                    </a:prstGeom>
                  </pic:spPr>
                </pic:pic>
              </a:graphicData>
            </a:graphic>
          </wp:anchor>
        </w:drawing>
      </w:r>
    </w:p>
    <w:p w14:paraId="64E7A7CD">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drawing>
          <wp:anchor distT="0" distB="0" distL="114300" distR="114300" simplePos="0" relativeHeight="251673600" behindDoc="0" locked="0" layoutInCell="1" allowOverlap="1">
            <wp:simplePos x="0" y="0"/>
            <wp:positionH relativeFrom="column">
              <wp:posOffset>0</wp:posOffset>
            </wp:positionH>
            <wp:positionV relativeFrom="paragraph">
              <wp:posOffset>91440</wp:posOffset>
            </wp:positionV>
            <wp:extent cx="5592445" cy="8522335"/>
            <wp:effectExtent l="0" t="0" r="8255" b="12065"/>
            <wp:wrapSquare wrapText="bothSides"/>
            <wp:docPr id="13" name="图片 13" descr="扫描件_厂房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扫描件_厂房租赁合同_02"/>
                    <pic:cNvPicPr>
                      <a:picLocks noChangeAspect="1"/>
                    </pic:cNvPicPr>
                  </pic:nvPicPr>
                  <pic:blipFill>
                    <a:blip r:embed="rId47"/>
                    <a:stretch>
                      <a:fillRect/>
                    </a:stretch>
                  </pic:blipFill>
                  <pic:spPr>
                    <a:xfrm>
                      <a:off x="0" y="0"/>
                      <a:ext cx="5592445" cy="8522335"/>
                    </a:xfrm>
                    <a:prstGeom prst="rect">
                      <a:avLst/>
                    </a:prstGeom>
                  </pic:spPr>
                </pic:pic>
              </a:graphicData>
            </a:graphic>
          </wp:anchor>
        </w:drawing>
      </w:r>
    </w:p>
    <w:p w14:paraId="1A1468D6">
      <w:pPr>
        <w:pStyle w:val="2"/>
        <w:rPr>
          <w:rFonts w:hint="default"/>
          <w:color w:val="000000" w:themeColor="text1"/>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olor w:val="000000" w:themeColor="text1"/>
          <w:lang w:val="en-US" w:eastAsia="zh-CN"/>
          <w14:textFill>
            <w14:solidFill>
              <w14:schemeClr w14:val="tx1"/>
            </w14:solidFill>
          </w14:textFill>
        </w:rPr>
        <w:drawing>
          <wp:anchor distT="0" distB="0" distL="114300" distR="114300" simplePos="0" relativeHeight="251674624" behindDoc="0" locked="0" layoutInCell="1" allowOverlap="1">
            <wp:simplePos x="0" y="0"/>
            <wp:positionH relativeFrom="column">
              <wp:posOffset>0</wp:posOffset>
            </wp:positionH>
            <wp:positionV relativeFrom="paragraph">
              <wp:posOffset>99060</wp:posOffset>
            </wp:positionV>
            <wp:extent cx="5600065" cy="8526780"/>
            <wp:effectExtent l="0" t="0" r="635" b="7620"/>
            <wp:wrapSquare wrapText="bothSides"/>
            <wp:docPr id="14" name="图片 14" descr="扫描件_厂房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扫描件_厂房租赁合同_03"/>
                    <pic:cNvPicPr>
                      <a:picLocks noChangeAspect="1"/>
                    </pic:cNvPicPr>
                  </pic:nvPicPr>
                  <pic:blipFill>
                    <a:blip r:embed="rId48"/>
                    <a:stretch>
                      <a:fillRect/>
                    </a:stretch>
                  </pic:blipFill>
                  <pic:spPr>
                    <a:xfrm>
                      <a:off x="0" y="0"/>
                      <a:ext cx="5600065" cy="8526780"/>
                    </a:xfrm>
                    <a:prstGeom prst="rect">
                      <a:avLst/>
                    </a:prstGeom>
                  </pic:spPr>
                </pic:pic>
              </a:graphicData>
            </a:graphic>
          </wp:anchor>
        </w:drawing>
      </w:r>
    </w:p>
    <w:bookmarkEnd w:id="25"/>
    <w:p w14:paraId="2EECA154">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bookmarkStart w:id="26" w:name="_Toc140683763"/>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附件</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：营业执照</w:t>
      </w:r>
      <w:bookmarkEnd w:id="26"/>
    </w:p>
    <w:p w14:paraId="0B9A4C06">
      <w:pPr>
        <w:tabs>
          <w:tab w:val="left" w:pos="855"/>
        </w:tabs>
        <w:bidi w:val="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6284595" cy="4712335"/>
            <wp:effectExtent l="0" t="0" r="1905" b="12065"/>
            <wp:docPr id="1" name="图片 1" descr="a656af5febab420bfc9bace0fd6c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656af5febab420bfc9bace0fd6c52a"/>
                    <pic:cNvPicPr>
                      <a:picLocks noChangeAspect="1"/>
                    </pic:cNvPicPr>
                  </pic:nvPicPr>
                  <pic:blipFill>
                    <a:blip r:embed="rId49"/>
                    <a:stretch>
                      <a:fillRect/>
                    </a:stretch>
                  </pic:blipFill>
                  <pic:spPr>
                    <a:xfrm>
                      <a:off x="0" y="0"/>
                      <a:ext cx="6284595" cy="4712335"/>
                    </a:xfrm>
                    <a:prstGeom prst="rect">
                      <a:avLst/>
                    </a:prstGeom>
                  </pic:spPr>
                </pic:pic>
              </a:graphicData>
            </a:graphic>
          </wp:inline>
        </w:drawing>
      </w:r>
    </w:p>
    <w:p w14:paraId="545F88BE">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6599A22A">
      <w:pP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3B4510E9">
      <w:pPr>
        <w:pStyle w:val="6"/>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7E8A7E77">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09A49274">
      <w:pPr>
        <w:keepLines/>
        <w:pageBreakBefore/>
        <w:widowControl/>
        <w:suppressLineNumbers/>
        <w:suppressAutoHyphens/>
        <w:spacing w:line="36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附件</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：生态环境分区管控分析报告</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0"/>
      </w:tblGrid>
      <w:tr w14:paraId="22CA5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5" w:hRule="atLeast"/>
        </w:trPr>
        <w:tc>
          <w:tcPr>
            <w:tcW w:w="8880" w:type="dxa"/>
          </w:tcPr>
          <w:p w14:paraId="3A0942F4">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anchor distT="0" distB="0" distL="114300" distR="114300" simplePos="0" relativeHeight="251661312" behindDoc="0" locked="0" layoutInCell="1" allowOverlap="1">
                  <wp:simplePos x="0" y="0"/>
                  <wp:positionH relativeFrom="column">
                    <wp:posOffset>55245</wp:posOffset>
                  </wp:positionH>
                  <wp:positionV relativeFrom="paragraph">
                    <wp:posOffset>64770</wp:posOffset>
                  </wp:positionV>
                  <wp:extent cx="5430520" cy="3840480"/>
                  <wp:effectExtent l="0" t="0" r="17780" b="7620"/>
                  <wp:wrapSquare wrapText="bothSides"/>
                  <wp:docPr id="15" name="图片 15" descr="双鸭山市嘉程食品加工有限公司建设_2025年03月20日085700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双鸭山市嘉程食品加工有限公司建设_2025年03月20日085700_分析报告_00"/>
                          <pic:cNvPicPr>
                            <a:picLocks noChangeAspect="1"/>
                          </pic:cNvPicPr>
                        </pic:nvPicPr>
                        <pic:blipFill>
                          <a:blip r:embed="rId50"/>
                          <a:stretch>
                            <a:fillRect/>
                          </a:stretch>
                        </pic:blipFill>
                        <pic:spPr>
                          <a:xfrm>
                            <a:off x="0" y="0"/>
                            <a:ext cx="5430520" cy="3840480"/>
                          </a:xfrm>
                          <a:prstGeom prst="rect">
                            <a:avLst/>
                          </a:prstGeom>
                        </pic:spPr>
                      </pic:pic>
                    </a:graphicData>
                  </a:graphic>
                </wp:anchor>
              </w:drawing>
            </w:r>
          </w:p>
        </w:tc>
      </w:tr>
      <w:tr w14:paraId="58F7A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5" w:hRule="atLeast"/>
        </w:trPr>
        <w:tc>
          <w:tcPr>
            <w:tcW w:w="8880" w:type="dxa"/>
          </w:tcPr>
          <w:p w14:paraId="48189FE4">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2336" behindDoc="0" locked="0" layoutInCell="1" allowOverlap="1">
                  <wp:simplePos x="0" y="0"/>
                  <wp:positionH relativeFrom="column">
                    <wp:posOffset>0</wp:posOffset>
                  </wp:positionH>
                  <wp:positionV relativeFrom="paragraph">
                    <wp:posOffset>28575</wp:posOffset>
                  </wp:positionV>
                  <wp:extent cx="5440045" cy="3846830"/>
                  <wp:effectExtent l="0" t="0" r="8255" b="1270"/>
                  <wp:wrapSquare wrapText="bothSides"/>
                  <wp:docPr id="16" name="图片 16" descr="双鸭山市嘉程食品加工有限公司建设_2025年03月20日085700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双鸭山市嘉程食品加工有限公司建设_2025年03月20日085700_分析报告_01"/>
                          <pic:cNvPicPr>
                            <a:picLocks noChangeAspect="1"/>
                          </pic:cNvPicPr>
                        </pic:nvPicPr>
                        <pic:blipFill>
                          <a:blip r:embed="rId51"/>
                          <a:stretch>
                            <a:fillRect/>
                          </a:stretch>
                        </pic:blipFill>
                        <pic:spPr>
                          <a:xfrm>
                            <a:off x="0" y="0"/>
                            <a:ext cx="5440045" cy="3846830"/>
                          </a:xfrm>
                          <a:prstGeom prst="rect">
                            <a:avLst/>
                          </a:prstGeom>
                        </pic:spPr>
                      </pic:pic>
                    </a:graphicData>
                  </a:graphic>
                </wp:anchor>
              </w:drawing>
            </w:r>
          </w:p>
        </w:tc>
      </w:tr>
      <w:tr w14:paraId="12396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5" w:hRule="atLeast"/>
        </w:trPr>
        <w:tc>
          <w:tcPr>
            <w:tcW w:w="8880" w:type="dxa"/>
          </w:tcPr>
          <w:p w14:paraId="56989A29">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17" name="图片 17" descr="双鸭山市嘉程食品加工有限公司建设_2025年03月20日085700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双鸭山市嘉程食品加工有限公司建设_2025年03月20日085700_分析报告_02"/>
                          <pic:cNvPicPr>
                            <a:picLocks noChangeAspect="1"/>
                          </pic:cNvPicPr>
                        </pic:nvPicPr>
                        <pic:blipFill>
                          <a:blip r:embed="rId52"/>
                          <a:stretch>
                            <a:fillRect/>
                          </a:stretch>
                        </pic:blipFill>
                        <pic:spPr>
                          <a:xfrm>
                            <a:off x="0" y="0"/>
                            <a:ext cx="5496560" cy="3886835"/>
                          </a:xfrm>
                          <a:prstGeom prst="rect">
                            <a:avLst/>
                          </a:prstGeom>
                        </pic:spPr>
                      </pic:pic>
                    </a:graphicData>
                  </a:graphic>
                </wp:anchor>
              </w:drawing>
            </w:r>
          </w:p>
        </w:tc>
      </w:tr>
      <w:tr w14:paraId="60412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2" w:hRule="atLeast"/>
        </w:trPr>
        <w:tc>
          <w:tcPr>
            <w:tcW w:w="8880" w:type="dxa"/>
          </w:tcPr>
          <w:p w14:paraId="1889A06D">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4384"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18" name="图片 18" descr="双鸭山市嘉程食品加工有限公司建设_2025年03月20日085700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双鸭山市嘉程食品加工有限公司建设_2025年03月20日085700_分析报告_03"/>
                          <pic:cNvPicPr>
                            <a:picLocks noChangeAspect="1"/>
                          </pic:cNvPicPr>
                        </pic:nvPicPr>
                        <pic:blipFill>
                          <a:blip r:embed="rId53"/>
                          <a:stretch>
                            <a:fillRect/>
                          </a:stretch>
                        </pic:blipFill>
                        <pic:spPr>
                          <a:xfrm>
                            <a:off x="0" y="0"/>
                            <a:ext cx="5496560" cy="3886835"/>
                          </a:xfrm>
                          <a:prstGeom prst="rect">
                            <a:avLst/>
                          </a:prstGeom>
                        </pic:spPr>
                      </pic:pic>
                    </a:graphicData>
                  </a:graphic>
                </wp:anchor>
              </w:drawing>
            </w:r>
          </w:p>
        </w:tc>
      </w:tr>
      <w:tr w14:paraId="1DF38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6" w:hRule="atLeast"/>
        </w:trPr>
        <w:tc>
          <w:tcPr>
            <w:tcW w:w="8880" w:type="dxa"/>
          </w:tcPr>
          <w:p w14:paraId="346D5461">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5408"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0" name="图片 20" descr="双鸭山市嘉程食品加工有限公司建设_2025年03月20日085700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双鸭山市嘉程食品加工有限公司建设_2025年03月20日085700_分析报告_04"/>
                          <pic:cNvPicPr>
                            <a:picLocks noChangeAspect="1"/>
                          </pic:cNvPicPr>
                        </pic:nvPicPr>
                        <pic:blipFill>
                          <a:blip r:embed="rId54"/>
                          <a:stretch>
                            <a:fillRect/>
                          </a:stretch>
                        </pic:blipFill>
                        <pic:spPr>
                          <a:xfrm>
                            <a:off x="0" y="0"/>
                            <a:ext cx="5496560" cy="3886835"/>
                          </a:xfrm>
                          <a:prstGeom prst="rect">
                            <a:avLst/>
                          </a:prstGeom>
                        </pic:spPr>
                      </pic:pic>
                    </a:graphicData>
                  </a:graphic>
                </wp:anchor>
              </w:drawing>
            </w:r>
          </w:p>
        </w:tc>
      </w:tr>
      <w:tr w14:paraId="30960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2" w:hRule="atLeast"/>
        </w:trPr>
        <w:tc>
          <w:tcPr>
            <w:tcW w:w="8880" w:type="dxa"/>
          </w:tcPr>
          <w:p w14:paraId="1972F318">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6432"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1" name="图片 21" descr="双鸭山市嘉程食品加工有限公司建设_2025年03月20日085700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双鸭山市嘉程食品加工有限公司建设_2025年03月20日085700_分析报告_05"/>
                          <pic:cNvPicPr>
                            <a:picLocks noChangeAspect="1"/>
                          </pic:cNvPicPr>
                        </pic:nvPicPr>
                        <pic:blipFill>
                          <a:blip r:embed="rId55"/>
                          <a:stretch>
                            <a:fillRect/>
                          </a:stretch>
                        </pic:blipFill>
                        <pic:spPr>
                          <a:xfrm>
                            <a:off x="0" y="0"/>
                            <a:ext cx="5496560" cy="3886835"/>
                          </a:xfrm>
                          <a:prstGeom prst="rect">
                            <a:avLst/>
                          </a:prstGeom>
                        </pic:spPr>
                      </pic:pic>
                    </a:graphicData>
                  </a:graphic>
                </wp:anchor>
              </w:drawing>
            </w:r>
          </w:p>
        </w:tc>
      </w:tr>
      <w:tr w14:paraId="49101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4" w:hRule="atLeast"/>
        </w:trPr>
        <w:tc>
          <w:tcPr>
            <w:tcW w:w="8880" w:type="dxa"/>
          </w:tcPr>
          <w:p w14:paraId="36B5937D">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7456"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2" name="图片 22" descr="双鸭山市嘉程食品加工有限公司建设_2025年03月20日085700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双鸭山市嘉程食品加工有限公司建设_2025年03月20日085700_分析报告_06"/>
                          <pic:cNvPicPr>
                            <a:picLocks noChangeAspect="1"/>
                          </pic:cNvPicPr>
                        </pic:nvPicPr>
                        <pic:blipFill>
                          <a:blip r:embed="rId56"/>
                          <a:stretch>
                            <a:fillRect/>
                          </a:stretch>
                        </pic:blipFill>
                        <pic:spPr>
                          <a:xfrm>
                            <a:off x="0" y="0"/>
                            <a:ext cx="5496560" cy="3886835"/>
                          </a:xfrm>
                          <a:prstGeom prst="rect">
                            <a:avLst/>
                          </a:prstGeom>
                        </pic:spPr>
                      </pic:pic>
                    </a:graphicData>
                  </a:graphic>
                </wp:anchor>
              </w:drawing>
            </w:r>
          </w:p>
        </w:tc>
      </w:tr>
      <w:tr w14:paraId="7C111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2" w:hRule="atLeast"/>
        </w:trPr>
        <w:tc>
          <w:tcPr>
            <w:tcW w:w="8880" w:type="dxa"/>
          </w:tcPr>
          <w:p w14:paraId="406177A7">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8480"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3" name="图片 23" descr="双鸭山市嘉程食品加工有限公司建设_2025年03月20日085700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双鸭山市嘉程食品加工有限公司建设_2025年03月20日085700_分析报告_07"/>
                          <pic:cNvPicPr>
                            <a:picLocks noChangeAspect="1"/>
                          </pic:cNvPicPr>
                        </pic:nvPicPr>
                        <pic:blipFill>
                          <a:blip r:embed="rId57"/>
                          <a:stretch>
                            <a:fillRect/>
                          </a:stretch>
                        </pic:blipFill>
                        <pic:spPr>
                          <a:xfrm>
                            <a:off x="0" y="0"/>
                            <a:ext cx="5496560" cy="3886835"/>
                          </a:xfrm>
                          <a:prstGeom prst="rect">
                            <a:avLst/>
                          </a:prstGeom>
                        </pic:spPr>
                      </pic:pic>
                    </a:graphicData>
                  </a:graphic>
                </wp:anchor>
              </w:drawing>
            </w:r>
          </w:p>
        </w:tc>
      </w:tr>
      <w:tr w14:paraId="0F3C5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5" w:hRule="atLeast"/>
        </w:trPr>
        <w:tc>
          <w:tcPr>
            <w:tcW w:w="8880" w:type="dxa"/>
          </w:tcPr>
          <w:p w14:paraId="085DCFF3">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69504"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4" name="图片 24" descr="双鸭山市嘉程食品加工有限公司建设_2025年03月20日085700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双鸭山市嘉程食品加工有限公司建设_2025年03月20日085700_分析报告_08"/>
                          <pic:cNvPicPr>
                            <a:picLocks noChangeAspect="1"/>
                          </pic:cNvPicPr>
                        </pic:nvPicPr>
                        <pic:blipFill>
                          <a:blip r:embed="rId58"/>
                          <a:stretch>
                            <a:fillRect/>
                          </a:stretch>
                        </pic:blipFill>
                        <pic:spPr>
                          <a:xfrm>
                            <a:off x="0" y="0"/>
                            <a:ext cx="5496560" cy="3886835"/>
                          </a:xfrm>
                          <a:prstGeom prst="rect">
                            <a:avLst/>
                          </a:prstGeom>
                        </pic:spPr>
                      </pic:pic>
                    </a:graphicData>
                  </a:graphic>
                </wp:anchor>
              </w:drawing>
            </w:r>
          </w:p>
        </w:tc>
      </w:tr>
      <w:tr w14:paraId="3BA41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2" w:hRule="atLeast"/>
        </w:trPr>
        <w:tc>
          <w:tcPr>
            <w:tcW w:w="8880" w:type="dxa"/>
          </w:tcPr>
          <w:p w14:paraId="5FAE3E5D">
            <w:pP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drawing>
                <wp:anchor distT="0" distB="0" distL="114300" distR="114300" simplePos="0" relativeHeight="251670528" behindDoc="0" locked="0" layoutInCell="1" allowOverlap="1">
                  <wp:simplePos x="0" y="0"/>
                  <wp:positionH relativeFrom="column">
                    <wp:posOffset>0</wp:posOffset>
                  </wp:positionH>
                  <wp:positionV relativeFrom="paragraph">
                    <wp:posOffset>28575</wp:posOffset>
                  </wp:positionV>
                  <wp:extent cx="5496560" cy="3886835"/>
                  <wp:effectExtent l="0" t="0" r="8890" b="18415"/>
                  <wp:wrapSquare wrapText="bothSides"/>
                  <wp:docPr id="25" name="图片 25" descr="双鸭山市嘉程食品加工有限公司建设_2025年03月20日085700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双鸭山市嘉程食品加工有限公司建设_2025年03月20日085700_分析报告_09"/>
                          <pic:cNvPicPr>
                            <a:picLocks noChangeAspect="1"/>
                          </pic:cNvPicPr>
                        </pic:nvPicPr>
                        <pic:blipFill>
                          <a:blip r:embed="rId59"/>
                          <a:stretch>
                            <a:fillRect/>
                          </a:stretch>
                        </pic:blipFill>
                        <pic:spPr>
                          <a:xfrm>
                            <a:off x="0" y="0"/>
                            <a:ext cx="5496560" cy="3886835"/>
                          </a:xfrm>
                          <a:prstGeom prst="rect">
                            <a:avLst/>
                          </a:prstGeom>
                        </pic:spPr>
                      </pic:pic>
                    </a:graphicData>
                  </a:graphic>
                </wp:anchor>
              </w:drawing>
            </w:r>
          </w:p>
        </w:tc>
      </w:tr>
    </w:tbl>
    <w:p w14:paraId="30A92995">
      <w:pPr>
        <w:rPr>
          <w:rFonts w:hint="default" w:ascii="Times New Roman" w:hAnsi="Times New Roman" w:eastAsia="宋体" w:cs="Times New Roman"/>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49B92342">
      <w:pPr>
        <w:keepLines/>
        <w:pageBreakBefore/>
        <w:widowControl/>
        <w:suppressLineNumbers/>
        <w:suppressAutoHyphens/>
        <w:spacing w:line="240" w:lineRule="auto"/>
        <w:outlineLvl w:val="0"/>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附件</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：总量说明</w:t>
      </w:r>
    </w:p>
    <w:p w14:paraId="28A84396">
      <w:pPr>
        <w:adjustRightInd w:val="0"/>
        <w:snapToGrid w:val="0"/>
        <w:spacing w:line="360" w:lineRule="auto"/>
        <w:ind w:firstLine="482" w:firstLineChars="200"/>
        <w:rPr>
          <w:rFonts w:hint="default" w:ascii="Times New Roman" w:hAnsi="Times New Roman" w:eastAsia="宋体" w:cs="Times New Roman"/>
          <w:b/>
          <w:bCs/>
          <w:color w:val="000000" w:themeColor="text1"/>
          <w:sz w:val="24"/>
          <w:szCs w:val="28"/>
          <w:highlight w:val="none"/>
          <w:lang w:val="en-US" w:eastAsia="zh-CN"/>
          <w14:textFill>
            <w14:solidFill>
              <w14:schemeClr w14:val="tx1"/>
            </w14:solidFill>
          </w14:textFill>
        </w:rPr>
      </w:pPr>
    </w:p>
    <w:p w14:paraId="7EBBCD7F">
      <w:pPr>
        <w:adjustRightInd w:val="0"/>
        <w:snapToGrid w:val="0"/>
        <w:spacing w:line="360" w:lineRule="auto"/>
        <w:ind w:firstLine="482" w:firstLineChars="200"/>
        <w:rPr>
          <w:rFonts w:hint="default" w:ascii="Times New Roman" w:hAnsi="Times New Roman" w:eastAsia="宋体" w:cs="Times New Roman"/>
          <w:b/>
          <w:bCs/>
          <w:color w:val="000000" w:themeColor="text1"/>
          <w:sz w:val="24"/>
          <w:szCs w:val="28"/>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8"/>
          <w:highlight w:val="none"/>
          <w:lang w:val="en-US" w:eastAsia="zh-CN"/>
          <w14:textFill>
            <w14:solidFill>
              <w14:schemeClr w14:val="tx1"/>
            </w14:solidFill>
          </w14:textFill>
        </w:rPr>
        <w:t>废水：</w:t>
      </w:r>
    </w:p>
    <w:p w14:paraId="311E7D55">
      <w:pPr>
        <w:adjustRightInd w:val="0"/>
        <w:snapToGrid w:val="0"/>
        <w:spacing w:line="360" w:lineRule="auto"/>
        <w:ind w:firstLine="480" w:firstLineChars="200"/>
        <w:rPr>
          <w:rFonts w:hint="eastAsia" w:ascii="Times New Roman" w:hAnsi="Times New Roman" w:eastAsia="宋体" w:cs="Times New Roman"/>
          <w:b w:val="0"/>
          <w:bCs w:val="0"/>
          <w:color w:val="FF0000"/>
          <w:sz w:val="24"/>
          <w:szCs w:val="28"/>
          <w:highlight w:val="none"/>
          <w:lang w:val="en-US" w:eastAsia="zh-CN"/>
        </w:rPr>
      </w:pPr>
      <w:r>
        <w:rPr>
          <w:rFonts w:hint="eastAsia" w:ascii="Times New Roman" w:hAnsi="Times New Roman" w:eastAsia="宋体" w:cs="Times New Roman"/>
          <w:b w:val="0"/>
          <w:bCs w:val="0"/>
          <w:color w:val="FF0000"/>
          <w:sz w:val="24"/>
          <w:szCs w:val="28"/>
          <w:highlight w:val="none"/>
          <w:lang w:val="en-US" w:eastAsia="zh-CN"/>
        </w:rPr>
        <w:t>本项目建成后年生产速冻食品900吨，根据《</w:t>
      </w:r>
      <w:r>
        <w:rPr>
          <w:rFonts w:hint="eastAsia" w:ascii="Times New Roman" w:hAnsi="Times New Roman" w:eastAsia="宋体" w:cs="Times New Roman"/>
          <w:b w:val="0"/>
          <w:bCs w:val="0"/>
          <w:color w:val="FF0000"/>
          <w:sz w:val="24"/>
          <w:szCs w:val="28"/>
          <w:highlight w:val="none"/>
          <w:lang w:val="en-US" w:eastAsia="zh-CN"/>
        </w:rPr>
        <w:fldChar w:fldCharType="begin"/>
      </w:r>
      <w:r>
        <w:rPr>
          <w:rFonts w:hint="eastAsia" w:ascii="Times New Roman" w:hAnsi="Times New Roman" w:eastAsia="宋体" w:cs="Times New Roman"/>
          <w:b w:val="0"/>
          <w:bCs w:val="0"/>
          <w:color w:val="FF0000"/>
          <w:sz w:val="24"/>
          <w:szCs w:val="28"/>
          <w:highlight w:val="none"/>
          <w:lang w:val="en-US" w:eastAsia="zh-CN"/>
        </w:rPr>
        <w:instrText xml:space="preserve"> HYPERLINK "https://www.mee.gov.cn/ywgz/fgbz/bz/bzwb/pwxk/201908/W020190828515214781085.pdf" </w:instrText>
      </w:r>
      <w:r>
        <w:rPr>
          <w:rFonts w:hint="eastAsia" w:ascii="Times New Roman" w:hAnsi="Times New Roman" w:eastAsia="宋体" w:cs="Times New Roman"/>
          <w:b w:val="0"/>
          <w:bCs w:val="0"/>
          <w:color w:val="FF0000"/>
          <w:sz w:val="24"/>
          <w:szCs w:val="28"/>
          <w:highlight w:val="none"/>
          <w:lang w:val="en-US" w:eastAsia="zh-CN"/>
        </w:rPr>
        <w:fldChar w:fldCharType="separate"/>
      </w:r>
      <w:r>
        <w:rPr>
          <w:rFonts w:hint="eastAsia" w:ascii="Times New Roman" w:hAnsi="Times New Roman" w:eastAsia="宋体" w:cs="Times New Roman"/>
          <w:b w:val="0"/>
          <w:bCs w:val="0"/>
          <w:color w:val="FF0000"/>
          <w:sz w:val="24"/>
          <w:szCs w:val="28"/>
          <w:highlight w:val="none"/>
          <w:lang w:val="en-US" w:eastAsia="zh-CN"/>
        </w:rPr>
        <w:t>排污许可证申请与核发技术规范 食品制造工业—方便食品、食品及饲料添加剂制造工业（HJ 1030.3—2019）</w:t>
      </w:r>
      <w:r>
        <w:rPr>
          <w:rFonts w:hint="eastAsia" w:ascii="Times New Roman" w:hAnsi="Times New Roman" w:eastAsia="宋体" w:cs="Times New Roman"/>
          <w:b w:val="0"/>
          <w:bCs w:val="0"/>
          <w:color w:val="FF0000"/>
          <w:sz w:val="24"/>
          <w:szCs w:val="28"/>
          <w:highlight w:val="none"/>
          <w:lang w:val="en-US" w:eastAsia="zh-CN"/>
        </w:rPr>
        <w:fldChar w:fldCharType="end"/>
      </w:r>
      <w:r>
        <w:rPr>
          <w:rFonts w:hint="eastAsia" w:ascii="Times New Roman" w:hAnsi="Times New Roman" w:eastAsia="宋体" w:cs="Times New Roman"/>
          <w:b w:val="0"/>
          <w:bCs w:val="0"/>
          <w:color w:val="FF0000"/>
          <w:sz w:val="24"/>
          <w:szCs w:val="28"/>
          <w:highlight w:val="none"/>
          <w:lang w:val="en-US" w:eastAsia="zh-CN"/>
        </w:rPr>
        <w:t>》5.2.3表4 方便食品、食品及饲料添加剂制造工业排污单位的单位产品排水量推荐值(Q)，本项目排水量取值为5.60m</w:t>
      </w:r>
      <w:r>
        <w:rPr>
          <w:rFonts w:hint="eastAsia" w:ascii="Times New Roman" w:hAnsi="Times New Roman" w:eastAsia="宋体" w:cs="Times New Roman"/>
          <w:b w:val="0"/>
          <w:bCs w:val="0"/>
          <w:color w:val="FF0000"/>
          <w:sz w:val="24"/>
          <w:szCs w:val="28"/>
          <w:highlight w:val="none"/>
          <w:vertAlign w:val="superscript"/>
          <w:lang w:val="en-US" w:eastAsia="zh-CN"/>
        </w:rPr>
        <w:t>3</w:t>
      </w:r>
      <w:r>
        <w:rPr>
          <w:rFonts w:hint="eastAsia" w:ascii="Times New Roman" w:hAnsi="Times New Roman" w:eastAsia="宋体" w:cs="Times New Roman"/>
          <w:b w:val="0"/>
          <w:bCs w:val="0"/>
          <w:color w:val="FF0000"/>
          <w:sz w:val="24"/>
          <w:szCs w:val="28"/>
          <w:highlight w:val="none"/>
          <w:lang w:val="en-US" w:eastAsia="zh-CN"/>
        </w:rPr>
        <w:t>/t产品。则排水量为5040m</w:t>
      </w:r>
      <w:r>
        <w:rPr>
          <w:rFonts w:hint="eastAsia" w:ascii="Times New Roman" w:hAnsi="Times New Roman" w:eastAsia="宋体" w:cs="Times New Roman"/>
          <w:b w:val="0"/>
          <w:bCs w:val="0"/>
          <w:color w:val="FF0000"/>
          <w:sz w:val="24"/>
          <w:szCs w:val="28"/>
          <w:highlight w:val="none"/>
          <w:vertAlign w:val="superscript"/>
          <w:lang w:val="en-US" w:eastAsia="zh-CN"/>
        </w:rPr>
        <w:t>3</w:t>
      </w:r>
      <w:r>
        <w:rPr>
          <w:rFonts w:hint="eastAsia" w:ascii="Times New Roman" w:hAnsi="Times New Roman" w:eastAsia="宋体" w:cs="Times New Roman"/>
          <w:b w:val="0"/>
          <w:bCs w:val="0"/>
          <w:color w:val="FF0000"/>
          <w:sz w:val="24"/>
          <w:szCs w:val="28"/>
          <w:highlight w:val="none"/>
          <w:lang w:val="en-US" w:eastAsia="zh-CN"/>
        </w:rPr>
        <w:t>/a。外排废水污染物COD、氨氮执行《污水综合排放标准》（GB 8978-1996）表4中三级标准和双鸭山龙江环保水务有限责任公司(双鸭山市污水处理厂)进水标准，即COD350mg/L，氨氮25mg/L。</w:t>
      </w:r>
    </w:p>
    <w:p w14:paraId="5B1A1DEC">
      <w:pPr>
        <w:adjustRightInd w:val="0"/>
        <w:snapToGrid w:val="0"/>
        <w:spacing w:line="360" w:lineRule="auto"/>
        <w:ind w:firstLine="480" w:firstLineChars="200"/>
        <w:rPr>
          <w:rFonts w:hint="default" w:ascii="Times New Roman" w:hAnsi="Times New Roman" w:eastAsia="宋体" w:cs="Times New Roman"/>
          <w:b w:val="0"/>
          <w:bCs w:val="0"/>
          <w:color w:val="FF0000"/>
          <w:sz w:val="24"/>
          <w:szCs w:val="28"/>
          <w:highlight w:val="none"/>
          <w:lang w:val="en-US" w:eastAsia="zh-CN"/>
        </w:rPr>
      </w:pPr>
      <w:r>
        <w:rPr>
          <w:rFonts w:hint="default" w:ascii="Times New Roman" w:hAnsi="Times New Roman" w:eastAsia="宋体" w:cs="Times New Roman"/>
          <w:b w:val="0"/>
          <w:bCs w:val="0"/>
          <w:color w:val="FF0000"/>
          <w:sz w:val="24"/>
          <w:szCs w:val="28"/>
          <w:highlight w:val="none"/>
          <w:lang w:val="en-US" w:eastAsia="zh-CN"/>
        </w:rPr>
        <w:t>则COD核定排放量为：</w:t>
      </w:r>
      <w:r>
        <w:rPr>
          <w:rFonts w:hint="eastAsia" w:ascii="Times New Roman" w:hAnsi="Times New Roman" w:eastAsia="宋体" w:cs="Times New Roman"/>
          <w:b w:val="0"/>
          <w:bCs w:val="0"/>
          <w:color w:val="FF0000"/>
          <w:sz w:val="24"/>
          <w:szCs w:val="28"/>
          <w:highlight w:val="none"/>
          <w:lang w:val="en-US" w:eastAsia="zh-CN"/>
        </w:rPr>
        <w:t>5040</w:t>
      </w:r>
      <w:r>
        <w:rPr>
          <w:rFonts w:hint="default" w:ascii="Times New Roman" w:hAnsi="Times New Roman" w:eastAsia="宋体" w:cs="Times New Roman"/>
          <w:b w:val="0"/>
          <w:bCs w:val="0"/>
          <w:color w:val="FF0000"/>
          <w:sz w:val="24"/>
          <w:szCs w:val="28"/>
          <w:highlight w:val="none"/>
          <w:lang w:val="en-US" w:eastAsia="zh-CN"/>
        </w:rPr>
        <w:t>t/a×350mg/L×10</w:t>
      </w:r>
      <w:r>
        <w:rPr>
          <w:rFonts w:hint="default" w:ascii="Times New Roman" w:hAnsi="Times New Roman" w:eastAsia="宋体" w:cs="Times New Roman"/>
          <w:b w:val="0"/>
          <w:bCs w:val="0"/>
          <w:color w:val="FF0000"/>
          <w:sz w:val="24"/>
          <w:szCs w:val="28"/>
          <w:highlight w:val="none"/>
          <w:vertAlign w:val="superscript"/>
          <w:lang w:val="en-US" w:eastAsia="zh-CN"/>
        </w:rPr>
        <w:t>-6</w:t>
      </w:r>
      <w:r>
        <w:rPr>
          <w:rFonts w:hint="default" w:ascii="Times New Roman" w:hAnsi="Times New Roman" w:eastAsia="宋体" w:cs="Times New Roman"/>
          <w:b w:val="0"/>
          <w:bCs w:val="0"/>
          <w:color w:val="FF0000"/>
          <w:sz w:val="24"/>
          <w:szCs w:val="28"/>
          <w:highlight w:val="none"/>
          <w:lang w:val="en-US" w:eastAsia="zh-CN"/>
        </w:rPr>
        <w:t>=</w:t>
      </w:r>
      <w:r>
        <w:rPr>
          <w:rFonts w:hint="eastAsia" w:ascii="Times New Roman" w:hAnsi="Times New Roman" w:eastAsia="宋体" w:cs="Times New Roman"/>
          <w:b w:val="0"/>
          <w:bCs w:val="0"/>
          <w:color w:val="FF0000"/>
          <w:sz w:val="24"/>
          <w:szCs w:val="28"/>
          <w:highlight w:val="none"/>
          <w:lang w:val="en-US" w:eastAsia="zh-CN"/>
        </w:rPr>
        <w:t>1.764</w:t>
      </w:r>
      <w:r>
        <w:rPr>
          <w:rFonts w:hint="default" w:ascii="Times New Roman" w:hAnsi="Times New Roman" w:eastAsia="宋体" w:cs="Times New Roman"/>
          <w:b w:val="0"/>
          <w:bCs w:val="0"/>
          <w:color w:val="FF0000"/>
          <w:sz w:val="24"/>
          <w:szCs w:val="28"/>
          <w:highlight w:val="none"/>
          <w:lang w:val="en-US" w:eastAsia="zh-CN"/>
        </w:rPr>
        <w:t>t/a；</w:t>
      </w:r>
    </w:p>
    <w:p w14:paraId="40C75E3F">
      <w:pPr>
        <w:adjustRightInd w:val="0"/>
        <w:snapToGrid w:val="0"/>
        <w:spacing w:line="360" w:lineRule="auto"/>
        <w:ind w:firstLine="480" w:firstLineChars="200"/>
        <w:rPr>
          <w:rFonts w:hint="default" w:ascii="Times New Roman" w:hAnsi="Times New Roman" w:eastAsia="宋体" w:cs="Times New Roman"/>
          <w:b w:val="0"/>
          <w:bCs w:val="0"/>
          <w:color w:val="FF0000"/>
          <w:sz w:val="24"/>
          <w:szCs w:val="28"/>
          <w:highlight w:val="none"/>
          <w:lang w:val="en-US" w:eastAsia="zh-CN"/>
        </w:rPr>
      </w:pPr>
      <w:r>
        <w:rPr>
          <w:rFonts w:hint="default" w:ascii="Times New Roman" w:hAnsi="Times New Roman" w:eastAsia="宋体" w:cs="Times New Roman"/>
          <w:b w:val="0"/>
          <w:bCs w:val="0"/>
          <w:color w:val="FF0000"/>
          <w:sz w:val="24"/>
          <w:szCs w:val="28"/>
          <w:highlight w:val="none"/>
          <w:lang w:val="en-US" w:eastAsia="zh-CN"/>
        </w:rPr>
        <w:t>氨氮核定排放量为：</w:t>
      </w:r>
      <w:r>
        <w:rPr>
          <w:rFonts w:hint="eastAsia" w:ascii="Times New Roman" w:hAnsi="Times New Roman" w:eastAsia="宋体" w:cs="Times New Roman"/>
          <w:b w:val="0"/>
          <w:bCs w:val="0"/>
          <w:color w:val="FF0000"/>
          <w:sz w:val="24"/>
          <w:szCs w:val="28"/>
          <w:highlight w:val="none"/>
          <w:lang w:val="en-US" w:eastAsia="zh-CN"/>
        </w:rPr>
        <w:t>5040</w:t>
      </w:r>
      <w:r>
        <w:rPr>
          <w:rFonts w:hint="default" w:ascii="Times New Roman" w:hAnsi="Times New Roman" w:eastAsia="宋体" w:cs="Times New Roman"/>
          <w:b w:val="0"/>
          <w:bCs w:val="0"/>
          <w:color w:val="FF0000"/>
          <w:sz w:val="24"/>
          <w:szCs w:val="28"/>
          <w:highlight w:val="none"/>
          <w:lang w:val="en-US" w:eastAsia="zh-CN"/>
        </w:rPr>
        <w:t>t/a×25mg/L×10</w:t>
      </w:r>
      <w:r>
        <w:rPr>
          <w:rFonts w:hint="default" w:ascii="Times New Roman" w:hAnsi="Times New Roman" w:eastAsia="宋体" w:cs="Times New Roman"/>
          <w:b w:val="0"/>
          <w:bCs w:val="0"/>
          <w:color w:val="FF0000"/>
          <w:sz w:val="24"/>
          <w:szCs w:val="28"/>
          <w:highlight w:val="none"/>
          <w:vertAlign w:val="superscript"/>
          <w:lang w:val="en-US" w:eastAsia="zh-CN"/>
        </w:rPr>
        <w:t>-6</w:t>
      </w:r>
      <w:r>
        <w:rPr>
          <w:rFonts w:hint="default" w:ascii="Times New Roman" w:hAnsi="Times New Roman" w:eastAsia="宋体" w:cs="Times New Roman"/>
          <w:b w:val="0"/>
          <w:bCs w:val="0"/>
          <w:color w:val="FF0000"/>
          <w:sz w:val="24"/>
          <w:szCs w:val="28"/>
          <w:highlight w:val="none"/>
          <w:lang w:val="en-US" w:eastAsia="zh-CN"/>
        </w:rPr>
        <w:t>=0.</w:t>
      </w:r>
      <w:r>
        <w:rPr>
          <w:rFonts w:hint="eastAsia" w:ascii="Times New Roman" w:hAnsi="Times New Roman" w:eastAsia="宋体" w:cs="Times New Roman"/>
          <w:b w:val="0"/>
          <w:bCs w:val="0"/>
          <w:color w:val="FF0000"/>
          <w:sz w:val="24"/>
          <w:szCs w:val="28"/>
          <w:highlight w:val="none"/>
          <w:lang w:val="en-US" w:eastAsia="zh-CN"/>
        </w:rPr>
        <w:t>126</w:t>
      </w:r>
      <w:r>
        <w:rPr>
          <w:rFonts w:hint="default" w:ascii="Times New Roman" w:hAnsi="Times New Roman" w:eastAsia="宋体" w:cs="Times New Roman"/>
          <w:b w:val="0"/>
          <w:bCs w:val="0"/>
          <w:color w:val="FF0000"/>
          <w:sz w:val="24"/>
          <w:szCs w:val="28"/>
          <w:highlight w:val="none"/>
          <w:lang w:val="en-US" w:eastAsia="zh-CN"/>
        </w:rPr>
        <w:t>t/a。</w:t>
      </w:r>
    </w:p>
    <w:p w14:paraId="47FCD8FC">
      <w:pPr>
        <w:adjustRightInd w:val="0"/>
        <w:snapToGrid w:val="0"/>
        <w:spacing w:line="360" w:lineRule="auto"/>
        <w:ind w:firstLine="482" w:firstLineChars="200"/>
        <w:rPr>
          <w:rFonts w:hint="eastAsia" w:ascii="Times New Roman" w:hAnsi="Times New Roman" w:eastAsia="宋体" w:cs="Times New Roman"/>
          <w:b/>
          <w:bCs/>
          <w:color w:val="000000" w:themeColor="text1"/>
          <w:sz w:val="24"/>
          <w:szCs w:val="28"/>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8"/>
          <w:highlight w:val="none"/>
          <w:lang w:val="en-US" w:eastAsia="zh-CN"/>
          <w14:textFill>
            <w14:solidFill>
              <w14:schemeClr w14:val="tx1"/>
            </w14:solidFill>
          </w14:textFill>
        </w:rPr>
        <w:t>废气：</w:t>
      </w:r>
    </w:p>
    <w:p w14:paraId="06B433B6">
      <w:pPr>
        <w:adjustRightInd w:val="0"/>
        <w:snapToGrid w:val="0"/>
        <w:spacing w:line="360" w:lineRule="auto"/>
        <w:ind w:firstLine="480" w:firstLineChars="200"/>
        <w:rPr>
          <w:rFonts w:hint="default" w:ascii="Times New Roman" w:hAnsi="Times New Roman" w:eastAsia="宋体" w:cs="Times New Roman"/>
          <w:b w:val="0"/>
          <w:bCs w:val="0"/>
          <w:color w:val="000000" w:themeColor="text1"/>
          <w:sz w:val="24"/>
          <w:szCs w:val="28"/>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8"/>
          <w:highlight w:val="none"/>
          <w:lang w:val="en-US" w:eastAsia="zh-CN"/>
          <w14:textFill>
            <w14:solidFill>
              <w14:schemeClr w14:val="tx1"/>
            </w14:solidFill>
          </w14:textFill>
        </w:rPr>
        <w:t>无组织排放</w:t>
      </w:r>
    </w:p>
    <w:p w14:paraId="16171284">
      <w:pPr>
        <w:adjustRightInd w:val="0"/>
        <w:snapToGrid w:val="0"/>
        <w:spacing w:line="360" w:lineRule="auto"/>
        <w:ind w:firstLine="480" w:firstLineChars="200"/>
        <w:rPr>
          <w:rFonts w:hint="default" w:ascii="Times New Roman" w:hAnsi="Times New Roman" w:eastAsia="宋体" w:cs="Times New Roman"/>
          <w:b w:val="0"/>
          <w:bCs w:val="0"/>
          <w:color w:val="000000" w:themeColor="text1"/>
          <w:sz w:val="24"/>
          <w:szCs w:val="28"/>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8"/>
          <w:highlight w:val="none"/>
          <w:lang w:val="en-US" w:eastAsia="zh-CN"/>
          <w14:textFill>
            <w14:solidFill>
              <w14:schemeClr w14:val="tx1"/>
            </w14:solidFill>
          </w14:textFill>
        </w:rPr>
        <w:t>本项目工业粉尘（无组织排放）核定排放量按照环评预测值核算，无组织颗粒物核定排放量0.00255t/a。</w:t>
      </w:r>
    </w:p>
    <w:p w14:paraId="79F9BABF">
      <w:pPr>
        <w:adjustRightInd w:val="0"/>
        <w:snapToGrid w:val="0"/>
        <w:spacing w:line="360" w:lineRule="auto"/>
        <w:ind w:firstLine="480" w:firstLineChars="200"/>
        <w:rPr>
          <w:rFonts w:hint="default" w:ascii="Times New Roman" w:hAnsi="Times New Roman" w:eastAsia="宋体" w:cs="Times New Roman"/>
          <w:b w:val="0"/>
          <w:bCs w:val="0"/>
          <w:color w:val="000000" w:themeColor="text1"/>
          <w:sz w:val="24"/>
          <w:szCs w:val="28"/>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44655B20">
      <w:pPr>
        <w:keepLines/>
        <w:pageBreakBefore/>
        <w:widowControl/>
        <w:suppressLineNumbers/>
        <w:suppressAutoHyphens/>
        <w:spacing w:line="240" w:lineRule="auto"/>
        <w:outlineLvl w:val="0"/>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附件5：现状监测报告</w:t>
      </w:r>
    </w:p>
    <w:p w14:paraId="232DA8F2">
      <w:pPr>
        <w:bidi w:val="0"/>
        <w:jc w:val="left"/>
        <w:rPr>
          <w:rFonts w:hint="eastAsia"/>
          <w:lang w:val="en-US" w:eastAsia="zh-CN"/>
        </w:rPr>
      </w:pPr>
    </w:p>
    <w:p w14:paraId="3F83FB0A">
      <w:pPr>
        <w:bidi w:val="0"/>
        <w:jc w:val="left"/>
        <w:rPr>
          <w:rFonts w:hint="eastAsia"/>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Theme="minorHAnsi" w:eastAsiaTheme="minorEastAsia"/>
          <w:lang w:val="en-US" w:eastAsia="zh-CN"/>
        </w:rPr>
        <w:drawing>
          <wp:inline distT="0" distB="0" distL="114300" distR="114300">
            <wp:extent cx="5440680" cy="7698740"/>
            <wp:effectExtent l="0" t="0" r="7620" b="16510"/>
            <wp:docPr id="2" name="图片 2" descr="0125058601双鸭山嘉程食品加工项目-25.06.18学会-刘秀欢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125058601双鸭山嘉程食品加工项目-25.06.18学会-刘秀欢_00"/>
                    <pic:cNvPicPr>
                      <a:picLocks noChangeAspect="1"/>
                    </pic:cNvPicPr>
                  </pic:nvPicPr>
                  <pic:blipFill>
                    <a:blip r:embed="rId60"/>
                    <a:stretch>
                      <a:fillRect/>
                    </a:stretch>
                  </pic:blipFill>
                  <pic:spPr>
                    <a:xfrm>
                      <a:off x="0" y="0"/>
                      <a:ext cx="5440680" cy="7698740"/>
                    </a:xfrm>
                    <a:prstGeom prst="rect">
                      <a:avLst/>
                    </a:prstGeom>
                  </pic:spPr>
                </pic:pic>
              </a:graphicData>
            </a:graphic>
          </wp:inline>
        </w:drawing>
      </w:r>
    </w:p>
    <w:p w14:paraId="71FC4C2E">
      <w:pPr>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lang w:val="en-US" w:eastAsia="zh-CN"/>
        </w:rPr>
        <w:drawing>
          <wp:anchor distT="0" distB="0" distL="114300" distR="114300" simplePos="0" relativeHeight="251679744" behindDoc="0" locked="0" layoutInCell="1" allowOverlap="1">
            <wp:simplePos x="0" y="0"/>
            <wp:positionH relativeFrom="column">
              <wp:posOffset>0</wp:posOffset>
            </wp:positionH>
            <wp:positionV relativeFrom="paragraph">
              <wp:posOffset>80010</wp:posOffset>
            </wp:positionV>
            <wp:extent cx="5615305" cy="7945755"/>
            <wp:effectExtent l="0" t="0" r="4445" b="17145"/>
            <wp:wrapSquare wrapText="bothSides"/>
            <wp:docPr id="33" name="图片 33" descr="0125058601双鸭山嘉程食品加工项目-25.06.18学会-刘秀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125058601双鸭山嘉程食品加工项目-25.06.18学会-刘秀欢_01"/>
                    <pic:cNvPicPr>
                      <a:picLocks noChangeAspect="1"/>
                    </pic:cNvPicPr>
                  </pic:nvPicPr>
                  <pic:blipFill>
                    <a:blip r:embed="rId61"/>
                    <a:stretch>
                      <a:fillRect/>
                    </a:stretch>
                  </pic:blipFill>
                  <pic:spPr>
                    <a:xfrm>
                      <a:off x="0" y="0"/>
                      <a:ext cx="5615305" cy="7945755"/>
                    </a:xfrm>
                    <a:prstGeom prst="rect">
                      <a:avLst/>
                    </a:prstGeom>
                  </pic:spPr>
                </pic:pic>
              </a:graphicData>
            </a:graphic>
          </wp:anchor>
        </w:drawing>
      </w:r>
    </w:p>
    <w:p w14:paraId="60382201">
      <w:pPr>
        <w:pStyle w:val="9"/>
        <w:ind w:left="0" w:leftChars="0" w:firstLine="0" w:firstLineChars="0"/>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lang w:val="en-US" w:eastAsia="zh-CN"/>
        </w:rPr>
        <w:drawing>
          <wp:anchor distT="0" distB="0" distL="114300" distR="114300" simplePos="0" relativeHeight="251680768" behindDoc="0" locked="0" layoutInCell="1" allowOverlap="1">
            <wp:simplePos x="0" y="0"/>
            <wp:positionH relativeFrom="column">
              <wp:posOffset>0</wp:posOffset>
            </wp:positionH>
            <wp:positionV relativeFrom="paragraph">
              <wp:posOffset>80010</wp:posOffset>
            </wp:positionV>
            <wp:extent cx="5615305" cy="7945755"/>
            <wp:effectExtent l="0" t="0" r="4445" b="17145"/>
            <wp:wrapSquare wrapText="bothSides"/>
            <wp:docPr id="34" name="图片 34" descr="0125058601双鸭山嘉程食品加工项目-25.06.18学会-刘秀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125058601双鸭山嘉程食品加工项目-25.06.18学会-刘秀欢_02"/>
                    <pic:cNvPicPr>
                      <a:picLocks noChangeAspect="1"/>
                    </pic:cNvPicPr>
                  </pic:nvPicPr>
                  <pic:blipFill>
                    <a:blip r:embed="rId62"/>
                    <a:stretch>
                      <a:fillRect/>
                    </a:stretch>
                  </pic:blipFill>
                  <pic:spPr>
                    <a:xfrm>
                      <a:off x="0" y="0"/>
                      <a:ext cx="5615305" cy="7945755"/>
                    </a:xfrm>
                    <a:prstGeom prst="rect">
                      <a:avLst/>
                    </a:prstGeom>
                  </pic:spPr>
                </pic:pic>
              </a:graphicData>
            </a:graphic>
          </wp:anchor>
        </w:drawing>
      </w:r>
    </w:p>
    <w:p w14:paraId="1F013160">
      <w:pPr>
        <w:pStyle w:val="9"/>
        <w:ind w:left="0" w:leftChars="0" w:firstLine="0" w:firstLineChars="0"/>
        <w:rPr>
          <w:rFonts w:hint="default"/>
          <w:lang w:val="en-US" w:eastAsia="zh-CN"/>
        </w:rPr>
      </w:pPr>
      <w:r>
        <w:rPr>
          <w:rFonts w:hint="default"/>
          <w:lang w:val="en-US" w:eastAsia="zh-CN"/>
        </w:rPr>
        <w:drawing>
          <wp:anchor distT="0" distB="0" distL="114300" distR="114300" simplePos="0" relativeHeight="251681792" behindDoc="0" locked="0" layoutInCell="1" allowOverlap="1">
            <wp:simplePos x="0" y="0"/>
            <wp:positionH relativeFrom="column">
              <wp:posOffset>0</wp:posOffset>
            </wp:positionH>
            <wp:positionV relativeFrom="paragraph">
              <wp:posOffset>80010</wp:posOffset>
            </wp:positionV>
            <wp:extent cx="5615305" cy="7945755"/>
            <wp:effectExtent l="0" t="0" r="4445" b="17145"/>
            <wp:wrapSquare wrapText="bothSides"/>
            <wp:docPr id="36" name="图片 36" descr="0125058601双鸭山嘉程食品加工项目-25.06.18学会-刘秀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25058601双鸭山嘉程食品加工项目-25.06.18学会-刘秀欢_03"/>
                    <pic:cNvPicPr>
                      <a:picLocks noChangeAspect="1"/>
                    </pic:cNvPicPr>
                  </pic:nvPicPr>
                  <pic:blipFill>
                    <a:blip r:embed="rId63"/>
                    <a:stretch>
                      <a:fillRect/>
                    </a:stretch>
                  </pic:blipFill>
                  <pic:spPr>
                    <a:xfrm>
                      <a:off x="0" y="0"/>
                      <a:ext cx="5615305" cy="7945755"/>
                    </a:xfrm>
                    <a:prstGeom prst="rect">
                      <a:avLst/>
                    </a:prstGeom>
                  </pic:spPr>
                </pic:pic>
              </a:graphicData>
            </a:graphic>
          </wp:anchor>
        </w:drawing>
      </w:r>
    </w:p>
    <w:p w14:paraId="5A00223E"/>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ADF8D">
    <w:pPr>
      <w:widowControl w:val="0"/>
      <w:tabs>
        <w:tab w:val="center" w:pos="4153"/>
        <w:tab w:val="right" w:pos="8306"/>
      </w:tabs>
      <w:snapToGrid w:val="0"/>
      <w:ind w:right="360" w:firstLine="360"/>
      <w:jc w:val="center"/>
      <w:rPr>
        <w:rFonts w:ascii="Times New Roman" w:hAnsi="Times New Roman" w:eastAsia="宋体" w:cs="Times New Roman"/>
        <w:kern w:val="0"/>
        <w:sz w:val="18"/>
        <w:szCs w:val="20"/>
        <w:lang w:val="en-US" w:eastAsia="zh-CN" w:bidi="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9E963">
    <w:pPr>
      <w:framePr w:wrap="around" w:vAnchor="text" w:hAnchor="margin" w:xAlign="center" w:y="1"/>
      <w:widowControl w:val="0"/>
      <w:tabs>
        <w:tab w:val="center" w:pos="4153"/>
        <w:tab w:val="right" w:pos="8306"/>
      </w:tabs>
      <w:snapToGrid w:val="0"/>
      <w:jc w:val="left"/>
      <w:rPr>
        <w:rFonts w:ascii="Times New Roman" w:hAnsi="Times New Roman" w:eastAsia="宋体" w:cs="Times New Roman"/>
        <w:kern w:val="0"/>
        <w:sz w:val="18"/>
        <w:szCs w:val="20"/>
        <w:lang w:val="en-US" w:eastAsia="zh-CN" w:bidi="ar-SA"/>
      </w:rPr>
    </w:pPr>
    <w:r>
      <w:rPr>
        <w:rFonts w:ascii="Times New Roman" w:hAnsi="Times New Roman" w:eastAsia="宋体" w:cs="Times New Roman"/>
        <w:kern w:val="0"/>
        <w:sz w:val="18"/>
        <w:szCs w:val="20"/>
        <w:lang w:val="en-US" w:eastAsia="zh-CN" w:bidi="ar-SA"/>
      </w:rPr>
      <w:fldChar w:fldCharType="begin"/>
    </w:r>
    <w:r>
      <w:rPr>
        <w:rFonts w:ascii="Times New Roman" w:hAnsi="Times New Roman" w:eastAsia="宋体" w:cs="Times New Roman"/>
        <w:kern w:val="2"/>
        <w:sz w:val="21"/>
        <w:szCs w:val="24"/>
        <w:lang w:val="en-US" w:eastAsia="zh-CN" w:bidi="ar-SA"/>
      </w:rPr>
      <w:instrText xml:space="preserve">PAGE  </w:instrText>
    </w:r>
    <w:r>
      <w:rPr>
        <w:rFonts w:ascii="Times New Roman" w:hAnsi="Times New Roman" w:eastAsia="宋体" w:cs="Times New Roman"/>
        <w:kern w:val="0"/>
        <w:sz w:val="18"/>
        <w:szCs w:val="20"/>
        <w:lang w:val="en-US" w:eastAsia="zh-CN" w:bidi="ar-SA"/>
      </w:rPr>
      <w:fldChar w:fldCharType="separate"/>
    </w:r>
    <w:r>
      <w:rPr>
        <w:rFonts w:ascii="Times New Roman" w:hAnsi="Times New Roman" w:eastAsia="宋体" w:cs="Times New Roman"/>
        <w:kern w:val="2"/>
        <w:sz w:val="21"/>
        <w:szCs w:val="24"/>
        <w:lang w:val="en-US" w:eastAsia="zh-CN" w:bidi="ar-SA"/>
      </w:rPr>
      <w:t>6</w:t>
    </w:r>
    <w:r>
      <w:rPr>
        <w:rFonts w:ascii="Times New Roman" w:hAnsi="Times New Roman" w:eastAsia="宋体" w:cs="Times New Roman"/>
        <w:kern w:val="0"/>
        <w:sz w:val="18"/>
        <w:szCs w:val="20"/>
        <w:lang w:val="en-US" w:eastAsia="zh-CN" w:bidi="ar-SA"/>
      </w:rPr>
      <w:fldChar w:fldCharType="end"/>
    </w:r>
  </w:p>
  <w:p w14:paraId="3EADDCB4">
    <w:pPr>
      <w:widowControl w:val="0"/>
      <w:tabs>
        <w:tab w:val="center" w:pos="4153"/>
        <w:tab w:val="right" w:pos="8306"/>
      </w:tabs>
      <w:snapToGrid w:val="0"/>
      <w:ind w:right="360" w:firstLine="360"/>
      <w:jc w:val="left"/>
      <w:rPr>
        <w:rFonts w:ascii="Times New Roman" w:hAnsi="Times New Roman" w:eastAsia="宋体" w:cs="Times New Roman"/>
        <w:kern w:val="0"/>
        <w:sz w:val="18"/>
        <w:szCs w:val="20"/>
        <w:lang w:val="en-US" w:eastAsia="zh-CN" w:bidi="ar-S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47DA3">
    <w:pPr>
      <w:widowControl w:val="0"/>
      <w:tabs>
        <w:tab w:val="center" w:pos="4153"/>
        <w:tab w:val="right" w:pos="8306"/>
      </w:tabs>
      <w:snapToGrid w:val="0"/>
      <w:jc w:val="center"/>
      <w:rPr>
        <w:rFonts w:ascii="Times New Roman" w:hAnsi="Times New Roman" w:eastAsia="宋体" w:cs="Times New Roman"/>
        <w:kern w:val="0"/>
        <w:sz w:val="18"/>
        <w:szCs w:val="20"/>
        <w:lang w:val="en-US" w:eastAsia="zh-CN" w:bidi="ar-S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1351B1">
    <w:pPr>
      <w:widowControl w:val="0"/>
      <w:tabs>
        <w:tab w:val="center" w:pos="4153"/>
        <w:tab w:val="right" w:pos="8306"/>
      </w:tabs>
      <w:snapToGrid w:val="0"/>
      <w:ind w:right="360" w:firstLine="360"/>
      <w:jc w:val="center"/>
      <w:rPr>
        <w:rFonts w:ascii="Times New Roman" w:hAnsi="Times New Roman" w:eastAsia="宋体" w:cs="Times New Roman"/>
        <w:kern w:val="0"/>
        <w:sz w:val="18"/>
        <w:szCs w:val="20"/>
        <w:lang w:val="en-US" w:eastAsia="zh-CN" w:bidi="ar-S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ABFB9B">
    <w:pPr>
      <w:widowControl w:val="0"/>
      <w:tabs>
        <w:tab w:val="center" w:pos="4153"/>
        <w:tab w:val="right" w:pos="8306"/>
      </w:tabs>
      <w:snapToGrid w:val="0"/>
      <w:jc w:val="center"/>
      <w:rPr>
        <w:rFonts w:ascii="Times New Roman" w:hAnsi="Times New Roman" w:eastAsia="宋体" w:cs="Times New Roman"/>
        <w:kern w:val="0"/>
        <w:sz w:val="18"/>
        <w:szCs w:val="20"/>
        <w:lang w:val="en-US" w:eastAsia="zh-CN" w:bidi="ar-S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6FD10">
    <w:pPr>
      <w:widowControl w:val="0"/>
      <w:tabs>
        <w:tab w:val="center" w:pos="4153"/>
        <w:tab w:val="right" w:pos="8306"/>
      </w:tabs>
      <w:snapToGrid w:val="0"/>
      <w:ind w:right="360" w:firstLine="360"/>
      <w:jc w:val="center"/>
      <w:rPr>
        <w:rFonts w:ascii="Times New Roman" w:hAnsi="Times New Roman" w:eastAsia="宋体" w:cs="Times New Roman"/>
        <w:kern w:val="0"/>
        <w:sz w:val="18"/>
        <w:szCs w:val="20"/>
        <w:lang w:val="en-US" w:eastAsia="zh-CN" w:bidi="ar-SA"/>
      </w:rPr>
    </w:pPr>
    <w:r>
      <w:rPr>
        <w:sz w:val="18"/>
      </w:rPr>
      <mc:AlternateContent>
        <mc:Choice Requires="wps">
          <w:drawing>
            <wp:anchor distT="0" distB="0" distL="114300" distR="114300" simplePos="0" relativeHeight="251659264" behindDoc="0" locked="0" layoutInCell="1" allowOverlap="1">
              <wp:simplePos x="0" y="0"/>
              <wp:positionH relativeFrom="margin">
                <wp:posOffset>2747010</wp:posOffset>
              </wp:positionH>
              <wp:positionV relativeFrom="paragraph">
                <wp:posOffset>0</wp:posOffset>
              </wp:positionV>
              <wp:extent cx="19177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9177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97F401">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16.3pt;margin-top:0pt;height:144pt;width:15.1pt;mso-position-horizontal-relative:margin;z-index:251659264;mso-width-relative:page;mso-height-relative:page;" filled="f" stroked="f" coordsize="21600,21600" o:gfxdata="UEsDBAoAAAAAAIdO4kAAAAAAAAAAAAAAAAAEAAAAZHJzL1BLAwQUAAAACACHTuJALMjCitYAAAAI&#10;AQAADwAAAGRycy9kb3ducmV2LnhtbE2PPU/DMBCGdyT+g3VIbNRuqKIoxOmAoANMpAgxuvElDsTn&#10;KHbTwq/nmGA8vR/3PtX27Eex4ByHQBrWKwUCqQ12oF7D6/7xpgARkyFrxkCo4QsjbOvLi8qUNpzo&#10;BZcm9YJLKJZGg0tpKqWMrUNv4ipMSKx1YfYm8Tn30s7mxOV+lJlSufRmIP7gzIT3DtvP5uh5xtuz&#10;8rvvzr37J9PFxu2X3cOH1tdXa3UHIuE5/Znhdz5noOZNh3AkG8WoYXOb5WzVwEQsb/KMSQ4asqJQ&#10;IOtK/geofwBQSwMEFAAAAAgAh07iQGPs10M/AgAAdAQAAA4AAABkcnMvZTJvRG9jLnhtbK1Uy47T&#10;MBTdI/EPlvc0bREzpWo6KlMVIVXMSAWxdh2nieQXttukfAD8ASs27PmufgfHTtNBA4tZsHGufZ/n&#10;3Hszu2mVJAfhfG10TkeDISVCc1PUepfTjx9WLyaU+MB0waTRIqdH4enN/PmzWWOnYmwqIwvhCIJo&#10;P21sTqsQ7DTLPK+EYn5grNBQlsYpFnB1u6xwrEF0JbPxcHiVNcYV1hkuvMfrslPSc0T3lICmLGsu&#10;lobvldChi+qEZAGQfFVbT+ep2rIUPNyVpReByJwCaUgnkkDexjObz9h055itan4ugT2lhEeYFKs1&#10;kl5CLVlgZO/qv0KpmjvjTRkG3KisA5IYAYrR8BE3m4pZkbCAam8vpPv/F5a/P9w7UheYhBEar5lC&#10;y0/fv51+/Dr9/EriIyhqrJ/CcmNhG9o3poV5/+7xGJG3pVPxC0wEehB8vBAs2kB4dHo9ur6GhkM1&#10;mownk2HqQPbgbZ0Pb4VRJAo5dWhg4pUd1j6gEpj2JjGZNqtaytREqUmT06uXr4bJ4aKBh9TRVqRx&#10;OIeJiLrKoxTabXuGuTXFESid6UbFW76qUcqa+XDPHGYD5WN7wh2OUhqkNGeJksq4L/96j/ZoGbSU&#10;NJi1nPrPe+YEJfKdRjMRMvSC64VtL+i9ujUY3xH20vIkwsEF2YulM+oTlmoRs0DFNEeunIZevA3d&#10;xGMpuVgsktHeunpXdQ4YRcvCWm8sj2kiWd4u9gHkJs4jRR0vaEC8YBhTK86LE6f9z3uyevhZ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MjCitYAAAAIAQAADwAAAAAAAAABACAAAAAiAAAAZHJz&#10;L2Rvd25yZXYueG1sUEsBAhQAFAAAAAgAh07iQGPs10M/AgAAdAQAAA4AAAAAAAAAAQAgAAAAJQEA&#10;AGRycy9lMm9Eb2MueG1sUEsFBgAAAAAGAAYAWQEAANYFAAAAAA==&#10;">
              <v:fill on="f" focussize="0,0"/>
              <v:stroke on="f" weight="0.5pt"/>
              <v:imagedata o:title=""/>
              <o:lock v:ext="edit" aspectratio="f"/>
              <v:textbox inset="0mm,0mm,0mm,0mm" style="mso-fit-shape-to-text:t;">
                <w:txbxContent>
                  <w:p w14:paraId="0C97F401">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6BD73D">
    <w:pPr>
      <w:widowControl w:val="0"/>
      <w:tabs>
        <w:tab w:val="center" w:pos="4153"/>
        <w:tab w:val="right" w:pos="8306"/>
      </w:tabs>
      <w:snapToGrid w:val="0"/>
      <w:ind w:right="360" w:firstLine="360"/>
      <w:jc w:val="center"/>
      <w:rPr>
        <w:rFonts w:ascii="Times New Roman" w:hAnsi="Times New Roman" w:eastAsia="宋体" w:cs="Times New Roman"/>
        <w:kern w:val="0"/>
        <w:sz w:val="18"/>
        <w:szCs w:val="20"/>
        <w:lang w:val="en-US" w:eastAsia="zh-CN" w:bidi="ar-S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910BF">
                          <w:pPr>
                            <w:pStyle w:val="6"/>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2EMoY6AgAAcw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4LSWaKbT89OP7&#10;6efD6dc3Ei8hUWv9DJH3FrGhe2c6hA/3HpeReVc5FX/BicAPgY8XgUUXCI+PppPpNIeLwzccgJ89&#10;PrfOh/fCKBKNgjp0MAnLDhsf+tAhJGbTZt1ImbooNWkLevX6TZ4eXDwAlzrGijQPZ5hIqS89WqHb&#10;dmeeW1MeQdOZfla85esGpWyYD3fMYThQPtYn3OJTSYOU5mxRUhv39V/3MR49g5eSFsNWUI3dokR+&#10;0OglAMNguMHYDobeqxuD6R1jLS1PJh64IAezckZ9wU4tYw64mObIVNAwmDehH3jsJBfLZQraW9fs&#10;6v4BJtGysNH3lsc0USpvl/sAaZPiUaBeFXQqHjCLqWfnvYnD/uc5RT3+Vy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dhDKGOgIAAHMEAAAOAAAAAAAAAAEAIAAAAB8BAABkcnMvZTJvRG9j&#10;LnhtbFBLBQYAAAAABgAGAFkBAADLBQAAAAA=&#10;">
              <v:fill on="f" focussize="0,0"/>
              <v:stroke on="f" weight="0.5pt"/>
              <v:imagedata o:title=""/>
              <o:lock v:ext="edit" aspectratio="f"/>
              <v:textbox inset="0mm,0mm,0mm,0mm" style="mso-fit-shape-to-text:t;">
                <w:txbxContent>
                  <w:p w14:paraId="638910BF">
                    <w:pPr>
                      <w:pStyle w:val="6"/>
                    </w:pPr>
                    <w:r>
                      <w:fldChar w:fldCharType="begin"/>
                    </w:r>
                    <w:r>
                      <w:instrText xml:space="preserve"> PAGE  \* MERGEFORMAT </w:instrText>
                    </w:r>
                    <w:r>
                      <w:fldChar w:fldCharType="separate"/>
                    </w:r>
                    <w:r>
                      <w:t>60</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2977C89"/>
    <w:rsid w:val="029A3F7A"/>
    <w:rsid w:val="04D70F44"/>
    <w:rsid w:val="05523F70"/>
    <w:rsid w:val="055E6A76"/>
    <w:rsid w:val="07C75A1B"/>
    <w:rsid w:val="08C43EDC"/>
    <w:rsid w:val="099472E7"/>
    <w:rsid w:val="09B85B25"/>
    <w:rsid w:val="0A84372C"/>
    <w:rsid w:val="0B5D1B3B"/>
    <w:rsid w:val="0CF105AB"/>
    <w:rsid w:val="10F50C63"/>
    <w:rsid w:val="11390E32"/>
    <w:rsid w:val="13EA57EC"/>
    <w:rsid w:val="154771E5"/>
    <w:rsid w:val="17BE7C25"/>
    <w:rsid w:val="1A4C1A31"/>
    <w:rsid w:val="1C0E7CAE"/>
    <w:rsid w:val="1DAE0412"/>
    <w:rsid w:val="1F7D76CC"/>
    <w:rsid w:val="27C07C30"/>
    <w:rsid w:val="29340504"/>
    <w:rsid w:val="2BB31187"/>
    <w:rsid w:val="2C577F6C"/>
    <w:rsid w:val="2C717625"/>
    <w:rsid w:val="2D4F78A0"/>
    <w:rsid w:val="340D0484"/>
    <w:rsid w:val="34714E4F"/>
    <w:rsid w:val="38D00282"/>
    <w:rsid w:val="3B343FE1"/>
    <w:rsid w:val="3BCE354A"/>
    <w:rsid w:val="3EF144FC"/>
    <w:rsid w:val="43B20333"/>
    <w:rsid w:val="44F326EF"/>
    <w:rsid w:val="47602C27"/>
    <w:rsid w:val="47AF44AD"/>
    <w:rsid w:val="4CA95D86"/>
    <w:rsid w:val="4D7C1C12"/>
    <w:rsid w:val="4F582453"/>
    <w:rsid w:val="52B90380"/>
    <w:rsid w:val="58F25809"/>
    <w:rsid w:val="5BAD4841"/>
    <w:rsid w:val="5BF16B47"/>
    <w:rsid w:val="5F4D536A"/>
    <w:rsid w:val="60564844"/>
    <w:rsid w:val="6A5D4D8D"/>
    <w:rsid w:val="6B532B05"/>
    <w:rsid w:val="6B7B3DE2"/>
    <w:rsid w:val="6CA125CA"/>
    <w:rsid w:val="6F471A93"/>
    <w:rsid w:val="709068D6"/>
    <w:rsid w:val="73FA3514"/>
    <w:rsid w:val="74415EF9"/>
    <w:rsid w:val="76DF266D"/>
    <w:rsid w:val="7A7F6C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0" w:semiHidden="0" w:name="footer"/>
    <w:lsdException w:qFormat="1" w:uiPriority="99"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next w:val="1"/>
    <w:qFormat/>
    <w:uiPriority w:val="0"/>
    <w:pPr>
      <w:widowControl w:val="0"/>
      <w:adjustRightInd w:val="0"/>
      <w:snapToGrid w:val="0"/>
      <w:spacing w:before="50" w:beforeLines="50" w:after="50" w:afterLines="50"/>
      <w:ind w:firstLine="0" w:firstLineChars="0"/>
      <w:jc w:val="left"/>
      <w:textAlignment w:val="baseline"/>
      <w:outlineLvl w:val="2"/>
    </w:pPr>
    <w:rPr>
      <w:rFonts w:eastAsia="楷体" w:asciiTheme="minorHAnsi" w:hAnsiTheme="minorHAnsi" w:cstheme="minorBidi"/>
      <w:kern w:val="2"/>
      <w:sz w:val="28"/>
      <w:szCs w:val="20"/>
      <w:lang w:val="en-US" w:eastAsia="zh-CN" w:bidi="ar-SA"/>
    </w:rPr>
  </w:style>
  <w:style w:type="paragraph" w:styleId="3">
    <w:name w:val="heading 4"/>
    <w:basedOn w:val="1"/>
    <w:next w:val="1"/>
    <w:unhideWhenUsed/>
    <w:qFormat/>
    <w:uiPriority w:val="0"/>
    <w:pPr>
      <w:keepNext/>
      <w:keepLines/>
      <w:spacing w:before="280" w:after="290" w:line="376" w:lineRule="auto"/>
      <w:outlineLvl w:val="3"/>
    </w:pPr>
    <w:rPr>
      <w:rFonts w:hint="default" w:ascii="Cambria" w:hAnsi="Cambria"/>
      <w:b/>
      <w:sz w:val="28"/>
      <w:szCs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w:basedOn w:val="1"/>
    <w:next w:val="1"/>
    <w:qFormat/>
    <w:uiPriority w:val="0"/>
    <w:pPr>
      <w:widowControl/>
      <w:snapToGrid w:val="0"/>
      <w:spacing w:before="60" w:after="160" w:line="259" w:lineRule="auto"/>
      <w:ind w:right="113"/>
    </w:pPr>
    <w:rPr>
      <w:kern w:val="0"/>
      <w:sz w:val="18"/>
      <w:szCs w:val="20"/>
    </w:rPr>
  </w:style>
  <w:style w:type="paragraph" w:styleId="6">
    <w:name w:val="footer"/>
    <w:qFormat/>
    <w:uiPriority w:val="0"/>
    <w:pPr>
      <w:widowControl w:val="0"/>
      <w:tabs>
        <w:tab w:val="center" w:pos="4153"/>
        <w:tab w:val="right" w:pos="8306"/>
      </w:tabs>
      <w:snapToGrid w:val="0"/>
      <w:jc w:val="left"/>
    </w:pPr>
    <w:rPr>
      <w:rFonts w:asciiTheme="minorHAnsi" w:hAnsiTheme="minorHAnsi" w:eastAsiaTheme="minorEastAsia" w:cstheme="minorBidi"/>
      <w:kern w:val="2"/>
      <w:sz w:val="18"/>
      <w:szCs w:val="24"/>
      <w:lang w:val="en-US" w:eastAsia="zh-CN" w:bidi="ar-SA"/>
    </w:rPr>
  </w:style>
  <w:style w:type="paragraph" w:styleId="7">
    <w:name w:val="index heading"/>
    <w:next w:val="8"/>
    <w:unhideWhenUsed/>
    <w:qFormat/>
    <w:uiPriority w:val="99"/>
    <w:pPr>
      <w:widowControl w:val="0"/>
      <w:spacing w:beforeLines="0" w:afterLines="0"/>
      <w:jc w:val="both"/>
    </w:pPr>
    <w:rPr>
      <w:rFonts w:hint="default" w:asciiTheme="minorHAnsi" w:hAnsiTheme="minorHAnsi" w:eastAsiaTheme="minorEastAsia" w:cstheme="minorBidi"/>
      <w:kern w:val="2"/>
      <w:sz w:val="21"/>
      <w:szCs w:val="20"/>
      <w:lang w:val="en-US" w:eastAsia="zh-CN" w:bidi="ar-SA"/>
    </w:rPr>
  </w:style>
  <w:style w:type="paragraph" w:styleId="8">
    <w:name w:val="index 1"/>
    <w:next w:val="1"/>
    <w:unhideWhenUsed/>
    <w:qFormat/>
    <w:uiPriority w:val="99"/>
    <w:pPr>
      <w:widowControl w:val="0"/>
      <w:spacing w:beforeLines="0" w:afterLines="0"/>
      <w:jc w:val="center"/>
    </w:pPr>
    <w:rPr>
      <w:rFonts w:hint="default" w:asciiTheme="minorHAnsi" w:hAnsiTheme="minorHAnsi" w:eastAsiaTheme="minorEastAsia" w:cstheme="minorBidi"/>
      <w:kern w:val="2"/>
      <w:sz w:val="21"/>
      <w:szCs w:val="20"/>
      <w:lang w:val="en-US" w:eastAsia="zh-CN" w:bidi="ar-SA"/>
    </w:rPr>
  </w:style>
  <w:style w:type="paragraph" w:styleId="9">
    <w:name w:val="toc 2"/>
    <w:basedOn w:val="1"/>
    <w:next w:val="1"/>
    <w:qFormat/>
    <w:uiPriority w:val="39"/>
    <w:pPr>
      <w:widowControl w:val="0"/>
      <w:ind w:left="420" w:leftChars="200"/>
      <w:jc w:val="both"/>
    </w:pPr>
    <w:rPr>
      <w:rFonts w:ascii="Calibri" w:hAnsi="Calibri" w:eastAsiaTheme="minorEastAsia" w:cstheme="minorBidi"/>
      <w:kern w:val="2"/>
      <w:sz w:val="21"/>
      <w:szCs w:val="24"/>
      <w:lang w:val="en-US" w:eastAsia="zh-CN" w:bidi="ar-SA"/>
    </w:rPr>
  </w:style>
  <w:style w:type="paragraph" w:styleId="10">
    <w:name w:val="Message Header"/>
    <w:qFormat/>
    <w:uiPriority w:val="0"/>
    <w:pPr>
      <w:keepNext/>
      <w:widowControl w:val="0"/>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s="Arial" w:eastAsiaTheme="minorEastAsia"/>
      <w:color w:val="000000"/>
      <w:kern w:val="2"/>
      <w:sz w:val="24"/>
      <w:szCs w:val="24"/>
      <w:lang w:val="en-US" w:eastAsia="zh-CN" w:bidi="ar-SA"/>
    </w:rPr>
  </w:style>
  <w:style w:type="paragraph" w:styleId="11">
    <w:name w:val="Body Text First Indent"/>
    <w:basedOn w:val="5"/>
    <w:next w:val="1"/>
    <w:qFormat/>
    <w:uiPriority w:val="0"/>
    <w:pPr>
      <w:widowControl/>
      <w:snapToGrid w:val="0"/>
      <w:spacing w:before="60" w:after="160" w:line="259" w:lineRule="auto"/>
      <w:ind w:right="113" w:firstLine="420" w:firstLineChars="100"/>
      <w:jc w:val="both"/>
    </w:pPr>
    <w:rPr>
      <w:rFonts w:ascii="Times New Roman" w:hAnsi="Times New Roman" w:eastAsia="宋体" w:cs="Times New Roman"/>
      <w:kern w:val="0"/>
      <w:sz w:val="18"/>
      <w:szCs w:val="20"/>
      <w:lang w:val="en-US" w:eastAsia="zh-CN" w:bidi="ar-SA"/>
    </w:rPr>
  </w:style>
  <w:style w:type="paragraph" w:styleId="12">
    <w:name w:val="Body Text First Indent 2"/>
    <w:next w:val="11"/>
    <w:qFormat/>
    <w:uiPriority w:val="0"/>
    <w:pPr>
      <w:widowControl w:val="0"/>
      <w:spacing w:after="120"/>
      <w:ind w:left="420" w:leftChars="200" w:firstLine="420" w:firstLineChars="200"/>
      <w:jc w:val="both"/>
    </w:pPr>
    <w:rPr>
      <w:rFonts w:ascii="Times New Roman" w:hAnsi="Times New Roman" w:eastAsia="宋体" w:cs="Times New Roman"/>
      <w:kern w:val="0"/>
      <w:sz w:val="24"/>
      <w:szCs w:val="20"/>
      <w:lang w:val="en-US" w:eastAsia="zh-CN" w:bidi="ar-SA"/>
    </w:rPr>
  </w:style>
  <w:style w:type="table" w:styleId="14">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正文，仿宋，小四"/>
    <w:basedOn w:val="1"/>
    <w:qFormat/>
    <w:uiPriority w:val="0"/>
    <w:pPr>
      <w:widowControl/>
      <w:autoSpaceDE w:val="0"/>
      <w:autoSpaceDN w:val="0"/>
      <w:adjustRightInd w:val="0"/>
      <w:snapToGrid w:val="0"/>
      <w:spacing w:line="240" w:lineRule="auto"/>
      <w:ind w:firstLine="576" w:firstLineChars="200"/>
      <w:textAlignment w:val="baseline"/>
    </w:pPr>
    <w:rPr>
      <w:rFonts w:ascii="Times New Roman" w:hAnsi="Times New Roman" w:eastAsia="仿宋" w:cs="Times New Roman"/>
      <w:snapToGrid w:val="0"/>
      <w:color w:val="0000FF"/>
      <w:spacing w:val="4"/>
      <w:kern w:val="0"/>
      <w:sz w:val="24"/>
      <w:szCs w:val="28"/>
      <w:lang w:val="zh-CN"/>
    </w:rPr>
  </w:style>
  <w:style w:type="paragraph" w:customStyle="1" w:styleId="17">
    <w:name w:val="表格，仿宋，5号"/>
    <w:basedOn w:val="1"/>
    <w:qFormat/>
    <w:uiPriority w:val="0"/>
    <w:pPr>
      <w:widowControl/>
      <w:pBdr>
        <w:top w:val="none" w:color="auto" w:sz="0" w:space="1"/>
        <w:left w:val="none" w:color="auto" w:sz="0" w:space="4"/>
        <w:bottom w:val="none" w:color="auto" w:sz="0" w:space="1"/>
        <w:right w:val="none" w:color="auto" w:sz="0" w:space="4"/>
      </w:pBdr>
      <w:autoSpaceDE w:val="0"/>
      <w:autoSpaceDN w:val="0"/>
      <w:adjustRightInd w:val="0"/>
      <w:snapToGrid w:val="0"/>
      <w:spacing w:line="360" w:lineRule="auto"/>
      <w:jc w:val="center"/>
      <w:textAlignment w:val="baseline"/>
    </w:pPr>
    <w:rPr>
      <w:rFonts w:ascii="Times New Roman" w:hAnsi="Times New Roman" w:eastAsia="仿宋" w:cs="Times New Roman"/>
      <w:snapToGrid w:val="0"/>
      <w:color w:val="000000" w:themeColor="text1"/>
      <w:kern w:val="0"/>
      <w:sz w:val="21"/>
      <w14:textFill>
        <w14:solidFill>
          <w14:schemeClr w14:val="tx1"/>
        </w14:solidFill>
      </w14:textFill>
    </w:rPr>
  </w:style>
  <w:style w:type="paragraph" w:customStyle="1" w:styleId="18">
    <w:name w:val="2级标题，小三，仿宋"/>
    <w:basedOn w:val="1"/>
    <w:qFormat/>
    <w:uiPriority w:val="0"/>
    <w:pPr>
      <w:widowControl/>
      <w:autoSpaceDE w:val="0"/>
      <w:autoSpaceDN w:val="0"/>
      <w:adjustRightInd w:val="0"/>
      <w:snapToGrid w:val="0"/>
      <w:spacing w:line="360" w:lineRule="auto"/>
      <w:jc w:val="left"/>
      <w:textAlignment w:val="baseline"/>
      <w:outlineLvl w:val="1"/>
    </w:pPr>
    <w:rPr>
      <w:rFonts w:ascii="Times New Roman" w:hAnsi="Times New Roman" w:eastAsia="仿宋" w:cs="Times New Roman"/>
      <w:b/>
      <w:snapToGrid w:val="0"/>
      <w:color w:val="000000" w:themeColor="text1"/>
      <w:spacing w:val="7"/>
      <w:kern w:val="0"/>
      <w:sz w:val="30"/>
      <w:szCs w:val="30"/>
      <w14:textOutline w14:w="6540" w14:cap="sq" w14:cmpd="sng" w14:algn="ctr">
        <w14:solidFill>
          <w14:srgbClr w14:val="000000"/>
        </w14:solidFill>
        <w14:prstDash w14:val="solid"/>
        <w14:bevel/>
      </w14:textOutline>
      <w14:textFill>
        <w14:solidFill>
          <w14:schemeClr w14:val="tx1"/>
        </w14:solidFill>
      </w14:textFill>
    </w:rPr>
  </w:style>
  <w:style w:type="paragraph" w:customStyle="1" w:styleId="19">
    <w:name w:val="样式1"/>
    <w:basedOn w:val="1"/>
    <w:qFormat/>
    <w:uiPriority w:val="0"/>
    <w:pPr>
      <w:widowControl/>
      <w:autoSpaceDE w:val="0"/>
      <w:autoSpaceDN w:val="0"/>
      <w:adjustRightInd w:val="0"/>
      <w:snapToGrid w:val="0"/>
      <w:spacing w:line="360" w:lineRule="auto"/>
      <w:jc w:val="left"/>
      <w:textAlignment w:val="baseline"/>
      <w:outlineLvl w:val="0"/>
    </w:pPr>
    <w:rPr>
      <w:rFonts w:ascii="Times New Roman" w:hAnsi="Times New Roman" w:eastAsia="仿宋" w:cs="Times New Roman"/>
      <w:b/>
      <w:snapToGrid w:val="0"/>
      <w:color w:val="000000" w:themeColor="text1"/>
      <w:kern w:val="0"/>
      <w:sz w:val="32"/>
      <w:szCs w:val="36"/>
      <w14:textOutline w14:w="7975" w14:cap="sq" w14:cmpd="sng" w14:algn="ctr">
        <w14:solidFill>
          <w14:srgbClr w14:val="000000"/>
        </w14:solidFill>
        <w14:prstDash w14:val="solid"/>
        <w14:bevel/>
      </w14:textOutline>
      <w14:textFill>
        <w14:solidFill>
          <w14:schemeClr w14:val="tx1"/>
        </w14:solidFill>
      </w14:textFill>
    </w:rPr>
  </w:style>
  <w:style w:type="paragraph" w:customStyle="1" w:styleId="20">
    <w:name w:val="z一级标题，三号，仿宋"/>
    <w:basedOn w:val="1"/>
    <w:qFormat/>
    <w:uiPriority w:val="0"/>
    <w:pPr>
      <w:widowControl/>
      <w:autoSpaceDE w:val="0"/>
      <w:autoSpaceDN w:val="0"/>
      <w:adjustRightInd w:val="0"/>
      <w:snapToGrid w:val="0"/>
      <w:spacing w:line="360" w:lineRule="auto"/>
      <w:jc w:val="left"/>
      <w:textAlignment w:val="baseline"/>
      <w:outlineLvl w:val="0"/>
    </w:pPr>
    <w:rPr>
      <w:rFonts w:ascii="Times New Roman" w:hAnsi="Times New Roman" w:eastAsia="仿宋" w:cs="Times New Roman"/>
      <w:b/>
      <w:snapToGrid w:val="0"/>
      <w:color w:val="000000" w:themeColor="text1"/>
      <w:kern w:val="0"/>
      <w:sz w:val="32"/>
      <w:szCs w:val="36"/>
      <w14:textOutline w14:w="7975" w14:cap="sq" w14:cmpd="sng" w14:algn="ctr">
        <w14:solidFill>
          <w14:srgbClr w14:val="000000"/>
        </w14:solidFill>
        <w14:prstDash w14:val="solid"/>
        <w14:bevel/>
      </w14:textOutline>
      <w14:textFill>
        <w14:solidFill>
          <w14:schemeClr w14:val="tx1"/>
        </w14:solidFill>
      </w14:textFill>
    </w:rPr>
  </w:style>
  <w:style w:type="paragraph" w:customStyle="1" w:styleId="21">
    <w:name w:val="Z正文"/>
    <w:basedOn w:val="1"/>
    <w:qFormat/>
    <w:uiPriority w:val="0"/>
    <w:pPr>
      <w:widowControl/>
      <w:autoSpaceDE w:val="0"/>
      <w:autoSpaceDN w:val="0"/>
      <w:adjustRightInd w:val="0"/>
      <w:snapToGrid w:val="0"/>
      <w:spacing w:line="360" w:lineRule="auto"/>
      <w:ind w:firstLine="664" w:firstLineChars="200"/>
      <w:jc w:val="both"/>
      <w:textAlignment w:val="baseline"/>
    </w:pPr>
    <w:rPr>
      <w:rFonts w:ascii="Times New Roman" w:hAnsi="Times New Roman" w:eastAsia="仿宋" w:cs="Times New Roman"/>
      <w:snapToGrid w:val="0"/>
      <w:color w:val="000000" w:themeColor="text1"/>
      <w:kern w:val="0"/>
      <w:sz w:val="24"/>
      <w:szCs w:val="21"/>
      <w14:textFill>
        <w14:solidFill>
          <w14:schemeClr w14:val="tx1"/>
        </w14:solidFill>
      </w14:textFill>
    </w:rPr>
  </w:style>
  <w:style w:type="paragraph" w:customStyle="1" w:styleId="22">
    <w:name w:val="z三级"/>
    <w:basedOn w:val="1"/>
    <w:qFormat/>
    <w:uiPriority w:val="0"/>
    <w:pPr>
      <w:widowControl/>
      <w:autoSpaceDE w:val="0"/>
      <w:autoSpaceDN w:val="0"/>
      <w:adjustRightInd w:val="0"/>
      <w:snapToGrid w:val="0"/>
      <w:spacing w:line="360" w:lineRule="auto"/>
      <w:jc w:val="left"/>
      <w:textAlignment w:val="baseline"/>
      <w:outlineLvl w:val="1"/>
    </w:pPr>
    <w:rPr>
      <w:rFonts w:ascii="Times New Roman" w:hAnsi="Times New Roman" w:eastAsia="仿宋" w:cs="Times New Roman"/>
      <w:b/>
      <w:snapToGrid w:val="0"/>
      <w:color w:val="000000" w:themeColor="text1"/>
      <w:spacing w:val="7"/>
      <w:kern w:val="0"/>
      <w:sz w:val="28"/>
      <w:szCs w:val="28"/>
      <w14:textOutline w14:w="6540" w14:cap="sq" w14:cmpd="sng" w14:algn="ctr">
        <w14:solidFill>
          <w14:srgbClr w14:val="000000"/>
        </w14:solidFill>
        <w14:prstDash w14:val="solid"/>
        <w14:bevel/>
      </w14:textOutline>
      <w14:textFill>
        <w14:solidFill>
          <w14:schemeClr w14:val="tx1"/>
        </w14:solidFill>
      </w14:textFill>
    </w:rPr>
  </w:style>
  <w:style w:type="paragraph" w:customStyle="1" w:styleId="23">
    <w:name w:val="2二级"/>
    <w:basedOn w:val="1"/>
    <w:qFormat/>
    <w:uiPriority w:val="0"/>
    <w:pPr>
      <w:widowControl/>
      <w:autoSpaceDE w:val="0"/>
      <w:autoSpaceDN w:val="0"/>
      <w:adjustRightInd w:val="0"/>
      <w:snapToGrid w:val="0"/>
      <w:spacing w:line="360" w:lineRule="auto"/>
      <w:jc w:val="left"/>
      <w:textAlignment w:val="baseline"/>
      <w:outlineLvl w:val="1"/>
    </w:pPr>
    <w:rPr>
      <w:rFonts w:ascii="Times New Roman" w:hAnsi="Times New Roman" w:eastAsia="仿宋" w:cs="Times New Roman"/>
      <w:b/>
      <w:snapToGrid w:val="0"/>
      <w:color w:val="000000" w:themeColor="text1"/>
      <w:spacing w:val="7"/>
      <w:kern w:val="0"/>
      <w:sz w:val="28"/>
      <w:szCs w:val="28"/>
      <w14:textOutline w14:w="6540" w14:cap="sq" w14:cmpd="sng" w14:algn="ctr">
        <w14:solidFill>
          <w14:srgbClr w14:val="000000"/>
        </w14:solidFill>
        <w14:prstDash w14:val="solid"/>
        <w14:bevel/>
      </w14:textOutline>
      <w14:textFill>
        <w14:solidFill>
          <w14:schemeClr w14:val="tx1"/>
        </w14:solidFill>
      </w14:textFill>
    </w:rPr>
  </w:style>
  <w:style w:type="paragraph" w:customStyle="1" w:styleId="24">
    <w:name w:val="z一级"/>
    <w:basedOn w:val="1"/>
    <w:uiPriority w:val="0"/>
    <w:pPr>
      <w:widowControl/>
      <w:autoSpaceDE w:val="0"/>
      <w:autoSpaceDN w:val="0"/>
      <w:adjustRightInd w:val="0"/>
      <w:snapToGrid w:val="0"/>
      <w:spacing w:line="360" w:lineRule="auto"/>
      <w:jc w:val="left"/>
      <w:textAlignment w:val="baseline"/>
      <w:outlineLvl w:val="1"/>
    </w:pPr>
    <w:rPr>
      <w:rFonts w:ascii="Times New Roman" w:hAnsi="Times New Roman" w:eastAsia="仿宋" w:cs="Times New Roman"/>
      <w:b/>
      <w:snapToGrid w:val="0"/>
      <w:color w:val="000000" w:themeColor="text1"/>
      <w:spacing w:val="7"/>
      <w:kern w:val="0"/>
      <w:sz w:val="30"/>
      <w:szCs w:val="28"/>
      <w14:textOutline w14:w="6540" w14:cap="sq" w14:cmpd="sng" w14:algn="ctr">
        <w14:solidFill>
          <w14:srgbClr w14:val="000000"/>
        </w14:solidFill>
        <w14:prstDash w14:val="solid"/>
        <w14:bevel/>
      </w14:textOutline>
      <w14:textFill>
        <w14:solidFill>
          <w14:schemeClr w14:val="tx1"/>
        </w14:solidFill>
      </w14:textFill>
    </w:rPr>
  </w:style>
  <w:style w:type="paragraph" w:customStyle="1" w:styleId="25">
    <w:name w:val="z表格标题"/>
    <w:basedOn w:val="1"/>
    <w:qFormat/>
    <w:uiPriority w:val="0"/>
    <w:pPr>
      <w:widowControl/>
      <w:autoSpaceDE w:val="0"/>
      <w:autoSpaceDN w:val="0"/>
      <w:adjustRightInd w:val="0"/>
      <w:snapToGrid w:val="0"/>
      <w:jc w:val="center"/>
      <w:textAlignment w:val="baseline"/>
    </w:pPr>
    <w:rPr>
      <w:rFonts w:ascii="Times New Roman" w:hAnsi="Times New Roman" w:eastAsia="仿宋" w:cs="Times New Roman"/>
      <w:b/>
      <w:bCs/>
      <w:snapToGrid w:val="0"/>
      <w:color w:val="000000" w:themeColor="text1"/>
      <w:spacing w:val="2"/>
      <w:kern w:val="0"/>
      <w:sz w:val="21"/>
      <w14:textOutline w14:w="4356" w14:cap="sq" w14:cmpd="sng" w14:algn="ctr">
        <w14:solidFill>
          <w14:srgbClr w14:val="000000"/>
        </w14:solidFill>
        <w14:prstDash w14:val="solid"/>
        <w14:bevel/>
      </w14:textOutline>
      <w14:textFill>
        <w14:solidFill>
          <w14:schemeClr w14:val="tx1"/>
        </w14:solidFill>
      </w14:textFill>
    </w:rPr>
  </w:style>
  <w:style w:type="paragraph" w:customStyle="1" w:styleId="26">
    <w:name w:val="Normal (Web)1"/>
    <w:basedOn w:val="1"/>
    <w:next w:val="27"/>
    <w:autoRedefine/>
    <w:qFormat/>
    <w:uiPriority w:val="0"/>
    <w:pPr>
      <w:widowControl/>
    </w:pPr>
    <w:rPr>
      <w:rFonts w:ascii="宋体"/>
      <w:sz w:val="24"/>
      <w:szCs w:val="21"/>
    </w:rPr>
  </w:style>
  <w:style w:type="paragraph" w:customStyle="1" w:styleId="27">
    <w:name w:val="Date1"/>
    <w:basedOn w:val="1"/>
    <w:next w:val="1"/>
    <w:autoRedefine/>
    <w:qFormat/>
    <w:uiPriority w:val="0"/>
    <w:pPr>
      <w:autoSpaceDE w:val="0"/>
      <w:autoSpaceDN w:val="0"/>
      <w:adjustRightInd w:val="0"/>
      <w:textAlignment w:val="baseline"/>
    </w:pPr>
    <w:rPr>
      <w:rFonts w:ascii="宋体"/>
      <w:spacing w:val="5"/>
      <w:kern w:val="0"/>
      <w:sz w:val="24"/>
      <w:szCs w:val="20"/>
    </w:rPr>
  </w:style>
  <w:style w:type="paragraph" w:customStyle="1" w:styleId="28">
    <w:name w:val="- 页码 -"/>
    <w:unhideWhenUsed/>
    <w:qFormat/>
    <w:uiPriority w:val="0"/>
    <w:pPr>
      <w:widowControl w:val="0"/>
      <w:spacing w:beforeLines="0" w:afterLines="0" w:line="360" w:lineRule="auto"/>
      <w:ind w:firstLine="200" w:firstLineChars="200"/>
      <w:jc w:val="both"/>
    </w:pPr>
    <w:rPr>
      <w:rFonts w:hint="default" w:ascii="Times New Roman" w:hAnsi="Times New Roman" w:eastAsia="宋体" w:cs="Times New Roman"/>
      <w:kern w:val="2"/>
      <w:sz w:val="24"/>
      <w:szCs w:val="24"/>
      <w:lang w:val="en-US" w:eastAsia="zh-CN" w:bidi="ar-SA"/>
    </w:rPr>
  </w:style>
  <w:style w:type="paragraph" w:customStyle="1" w:styleId="29">
    <w:name w:val="!Texte courant"/>
    <w:unhideWhenUsed/>
    <w:qFormat/>
    <w:uiPriority w:val="0"/>
    <w:pPr>
      <w:adjustRightInd w:val="0"/>
      <w:snapToGrid w:val="0"/>
      <w:spacing w:beforeLines="0" w:afterLines="0" w:line="500" w:lineRule="atLeast"/>
      <w:ind w:firstLine="85" w:firstLineChars="85"/>
      <w:jc w:val="center"/>
    </w:pPr>
    <w:rPr>
      <w:rFonts w:hint="default" w:ascii="Times New Roman" w:hAnsi="Times New Roman" w:eastAsia="黑体" w:cs="Times New Roman"/>
      <w:sz w:val="24"/>
      <w:szCs w:val="24"/>
      <w:lang w:val="fr-FR" w:eastAsia="zh-CN" w:bidi="ar-SA"/>
    </w:rPr>
  </w:style>
  <w:style w:type="table" w:customStyle="1" w:styleId="30">
    <w:name w:val="Table Normal"/>
    <w:semiHidden/>
    <w:unhideWhenUsed/>
    <w:qFormat/>
    <w:uiPriority w:val="0"/>
    <w:tblPr>
      <w:tblCellMar>
        <w:top w:w="0" w:type="dxa"/>
        <w:left w:w="0" w:type="dxa"/>
        <w:bottom w:w="0" w:type="dxa"/>
        <w:right w:w="0" w:type="dxa"/>
      </w:tblCellMar>
    </w:tblPr>
  </w:style>
  <w:style w:type="paragraph" w:customStyle="1" w:styleId="31">
    <w:name w:val="正文1"/>
    <w:autoRedefine/>
    <w:qFormat/>
    <w:uiPriority w:val="99"/>
    <w:pPr>
      <w:widowControl w:val="0"/>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32">
    <w:name w:val="正文11"/>
    <w:qFormat/>
    <w:uiPriority w:val="0"/>
    <w:pPr>
      <w:widowControl w:val="0"/>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33">
    <w:name w:val="正文缩进1"/>
    <w:unhideWhenUsed/>
    <w:qFormat/>
    <w:uiPriority w:val="0"/>
    <w:pPr>
      <w:widowControl w:val="0"/>
      <w:spacing w:beforeLines="0" w:afterLines="0"/>
      <w:ind w:firstLine="420"/>
      <w:jc w:val="both"/>
    </w:pPr>
    <w:rPr>
      <w:rFonts w:hint="default" w:asciiTheme="minorHAnsi" w:hAnsiTheme="minorHAnsi" w:eastAsiaTheme="minorEastAsia" w:cstheme="minorBidi"/>
      <w:kern w:val="2"/>
      <w:sz w:val="24"/>
      <w:szCs w:val="24"/>
      <w:lang w:val="en-US" w:eastAsia="zh-CN" w:bidi="ar-SA"/>
    </w:rPr>
  </w:style>
  <w:style w:type="paragraph" w:customStyle="1" w:styleId="34">
    <w:name w:val="L表中文字"/>
    <w:unhideWhenUsed/>
    <w:qFormat/>
    <w:uiPriority w:val="0"/>
    <w:pPr>
      <w:widowControl w:val="0"/>
      <w:spacing w:beforeLines="0" w:afterLines="0"/>
      <w:jc w:val="center"/>
    </w:pPr>
    <w:rPr>
      <w:rFonts w:hint="default" w:asciiTheme="minorHAnsi" w:hAnsiTheme="minorHAnsi" w:eastAsiaTheme="minorEastAsia" w:cstheme="minorBidi"/>
      <w:kern w:val="0"/>
      <w:sz w:val="21"/>
      <w:szCs w:val="20"/>
      <w:lang w:val="en-US" w:eastAsia="zh-CN" w:bidi="ar-SA"/>
    </w:rPr>
  </w:style>
  <w:style w:type="paragraph" w:customStyle="1" w:styleId="35">
    <w:name w:val="List Paragraph"/>
    <w:autoRedefine/>
    <w:qFormat/>
    <w:uiPriority w:val="0"/>
    <w:pPr>
      <w:widowControl w:val="0"/>
      <w:ind w:firstLine="420" w:firstLineChars="200"/>
      <w:jc w:val="both"/>
    </w:pPr>
    <w:rPr>
      <w:rFonts w:ascii="Calibri" w:hAnsi="Calibri" w:eastAsia="宋体" w:cstheme="minorBidi"/>
      <w:kern w:val="2"/>
      <w:sz w:val="21"/>
      <w:szCs w:val="22"/>
      <w:lang w:val="en-US" w:eastAsia="zh-CN" w:bidi="ar-SA"/>
    </w:rPr>
  </w:style>
  <w:style w:type="paragraph" w:customStyle="1" w:styleId="36">
    <w:name w:val="报告表正文"/>
    <w:qFormat/>
    <w:uiPriority w:val="0"/>
    <w:pPr>
      <w:keepNext/>
      <w:widowControl w:val="0"/>
      <w:adjustRightInd w:val="0"/>
      <w:spacing w:line="312" w:lineRule="auto"/>
      <w:ind w:left="113" w:right="113" w:firstLine="482"/>
      <w:jc w:val="left"/>
      <w:textAlignment w:val="baseline"/>
    </w:pPr>
    <w:rPr>
      <w:rFonts w:asciiTheme="minorHAnsi" w:hAnsiTheme="minorHAnsi" w:eastAsiaTheme="minorEastAsia" w:cstheme="minorBidi"/>
      <w:b/>
      <w:kern w:val="0"/>
      <w:sz w:val="24"/>
      <w:szCs w:val="21"/>
      <w:lang w:val="en-US" w:eastAsia="zh-CN" w:bidi="ar-SA"/>
    </w:rPr>
  </w:style>
  <w:style w:type="paragraph" w:customStyle="1" w:styleId="37">
    <w:name w:val="CM4"/>
    <w:next w:val="1"/>
    <w:qFormat/>
    <w:uiPriority w:val="0"/>
    <w:pPr>
      <w:keepNext/>
      <w:widowControl w:val="0"/>
      <w:spacing w:line="520" w:lineRule="exact"/>
      <w:jc w:val="center"/>
    </w:pPr>
    <w:rPr>
      <w:rFonts w:asciiTheme="minorHAnsi" w:hAnsiTheme="minorHAnsi" w:eastAsiaTheme="minorEastAsia" w:cstheme="minorBidi"/>
      <w:b/>
      <w:kern w:val="0"/>
      <w:sz w:val="21"/>
      <w:szCs w:val="21"/>
      <w:lang w:val="en-US" w:eastAsia="zh-CN" w:bidi="ar-SA"/>
    </w:rPr>
  </w:style>
  <w:style w:type="paragraph" w:customStyle="1" w:styleId="38">
    <w:name w:val="【正文】"/>
    <w:next w:val="10"/>
    <w:qFormat/>
    <w:uiPriority w:val="0"/>
    <w:pPr>
      <w:widowControl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customStyle="1" w:styleId="39">
    <w:name w:val="样式 标题 1 + 首行缩进:  2 字符"/>
    <w:unhideWhenUsed/>
    <w:qFormat/>
    <w:uiPriority w:val="0"/>
    <w:pPr>
      <w:keepNext/>
      <w:widowControl w:val="0"/>
      <w:overflowPunct w:val="0"/>
      <w:snapToGrid w:val="0"/>
      <w:spacing w:before="120" w:after="160" w:line="259" w:lineRule="auto"/>
      <w:ind w:left="432" w:firstLine="200" w:firstLineChars="200"/>
      <w:jc w:val="center"/>
      <w:outlineLvl w:val="0"/>
    </w:pPr>
    <w:rPr>
      <w:rFonts w:hint="default" w:ascii="Times New Roman" w:hAnsi="Times New Roman" w:eastAsia="黑体" w:cs="宋体"/>
      <w:b/>
      <w:color w:val="000000"/>
      <w:kern w:val="44"/>
      <w:sz w:val="30"/>
      <w:szCs w:val="20"/>
      <w:lang w:val="en-US" w:eastAsia="zh-CN" w:bidi="ar-SA"/>
    </w:rPr>
  </w:style>
  <w:style w:type="paragraph" w:customStyle="1" w:styleId="40">
    <w:name w:val="正文_6"/>
    <w:unhideWhenUsed/>
    <w:qFormat/>
    <w:uiPriority w:val="0"/>
    <w:pPr>
      <w:widowControl w:val="0"/>
      <w:jc w:val="both"/>
    </w:pPr>
    <w:rPr>
      <w:rFonts w:hint="default" w:ascii="Calibri" w:hAnsi="Calibri" w:eastAsia="宋体" w:cs="Times New Roman"/>
      <w:kern w:val="2"/>
      <w:sz w:val="21"/>
      <w:szCs w:val="24"/>
      <w:lang w:val="en-US" w:eastAsia="zh-CN" w:bidi="ar-SA"/>
    </w:rPr>
  </w:style>
  <w:style w:type="paragraph" w:customStyle="1" w:styleId="41">
    <w:name w:val="正文_14"/>
    <w:unhideWhenUsed/>
    <w:qFormat/>
    <w:uiPriority w:val="0"/>
    <w:pPr>
      <w:widowControl w:val="0"/>
      <w:jc w:val="both"/>
    </w:pPr>
    <w:rPr>
      <w:rFonts w:hint="default" w:ascii="Times New Roman" w:hAnsi="Times New Roman" w:eastAsia="宋体" w:cs="Times New Roman"/>
      <w:kern w:val="2"/>
      <w:sz w:val="21"/>
      <w:szCs w:val="24"/>
      <w:lang w:val="en-US" w:eastAsia="zh-CN" w:bidi="ar-SA"/>
    </w:rPr>
  </w:style>
  <w:style w:type="paragraph" w:customStyle="1" w:styleId="42">
    <w:name w:val="C【表中文字】-"/>
    <w:unhideWhenUsed/>
    <w:qFormat/>
    <w:uiPriority w:val="0"/>
    <w:pPr>
      <w:widowControl w:val="0"/>
      <w:adjustRightInd w:val="0"/>
      <w:snapToGrid w:val="0"/>
      <w:spacing w:beforeLines="0" w:afterLines="0"/>
      <w:jc w:val="center"/>
    </w:pPr>
    <w:rPr>
      <w:rFonts w:hint="default" w:asciiTheme="minorHAnsi" w:hAnsiTheme="minorHAnsi" w:eastAsiaTheme="minorEastAsia" w:cstheme="minorBidi"/>
      <w:kern w:val="0"/>
      <w:sz w:val="18"/>
      <w:szCs w:val="20"/>
      <w:lang w:val="en-US" w:eastAsia="zh-CN" w:bidi="ar-SA"/>
    </w:rPr>
  </w:style>
  <w:style w:type="paragraph" w:customStyle="1" w:styleId="43">
    <w:name w:val="表格题头"/>
    <w:next w:val="1"/>
    <w:unhideWhenUsed/>
    <w:qFormat/>
    <w:uiPriority w:val="0"/>
    <w:pPr>
      <w:widowControl/>
      <w:autoSpaceDE w:val="0"/>
      <w:autoSpaceDN w:val="0"/>
      <w:spacing w:beforeLines="0" w:afterLines="0" w:line="260" w:lineRule="exact"/>
      <w:jc w:val="center"/>
    </w:pPr>
    <w:rPr>
      <w:rFonts w:hint="default" w:eastAsia="黑体" w:asciiTheme="minorHAnsi" w:hAnsiTheme="minorHAnsi" w:cstheme="minorBidi"/>
      <w:color w:val="000000"/>
      <w:kern w:val="2"/>
      <w:sz w:val="21"/>
      <w:szCs w:val="20"/>
      <w:lang w:val="en-US" w:eastAsia="zh-CN" w:bidi="ar-SA"/>
    </w:rPr>
  </w:style>
  <w:style w:type="paragraph" w:customStyle="1" w:styleId="44">
    <w:name w:val="环评正文"/>
    <w:autoRedefine/>
    <w:qFormat/>
    <w:uiPriority w:val="0"/>
    <w:pPr>
      <w:widowControl w:val="0"/>
      <w:spacing w:line="440" w:lineRule="exact"/>
      <w:ind w:firstLine="1446" w:firstLineChars="200"/>
      <w:jc w:val="both"/>
    </w:pPr>
    <w:rPr>
      <w:rFonts w:asciiTheme="minorHAnsi" w:hAnsiTheme="minorHAnsi" w:eastAsiaTheme="minorEastAsia" w:cstheme="minorBidi"/>
      <w:kern w:val="0"/>
      <w:sz w:val="20"/>
      <w:szCs w:val="20"/>
      <w:lang w:val="en-US" w:eastAsia="zh-CN" w:bidi="ar-SA"/>
    </w:rPr>
  </w:style>
  <w:style w:type="paragraph" w:customStyle="1" w:styleId="45">
    <w:name w:val="11111"/>
    <w:next w:val="1"/>
    <w:autoRedefine/>
    <w:qFormat/>
    <w:uiPriority w:val="0"/>
    <w:pPr>
      <w:widowControl/>
      <w:spacing w:line="360" w:lineRule="auto"/>
      <w:ind w:firstLine="200" w:firstLineChars="200"/>
      <w:jc w:val="both"/>
    </w:pPr>
    <w:rPr>
      <w:rFonts w:ascii="宋体" w:hAnsi="宋体" w:cs="宋体" w:eastAsiaTheme="minorEastAsia"/>
      <w:kern w:val="0"/>
      <w:sz w:val="24"/>
      <w:szCs w:val="22"/>
      <w:lang w:val="en-US" w:eastAsia="zh-CN" w:bidi="ar-SA"/>
    </w:rPr>
  </w:style>
  <w:style w:type="paragraph" w:customStyle="1" w:styleId="46">
    <w:name w:val="正文00"/>
    <w:basedOn w:val="1"/>
    <w:autoRedefine/>
    <w:qFormat/>
    <w:uiPriority w:val="0"/>
    <w:pPr>
      <w:widowControl/>
      <w:spacing w:line="425" w:lineRule="atLeast"/>
      <w:ind w:left="107" w:leftChars="51" w:right="124" w:rightChars="59" w:firstLine="480"/>
      <w:textAlignment w:val="baseline"/>
    </w:pPr>
    <w:rPr>
      <w:kern w:val="0"/>
      <w:sz w:val="28"/>
      <w:u w:color="000000"/>
    </w:rPr>
  </w:style>
  <w:style w:type="paragraph" w:customStyle="1" w:styleId="47">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5" Type="http://schemas.openxmlformats.org/officeDocument/2006/relationships/fontTable" Target="fontTable.xml"/><Relationship Id="rId64" Type="http://schemas.openxmlformats.org/officeDocument/2006/relationships/customXml" Target="../customXml/item1.xml"/><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wmf"/><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91</Pages>
  <Words>102</Words>
  <Characters>105</Characters>
  <Lines>0</Lines>
  <Paragraphs>0</Paragraphs>
  <TotalTime>22</TotalTime>
  <ScaleCrop>false</ScaleCrop>
  <LinksUpToDate>false</LinksUpToDate>
  <CharactersWithSpaces>138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2025-07-18T00:47:00Z</dcterms:created>
  <dc:creator>蜡笔小鑫</dc:creator>
  <cp:lastModifiedBy>蜡笔小鑫</cp:lastModifiedBy>
  <dcterms:modified xsi:type="dcterms:W3CDTF">2025-07-29T02:47:40Z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EC10963F77EB4FB5B43947E6AD222873_11</vt:lpwstr>
  </property>
  <property fmtid="{D5CDD505-2E9C-101B-9397-08002B2CF9AE}" pid="4" name="KSOTemplateDocerSaveRecord">
    <vt:lpwstr>eyJoZGlkIjoiNGE1NDAwNTU1N2Y0ZTgyZDM2Nzg3OGRlMjkxMDI2YWMiLCJ1c2VySWQiOiIzNTc0NTM4NzEifQ==</vt:lpwstr>
  </property>
</Properties>
</file>